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355" w:rsidRPr="007E0078" w:rsidRDefault="007E0078">
      <w:pPr>
        <w:jc w:val="both"/>
        <w:rPr>
          <w:b/>
          <w:bCs/>
          <w:sz w:val="32"/>
          <w:szCs w:val="32"/>
          <w:vertAlign w:val="subscript"/>
        </w:rPr>
      </w:pPr>
      <w:r w:rsidRPr="007E0078">
        <w:rPr>
          <w:b/>
          <w:bCs/>
          <w:noProof/>
          <w:sz w:val="32"/>
          <w:szCs w:val="32"/>
          <w:vertAlign w:val="subscript"/>
          <w:lang w:val="es-ES"/>
        </w:rPr>
        <w:drawing>
          <wp:inline distT="0" distB="0" distL="0" distR="0" wp14:anchorId="59D79A87" wp14:editId="3F501BF0">
            <wp:extent cx="3000375" cy="1714500"/>
            <wp:effectExtent l="0" t="0" r="9525" b="0"/>
            <wp:docPr id="9" name="Imagen 9" descr="C:\Users\miguelrigo\Descarregues\portsdebalear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iguelrigo\Descarregues\portsdebalears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0375" cy="1714500"/>
                    </a:xfrm>
                    <a:prstGeom prst="rect">
                      <a:avLst/>
                    </a:prstGeom>
                    <a:noFill/>
                    <a:ln>
                      <a:noFill/>
                    </a:ln>
                  </pic:spPr>
                </pic:pic>
              </a:graphicData>
            </a:graphic>
          </wp:inline>
        </w:drawing>
      </w:r>
    </w:p>
    <w:p w:rsidR="00A7236A" w:rsidRDefault="00A7236A">
      <w:pPr>
        <w:jc w:val="both"/>
        <w:rPr>
          <w:b/>
          <w:bCs/>
          <w:sz w:val="32"/>
          <w:szCs w:val="32"/>
          <w:u w:val="single"/>
          <w:vertAlign w:val="subscript"/>
        </w:rPr>
      </w:pPr>
    </w:p>
    <w:p w:rsidR="00A7236A" w:rsidRDefault="00A7236A">
      <w:pPr>
        <w:jc w:val="both"/>
        <w:rPr>
          <w:b/>
          <w:bCs/>
          <w:sz w:val="32"/>
          <w:szCs w:val="32"/>
          <w:u w:val="single"/>
          <w:vertAlign w:val="subscript"/>
        </w:rPr>
      </w:pPr>
    </w:p>
    <w:p w:rsidR="00A7236A" w:rsidRPr="00805959" w:rsidRDefault="00A7236A">
      <w:pPr>
        <w:jc w:val="both"/>
        <w:rPr>
          <w:b/>
          <w:bCs/>
          <w:sz w:val="32"/>
          <w:szCs w:val="32"/>
          <w:u w:val="single"/>
          <w:vertAlign w:val="subscript"/>
        </w:rPr>
      </w:pPr>
    </w:p>
    <w:p w:rsidR="00E2256E" w:rsidRDefault="00E2256E">
      <w:pPr>
        <w:jc w:val="both"/>
        <w:rPr>
          <w:b/>
          <w:bCs/>
          <w:sz w:val="32"/>
          <w:szCs w:val="32"/>
        </w:rPr>
      </w:pPr>
    </w:p>
    <w:p w:rsidR="00E2256E" w:rsidRDefault="00E2256E">
      <w:pPr>
        <w:jc w:val="both"/>
        <w:rPr>
          <w:b/>
          <w:bCs/>
          <w:sz w:val="32"/>
          <w:szCs w:val="32"/>
        </w:rPr>
      </w:pPr>
    </w:p>
    <w:p w:rsidR="00E2256E" w:rsidRDefault="00E2256E">
      <w:pPr>
        <w:jc w:val="both"/>
        <w:rPr>
          <w:b/>
          <w:bCs/>
          <w:sz w:val="32"/>
          <w:szCs w:val="32"/>
        </w:rPr>
      </w:pPr>
    </w:p>
    <w:p w:rsidR="00E2256E" w:rsidRDefault="00E2256E">
      <w:pPr>
        <w:jc w:val="both"/>
        <w:rPr>
          <w:b/>
          <w:bCs/>
          <w:sz w:val="32"/>
          <w:szCs w:val="32"/>
        </w:rPr>
      </w:pPr>
    </w:p>
    <w:p w:rsidR="002C4355" w:rsidRDefault="002C4355">
      <w:pPr>
        <w:jc w:val="both"/>
        <w:rPr>
          <w:b/>
          <w:bCs/>
          <w:sz w:val="32"/>
          <w:szCs w:val="32"/>
        </w:rPr>
      </w:pPr>
    </w:p>
    <w:p w:rsidR="002C4355" w:rsidRPr="007E0078" w:rsidRDefault="007E0078" w:rsidP="007E0078">
      <w:pPr>
        <w:jc w:val="center"/>
        <w:rPr>
          <w:rFonts w:ascii="Frutiger" w:hAnsi="Frutiger"/>
          <w:b/>
          <w:bCs/>
          <w:sz w:val="52"/>
          <w:szCs w:val="52"/>
        </w:rPr>
      </w:pPr>
      <w:r>
        <w:rPr>
          <w:rFonts w:ascii="Frutiger" w:hAnsi="Frutiger"/>
          <w:b/>
          <w:bCs/>
          <w:sz w:val="52"/>
          <w:szCs w:val="52"/>
        </w:rPr>
        <w:t>AUTORIDAD PORTUARIA DE BALEARES</w:t>
      </w:r>
    </w:p>
    <w:p w:rsidR="002C4355" w:rsidRDefault="002C4355">
      <w:pPr>
        <w:jc w:val="both"/>
        <w:rPr>
          <w:b/>
          <w:bCs/>
          <w:sz w:val="32"/>
          <w:szCs w:val="32"/>
        </w:rPr>
      </w:pPr>
    </w:p>
    <w:p w:rsidR="002C4355" w:rsidRDefault="002C4355">
      <w:pPr>
        <w:jc w:val="both"/>
        <w:rPr>
          <w:b/>
          <w:bCs/>
          <w:sz w:val="32"/>
          <w:szCs w:val="32"/>
        </w:rPr>
      </w:pPr>
    </w:p>
    <w:p w:rsidR="002C4355" w:rsidRPr="006D3B6D" w:rsidRDefault="0020160E">
      <w:pPr>
        <w:jc w:val="center"/>
        <w:rPr>
          <w:rFonts w:ascii="Frutiger" w:hAnsi="Frutiger"/>
          <w:b/>
          <w:bCs/>
          <w:sz w:val="52"/>
          <w:szCs w:val="52"/>
        </w:rPr>
      </w:pPr>
      <w:r>
        <w:rPr>
          <w:rFonts w:ascii="Frutiger" w:hAnsi="Frutiger"/>
          <w:b/>
          <w:bCs/>
          <w:sz w:val="52"/>
          <w:szCs w:val="52"/>
        </w:rPr>
        <w:t>CUENTAS ANUALES 202</w:t>
      </w:r>
      <w:r w:rsidR="00903CCD">
        <w:rPr>
          <w:rFonts w:ascii="Frutiger" w:hAnsi="Frutiger"/>
          <w:b/>
          <w:bCs/>
          <w:sz w:val="52"/>
          <w:szCs w:val="52"/>
        </w:rPr>
        <w:t>4</w:t>
      </w:r>
    </w:p>
    <w:p w:rsidR="002C4355" w:rsidRDefault="002C4355">
      <w:pPr>
        <w:jc w:val="center"/>
        <w:rPr>
          <w:b/>
          <w:bCs/>
          <w:sz w:val="56"/>
          <w:szCs w:val="56"/>
        </w:rPr>
      </w:pPr>
    </w:p>
    <w:p w:rsidR="002C4355" w:rsidRDefault="002C4355">
      <w:pPr>
        <w:jc w:val="both"/>
        <w:rPr>
          <w:b/>
          <w:bCs/>
          <w:sz w:val="32"/>
          <w:szCs w:val="32"/>
        </w:rPr>
        <w:sectPr w:rsidR="002C4355" w:rsidSect="007A1C6E">
          <w:headerReference w:type="even" r:id="rId10"/>
          <w:headerReference w:type="default" r:id="rId11"/>
          <w:footerReference w:type="even" r:id="rId12"/>
          <w:footerReference w:type="default" r:id="rId13"/>
          <w:headerReference w:type="first" r:id="rId14"/>
          <w:footerReference w:type="first" r:id="rId15"/>
          <w:pgSz w:w="11907" w:h="16840" w:code="9"/>
          <w:pgMar w:top="2835" w:right="992" w:bottom="567" w:left="2268" w:header="567" w:footer="299" w:gutter="0"/>
          <w:cols w:space="720"/>
          <w:titlePg/>
          <w:docGrid w:linePitch="272"/>
        </w:sectPr>
      </w:pPr>
    </w:p>
    <w:p w:rsidR="00CD3595" w:rsidRDefault="00CD3595" w:rsidP="00243425">
      <w:pPr>
        <w:pStyle w:val="Prrafodelista"/>
        <w:rPr>
          <w:b/>
          <w:bCs/>
          <w:sz w:val="22"/>
          <w:szCs w:val="22"/>
        </w:rPr>
      </w:pPr>
    </w:p>
    <w:p w:rsidR="00A00693" w:rsidRPr="002E626F" w:rsidRDefault="00A00693" w:rsidP="00243425">
      <w:pPr>
        <w:pStyle w:val="Prrafodelista"/>
        <w:rPr>
          <w:b/>
          <w:bCs/>
          <w:sz w:val="22"/>
          <w:szCs w:val="22"/>
        </w:rPr>
      </w:pPr>
    </w:p>
    <w:p w:rsidR="00A43FFD" w:rsidRPr="00A43FFD" w:rsidRDefault="00A43FFD" w:rsidP="00A43FFD">
      <w:pPr>
        <w:spacing w:after="200"/>
        <w:jc w:val="center"/>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ÍNDICE</w:t>
      </w:r>
    </w:p>
    <w:p w:rsidR="00A43FFD" w:rsidRPr="00A43FFD" w:rsidRDefault="00A43FFD" w:rsidP="00A43FFD">
      <w:pPr>
        <w:spacing w:after="200" w:line="216" w:lineRule="auto"/>
        <w:ind w:right="707"/>
        <w:jc w:val="right"/>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Página</w:t>
      </w:r>
    </w:p>
    <w:p w:rsidR="00A43FFD" w:rsidRPr="00A43FFD" w:rsidRDefault="00A43FFD" w:rsidP="00A43FFD">
      <w:pPr>
        <w:tabs>
          <w:tab w:val="center" w:pos="8080"/>
        </w:tabs>
        <w:spacing w:after="200" w:line="216" w:lineRule="auto"/>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BALANCE DE SITUACIÓN</w:t>
      </w:r>
      <w:r w:rsidRPr="00A43FFD">
        <w:rPr>
          <w:rFonts w:ascii="NewBaskerville" w:eastAsiaTheme="minorHAnsi" w:hAnsi="NewBaskerville" w:cstheme="minorBidi"/>
          <w:sz w:val="22"/>
          <w:szCs w:val="22"/>
          <w:lang w:eastAsia="en-US"/>
        </w:rPr>
        <w:tab/>
        <w:t>3</w:t>
      </w:r>
    </w:p>
    <w:p w:rsidR="00A43FFD" w:rsidRPr="00A43FFD" w:rsidRDefault="00A43FFD" w:rsidP="00A43FFD">
      <w:pPr>
        <w:tabs>
          <w:tab w:val="center" w:pos="8080"/>
        </w:tabs>
        <w:spacing w:after="200" w:line="216" w:lineRule="auto"/>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CUENTA DE PÉRDIDAS Y GANANCIAS</w:t>
      </w:r>
      <w:r w:rsidRPr="00A43FFD">
        <w:rPr>
          <w:rFonts w:ascii="NewBaskerville" w:eastAsiaTheme="minorHAnsi" w:hAnsi="NewBaskerville" w:cstheme="minorBidi"/>
          <w:sz w:val="22"/>
          <w:szCs w:val="22"/>
          <w:lang w:eastAsia="en-US"/>
        </w:rPr>
        <w:tab/>
        <w:t>5</w:t>
      </w:r>
    </w:p>
    <w:p w:rsidR="00A43FFD" w:rsidRPr="00A43FFD" w:rsidRDefault="00A43FFD" w:rsidP="00A43FFD">
      <w:pPr>
        <w:tabs>
          <w:tab w:val="center" w:pos="8080"/>
        </w:tabs>
        <w:spacing w:after="200" w:line="216" w:lineRule="auto"/>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ESTADO DE CAMBIOS EN EL PATRIMONIO NETO</w:t>
      </w:r>
      <w:r w:rsidRPr="00A43FFD">
        <w:rPr>
          <w:rFonts w:ascii="NewBaskerville" w:eastAsiaTheme="minorHAnsi" w:hAnsi="NewBaskerville" w:cstheme="minorBidi"/>
          <w:sz w:val="22"/>
          <w:szCs w:val="22"/>
          <w:lang w:eastAsia="en-US"/>
        </w:rPr>
        <w:tab/>
        <w:t>7</w:t>
      </w:r>
    </w:p>
    <w:p w:rsidR="00A43FFD" w:rsidRPr="00A43FFD" w:rsidRDefault="00A43FFD" w:rsidP="00A43FFD">
      <w:pPr>
        <w:tabs>
          <w:tab w:val="center" w:pos="8080"/>
        </w:tabs>
        <w:spacing w:after="200" w:line="216" w:lineRule="auto"/>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ESTADO DE FLUJOS DE EFECTIVO</w:t>
      </w:r>
      <w:r w:rsidRPr="00A43FFD">
        <w:rPr>
          <w:rFonts w:ascii="NewBaskerville" w:eastAsiaTheme="minorHAnsi" w:hAnsi="NewBaskerville" w:cstheme="minorBidi"/>
          <w:sz w:val="22"/>
          <w:szCs w:val="22"/>
          <w:lang w:eastAsia="en-US"/>
        </w:rPr>
        <w:tab/>
        <w:t>9</w:t>
      </w:r>
    </w:p>
    <w:p w:rsidR="00A43FFD" w:rsidRPr="00A43FFD" w:rsidRDefault="00A43FFD" w:rsidP="00661DE8">
      <w:pPr>
        <w:tabs>
          <w:tab w:val="center" w:pos="8080"/>
        </w:tabs>
        <w:spacing w:after="200" w:line="192" w:lineRule="auto"/>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MEMORIA</w:t>
      </w:r>
    </w:p>
    <w:p w:rsidR="00A43FFD" w:rsidRPr="00A43FFD" w:rsidRDefault="005318A5"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Pr>
          <w:rFonts w:ascii="NewBaskerville" w:eastAsiaTheme="minorHAnsi" w:hAnsi="NewBaskerville" w:cstheme="minorBidi"/>
          <w:sz w:val="22"/>
          <w:szCs w:val="22"/>
          <w:lang w:eastAsia="en-US"/>
        </w:rPr>
        <w:t>ACTIVIDAD DE LA ENTIDAD</w:t>
      </w:r>
      <w:r>
        <w:rPr>
          <w:rFonts w:ascii="NewBaskerville" w:eastAsiaTheme="minorHAnsi" w:hAnsi="NewBaskerville" w:cstheme="minorBidi"/>
          <w:sz w:val="22"/>
          <w:szCs w:val="22"/>
          <w:lang w:eastAsia="en-US"/>
        </w:rPr>
        <w:tab/>
        <w:t>11</w:t>
      </w:r>
    </w:p>
    <w:p w:rsidR="00A43FFD" w:rsidRPr="00A43FFD" w:rsidRDefault="00A43FFD" w:rsidP="00661DE8">
      <w:pPr>
        <w:tabs>
          <w:tab w:val="center" w:pos="8080"/>
        </w:tabs>
        <w:spacing w:before="120" w:after="120" w:line="192" w:lineRule="auto"/>
        <w:ind w:left="720"/>
        <w:contextualSpacing/>
        <w:jc w:val="both"/>
        <w:rPr>
          <w:rFonts w:ascii="NewBaskerville" w:eastAsiaTheme="minorHAnsi" w:hAnsi="NewBaskerville" w:cstheme="minorBidi"/>
          <w:sz w:val="22"/>
          <w:szCs w:val="22"/>
          <w:lang w:eastAsia="en-US"/>
        </w:rPr>
      </w:pPr>
    </w:p>
    <w:p w:rsidR="00A43FFD" w:rsidRPr="00A43FFD" w:rsidRDefault="00A43FFD"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BASES DE PRESEN</w:t>
      </w:r>
      <w:r w:rsidR="005318A5">
        <w:rPr>
          <w:rFonts w:ascii="NewBaskerville" w:eastAsiaTheme="minorHAnsi" w:hAnsi="NewBaskerville" w:cstheme="minorBidi"/>
          <w:sz w:val="22"/>
          <w:szCs w:val="22"/>
          <w:lang w:eastAsia="en-US"/>
        </w:rPr>
        <w:t>TACIÓN DE LAS CUENTAS ANUALES</w:t>
      </w:r>
      <w:r w:rsidR="005318A5">
        <w:rPr>
          <w:rFonts w:ascii="NewBaskerville" w:eastAsiaTheme="minorHAnsi" w:hAnsi="NewBaskerville" w:cstheme="minorBidi"/>
          <w:sz w:val="22"/>
          <w:szCs w:val="22"/>
          <w:lang w:eastAsia="en-US"/>
        </w:rPr>
        <w:tab/>
        <w:t>12</w:t>
      </w:r>
    </w:p>
    <w:p w:rsidR="00A43FFD" w:rsidRPr="00A43FFD" w:rsidRDefault="00A43FFD" w:rsidP="00661DE8">
      <w:pPr>
        <w:tabs>
          <w:tab w:val="center" w:pos="8080"/>
        </w:tabs>
        <w:spacing w:before="120" w:after="120" w:line="192" w:lineRule="auto"/>
        <w:ind w:left="720"/>
        <w:contextualSpacing/>
        <w:jc w:val="both"/>
        <w:rPr>
          <w:rFonts w:ascii="NewBaskerville" w:eastAsiaTheme="minorHAnsi" w:hAnsi="NewBaskerville" w:cstheme="minorBidi"/>
          <w:sz w:val="22"/>
          <w:szCs w:val="22"/>
          <w:lang w:eastAsia="en-US"/>
        </w:rPr>
      </w:pPr>
    </w:p>
    <w:p w:rsidR="00A43FFD" w:rsidRPr="00A43FFD" w:rsidRDefault="00A50580"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Pr>
          <w:rFonts w:ascii="NewBaskerville" w:eastAsiaTheme="minorHAnsi" w:hAnsi="NewBaskerville" w:cstheme="minorBidi"/>
          <w:sz w:val="22"/>
          <w:szCs w:val="22"/>
          <w:lang w:eastAsia="en-US"/>
        </w:rPr>
        <w:t>APLICACIÓN DE RESULTADOS</w:t>
      </w:r>
      <w:r>
        <w:rPr>
          <w:rFonts w:ascii="NewBaskerville" w:eastAsiaTheme="minorHAnsi" w:hAnsi="NewBaskerville" w:cstheme="minorBidi"/>
          <w:sz w:val="22"/>
          <w:szCs w:val="22"/>
          <w:lang w:eastAsia="en-US"/>
        </w:rPr>
        <w:tab/>
      </w:r>
      <w:r w:rsidR="00CB0E91">
        <w:rPr>
          <w:rFonts w:ascii="NewBaskerville" w:eastAsiaTheme="minorHAnsi" w:hAnsi="NewBaskerville" w:cstheme="minorBidi"/>
          <w:sz w:val="22"/>
          <w:szCs w:val="22"/>
          <w:lang w:eastAsia="en-US"/>
        </w:rPr>
        <w:t>43</w:t>
      </w:r>
    </w:p>
    <w:p w:rsidR="00A43FFD" w:rsidRPr="00A43FFD" w:rsidRDefault="00A43FFD" w:rsidP="00661DE8">
      <w:pPr>
        <w:tabs>
          <w:tab w:val="center" w:pos="8080"/>
        </w:tabs>
        <w:spacing w:before="120" w:after="120" w:line="192" w:lineRule="auto"/>
        <w:ind w:left="720"/>
        <w:contextualSpacing/>
        <w:jc w:val="both"/>
        <w:rPr>
          <w:rFonts w:ascii="NewBaskerville" w:eastAsiaTheme="minorHAnsi" w:hAnsi="NewBaskerville" w:cstheme="minorBidi"/>
          <w:sz w:val="22"/>
          <w:szCs w:val="22"/>
          <w:lang w:eastAsia="en-US"/>
        </w:rPr>
      </w:pPr>
    </w:p>
    <w:p w:rsidR="00A43FFD" w:rsidRPr="00A43FFD" w:rsidRDefault="00A43FFD"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NOR</w:t>
      </w:r>
      <w:r w:rsidR="00A50580">
        <w:rPr>
          <w:rFonts w:ascii="NewBaskerville" w:eastAsiaTheme="minorHAnsi" w:hAnsi="NewBaskerville" w:cstheme="minorBidi"/>
          <w:sz w:val="22"/>
          <w:szCs w:val="22"/>
          <w:lang w:eastAsia="en-US"/>
        </w:rPr>
        <w:t>MAS DE REGISTRO Y  VALORACIÓN</w:t>
      </w:r>
      <w:r w:rsidR="00A50580">
        <w:rPr>
          <w:rFonts w:ascii="NewBaskerville" w:eastAsiaTheme="minorHAnsi" w:hAnsi="NewBaskerville" w:cstheme="minorBidi"/>
          <w:sz w:val="22"/>
          <w:szCs w:val="22"/>
          <w:lang w:eastAsia="en-US"/>
        </w:rPr>
        <w:tab/>
      </w:r>
      <w:r w:rsidR="00CB0E91">
        <w:rPr>
          <w:rFonts w:ascii="NewBaskerville" w:eastAsiaTheme="minorHAnsi" w:hAnsi="NewBaskerville" w:cstheme="minorBidi"/>
          <w:sz w:val="22"/>
          <w:szCs w:val="22"/>
          <w:lang w:eastAsia="en-US"/>
        </w:rPr>
        <w:t>43</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43FFD"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 xml:space="preserve">INMOVILIZADO </w:t>
      </w:r>
      <w:r w:rsidR="00A50580">
        <w:rPr>
          <w:rFonts w:ascii="NewBaskerville" w:eastAsiaTheme="minorHAnsi" w:hAnsi="NewBaskerville" w:cstheme="minorBidi"/>
          <w:sz w:val="22"/>
          <w:szCs w:val="22"/>
          <w:lang w:eastAsia="en-US"/>
        </w:rPr>
        <w:t>INTANGIBLE</w:t>
      </w:r>
      <w:r w:rsidR="00A50580">
        <w:rPr>
          <w:rFonts w:ascii="NewBaskerville" w:eastAsiaTheme="minorHAnsi" w:hAnsi="NewBaskerville" w:cstheme="minorBidi"/>
          <w:sz w:val="22"/>
          <w:szCs w:val="22"/>
          <w:lang w:eastAsia="en-US"/>
        </w:rPr>
        <w:tab/>
      </w:r>
      <w:r w:rsidR="00CB0E91">
        <w:rPr>
          <w:rFonts w:ascii="NewBaskerville" w:eastAsiaTheme="minorHAnsi" w:hAnsi="NewBaskerville" w:cstheme="minorBidi"/>
          <w:sz w:val="22"/>
          <w:szCs w:val="22"/>
          <w:lang w:eastAsia="en-US"/>
        </w:rPr>
        <w:t>56</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50580"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Pr>
          <w:rFonts w:ascii="NewBaskerville" w:eastAsiaTheme="minorHAnsi" w:hAnsi="NewBaskerville" w:cstheme="minorBidi"/>
          <w:sz w:val="22"/>
          <w:szCs w:val="22"/>
          <w:lang w:eastAsia="en-US"/>
        </w:rPr>
        <w:t>INMOVILIZADO MATERIAL</w:t>
      </w:r>
      <w:r>
        <w:rPr>
          <w:rFonts w:ascii="NewBaskerville" w:eastAsiaTheme="minorHAnsi" w:hAnsi="NewBaskerville" w:cstheme="minorBidi"/>
          <w:sz w:val="22"/>
          <w:szCs w:val="22"/>
          <w:lang w:eastAsia="en-US"/>
        </w:rPr>
        <w:tab/>
      </w:r>
      <w:r w:rsidR="00CB0E91">
        <w:rPr>
          <w:rFonts w:ascii="NewBaskerville" w:eastAsiaTheme="minorHAnsi" w:hAnsi="NewBaskerville" w:cstheme="minorBidi"/>
          <w:sz w:val="22"/>
          <w:szCs w:val="22"/>
          <w:lang w:eastAsia="en-US"/>
        </w:rPr>
        <w:t>58</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50580"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Pr>
          <w:rFonts w:ascii="NewBaskerville" w:eastAsiaTheme="minorHAnsi" w:hAnsi="NewBaskerville" w:cstheme="minorBidi"/>
          <w:sz w:val="22"/>
          <w:szCs w:val="22"/>
          <w:lang w:eastAsia="en-US"/>
        </w:rPr>
        <w:t>INVERSIONES INMOBILIARIAS</w:t>
      </w:r>
      <w:r>
        <w:rPr>
          <w:rFonts w:ascii="NewBaskerville" w:eastAsiaTheme="minorHAnsi" w:hAnsi="NewBaskerville" w:cstheme="minorBidi"/>
          <w:sz w:val="22"/>
          <w:szCs w:val="22"/>
          <w:lang w:eastAsia="en-US"/>
        </w:rPr>
        <w:tab/>
      </w:r>
      <w:r w:rsidR="007A2962">
        <w:rPr>
          <w:rFonts w:ascii="NewBaskerville" w:eastAsiaTheme="minorHAnsi" w:hAnsi="NewBaskerville" w:cstheme="minorBidi"/>
          <w:sz w:val="22"/>
          <w:szCs w:val="22"/>
          <w:lang w:eastAsia="en-US"/>
        </w:rPr>
        <w:t>68</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50580"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Pr>
          <w:rFonts w:ascii="NewBaskerville" w:eastAsiaTheme="minorHAnsi" w:hAnsi="NewBaskerville" w:cstheme="minorBidi"/>
          <w:sz w:val="22"/>
          <w:szCs w:val="22"/>
          <w:lang w:eastAsia="en-US"/>
        </w:rPr>
        <w:t>ARRENDAMIENTOS OPERATIVOS</w:t>
      </w:r>
      <w:r>
        <w:rPr>
          <w:rFonts w:ascii="NewBaskerville" w:eastAsiaTheme="minorHAnsi" w:hAnsi="NewBaskerville" w:cstheme="minorBidi"/>
          <w:sz w:val="22"/>
          <w:szCs w:val="22"/>
          <w:lang w:eastAsia="en-US"/>
        </w:rPr>
        <w:tab/>
      </w:r>
      <w:r w:rsidR="007A2962">
        <w:rPr>
          <w:rFonts w:ascii="NewBaskerville" w:eastAsiaTheme="minorHAnsi" w:hAnsi="NewBaskerville" w:cstheme="minorBidi"/>
          <w:sz w:val="22"/>
          <w:szCs w:val="22"/>
          <w:lang w:eastAsia="en-US"/>
        </w:rPr>
        <w:t>72</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43FFD"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INSTRUMENTOS FINANCIERO</w:t>
      </w:r>
      <w:r w:rsidR="00866F3D">
        <w:rPr>
          <w:rFonts w:ascii="NewBaskerville" w:eastAsiaTheme="minorHAnsi" w:hAnsi="NewBaskerville" w:cstheme="minorBidi"/>
          <w:sz w:val="22"/>
          <w:szCs w:val="22"/>
          <w:lang w:eastAsia="en-US"/>
        </w:rPr>
        <w:t>S</w:t>
      </w:r>
      <w:r w:rsidR="00A50580">
        <w:rPr>
          <w:rFonts w:ascii="NewBaskerville" w:eastAsiaTheme="minorHAnsi" w:hAnsi="NewBaskerville" w:cstheme="minorBidi"/>
          <w:sz w:val="22"/>
          <w:szCs w:val="22"/>
          <w:lang w:eastAsia="en-US"/>
        </w:rPr>
        <w:tab/>
      </w:r>
      <w:r w:rsidR="007A2962">
        <w:rPr>
          <w:rFonts w:ascii="NewBaskerville" w:eastAsiaTheme="minorHAnsi" w:hAnsi="NewBaskerville" w:cstheme="minorBidi"/>
          <w:sz w:val="22"/>
          <w:szCs w:val="22"/>
          <w:lang w:eastAsia="en-US"/>
        </w:rPr>
        <w:t>80</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50580"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Pr>
          <w:rFonts w:ascii="NewBaskerville" w:eastAsiaTheme="minorHAnsi" w:hAnsi="NewBaskerville" w:cstheme="minorBidi"/>
          <w:sz w:val="22"/>
          <w:szCs w:val="22"/>
          <w:lang w:eastAsia="en-US"/>
        </w:rPr>
        <w:t>PROVISIONES Y CONTINGENCIAS</w:t>
      </w:r>
      <w:r>
        <w:rPr>
          <w:rFonts w:ascii="NewBaskerville" w:eastAsiaTheme="minorHAnsi" w:hAnsi="NewBaskerville" w:cstheme="minorBidi"/>
          <w:sz w:val="22"/>
          <w:szCs w:val="22"/>
          <w:lang w:eastAsia="en-US"/>
        </w:rPr>
        <w:tab/>
      </w:r>
      <w:r w:rsidR="007A2962">
        <w:rPr>
          <w:rFonts w:ascii="NewBaskerville" w:eastAsiaTheme="minorHAnsi" w:hAnsi="NewBaskerville" w:cstheme="minorBidi"/>
          <w:sz w:val="22"/>
          <w:szCs w:val="22"/>
          <w:lang w:eastAsia="en-US"/>
        </w:rPr>
        <w:t>91</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43FFD"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SUBVE</w:t>
      </w:r>
      <w:r w:rsidR="00A50580">
        <w:rPr>
          <w:rFonts w:ascii="NewBaskerville" w:eastAsiaTheme="minorHAnsi" w:hAnsi="NewBaskerville" w:cstheme="minorBidi"/>
          <w:sz w:val="22"/>
          <w:szCs w:val="22"/>
          <w:lang w:eastAsia="en-US"/>
        </w:rPr>
        <w:t>NCIONES, DONACIONES Y LEGADOS</w:t>
      </w:r>
      <w:r w:rsidR="00A50580">
        <w:rPr>
          <w:rFonts w:ascii="NewBaskerville" w:eastAsiaTheme="minorHAnsi" w:hAnsi="NewBaskerville" w:cstheme="minorBidi"/>
          <w:sz w:val="22"/>
          <w:szCs w:val="22"/>
          <w:lang w:eastAsia="en-US"/>
        </w:rPr>
        <w:tab/>
      </w:r>
      <w:r w:rsidR="007A2962">
        <w:rPr>
          <w:rFonts w:ascii="NewBaskerville" w:eastAsiaTheme="minorHAnsi" w:hAnsi="NewBaskerville" w:cstheme="minorBidi"/>
          <w:sz w:val="22"/>
          <w:szCs w:val="22"/>
          <w:lang w:eastAsia="en-US"/>
        </w:rPr>
        <w:t>95</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50580"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Pr>
          <w:rFonts w:ascii="NewBaskerville" w:eastAsiaTheme="minorHAnsi" w:hAnsi="NewBaskerville" w:cstheme="minorBidi"/>
          <w:sz w:val="22"/>
          <w:szCs w:val="22"/>
          <w:lang w:eastAsia="en-US"/>
        </w:rPr>
        <w:t>SITUACIÓN FISCAL</w:t>
      </w:r>
      <w:r>
        <w:rPr>
          <w:rFonts w:ascii="NewBaskerville" w:eastAsiaTheme="minorHAnsi" w:hAnsi="NewBaskerville" w:cstheme="minorBidi"/>
          <w:sz w:val="22"/>
          <w:szCs w:val="22"/>
          <w:lang w:eastAsia="en-US"/>
        </w:rPr>
        <w:tab/>
      </w:r>
      <w:r w:rsidR="007A2962">
        <w:rPr>
          <w:rFonts w:ascii="NewBaskerville" w:eastAsiaTheme="minorHAnsi" w:hAnsi="NewBaskerville" w:cstheme="minorBidi"/>
          <w:sz w:val="22"/>
          <w:szCs w:val="22"/>
          <w:lang w:eastAsia="en-US"/>
        </w:rPr>
        <w:t>99</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43FFD"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 xml:space="preserve">INFORMACIÓN SOBRE EL MEDIO </w:t>
      </w:r>
      <w:r w:rsidR="00A50580">
        <w:rPr>
          <w:rFonts w:ascii="NewBaskerville" w:eastAsiaTheme="minorHAnsi" w:hAnsi="NewBaskerville" w:cstheme="minorBidi"/>
          <w:sz w:val="22"/>
          <w:szCs w:val="22"/>
          <w:lang w:eastAsia="en-US"/>
        </w:rPr>
        <w:t>AMBIENTE</w:t>
      </w:r>
      <w:r w:rsidR="00A50580">
        <w:rPr>
          <w:rFonts w:ascii="NewBaskerville" w:eastAsiaTheme="minorHAnsi" w:hAnsi="NewBaskerville" w:cstheme="minorBidi"/>
          <w:sz w:val="22"/>
          <w:szCs w:val="22"/>
          <w:lang w:eastAsia="en-US"/>
        </w:rPr>
        <w:tab/>
      </w:r>
      <w:r w:rsidR="007A2962">
        <w:rPr>
          <w:rFonts w:ascii="NewBaskerville" w:eastAsiaTheme="minorHAnsi" w:hAnsi="NewBaskerville" w:cstheme="minorBidi"/>
          <w:sz w:val="22"/>
          <w:szCs w:val="22"/>
          <w:lang w:eastAsia="en-US"/>
        </w:rPr>
        <w:t>123</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50580"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Pr>
          <w:rFonts w:ascii="NewBaskerville" w:eastAsiaTheme="minorHAnsi" w:hAnsi="NewBaskerville" w:cstheme="minorBidi"/>
          <w:sz w:val="22"/>
          <w:szCs w:val="22"/>
          <w:lang w:eastAsia="en-US"/>
        </w:rPr>
        <w:t>INGRESOS Y GASTOS</w:t>
      </w:r>
      <w:r>
        <w:rPr>
          <w:rFonts w:ascii="NewBaskerville" w:eastAsiaTheme="minorHAnsi" w:hAnsi="NewBaskerville" w:cstheme="minorBidi"/>
          <w:sz w:val="22"/>
          <w:szCs w:val="22"/>
          <w:lang w:eastAsia="en-US"/>
        </w:rPr>
        <w:tab/>
      </w:r>
      <w:r w:rsidR="007A2962">
        <w:rPr>
          <w:rFonts w:ascii="NewBaskerville" w:eastAsiaTheme="minorHAnsi" w:hAnsi="NewBaskerville" w:cstheme="minorBidi"/>
          <w:sz w:val="22"/>
          <w:szCs w:val="22"/>
          <w:lang w:eastAsia="en-US"/>
        </w:rPr>
        <w:t>124</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43FFD"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DETALLE DE LA</w:t>
      </w:r>
      <w:r w:rsidR="00A50580">
        <w:rPr>
          <w:rFonts w:ascii="NewBaskerville" w:eastAsiaTheme="minorHAnsi" w:hAnsi="NewBaskerville" w:cstheme="minorBidi"/>
          <w:sz w:val="22"/>
          <w:szCs w:val="22"/>
          <w:lang w:eastAsia="en-US"/>
        </w:rPr>
        <w:t xml:space="preserve"> CIFRA DE NEGOCIO POR PUERTOS</w:t>
      </w:r>
      <w:r w:rsidR="00A50580">
        <w:rPr>
          <w:rFonts w:ascii="NewBaskerville" w:eastAsiaTheme="minorHAnsi" w:hAnsi="NewBaskerville" w:cstheme="minorBidi"/>
          <w:sz w:val="22"/>
          <w:szCs w:val="22"/>
          <w:lang w:eastAsia="en-US"/>
        </w:rPr>
        <w:tab/>
      </w:r>
      <w:r w:rsidR="007A2962">
        <w:rPr>
          <w:rFonts w:ascii="NewBaskerville" w:eastAsiaTheme="minorHAnsi" w:hAnsi="NewBaskerville" w:cstheme="minorBidi"/>
          <w:sz w:val="22"/>
          <w:szCs w:val="22"/>
          <w:lang w:eastAsia="en-US"/>
        </w:rPr>
        <w:t>127</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50580"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Pr>
          <w:rFonts w:ascii="NewBaskerville" w:eastAsiaTheme="minorHAnsi" w:hAnsi="NewBaskerville" w:cstheme="minorBidi"/>
          <w:sz w:val="22"/>
          <w:szCs w:val="22"/>
          <w:lang w:eastAsia="en-US"/>
        </w:rPr>
        <w:t>NÚMERO DE EMPLEADOS</w:t>
      </w:r>
      <w:r>
        <w:rPr>
          <w:rFonts w:ascii="NewBaskerville" w:eastAsiaTheme="minorHAnsi" w:hAnsi="NewBaskerville" w:cstheme="minorBidi"/>
          <w:sz w:val="22"/>
          <w:szCs w:val="22"/>
          <w:lang w:eastAsia="en-US"/>
        </w:rPr>
        <w:tab/>
      </w:r>
      <w:r w:rsidR="007A2962">
        <w:rPr>
          <w:rFonts w:ascii="NewBaskerville" w:eastAsiaTheme="minorHAnsi" w:hAnsi="NewBaskerville" w:cstheme="minorBidi"/>
          <w:sz w:val="22"/>
          <w:szCs w:val="22"/>
          <w:lang w:eastAsia="en-US"/>
        </w:rPr>
        <w:t>128</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2E626F" w:rsidRPr="00A43FFD" w:rsidRDefault="00A50580" w:rsidP="00661DE8">
      <w:pPr>
        <w:numPr>
          <w:ilvl w:val="0"/>
          <w:numId w:val="42"/>
        </w:numPr>
        <w:tabs>
          <w:tab w:val="center" w:pos="8080"/>
        </w:tabs>
        <w:spacing w:before="120" w:after="120" w:line="192" w:lineRule="auto"/>
        <w:ind w:right="282"/>
        <w:contextualSpacing/>
        <w:jc w:val="both"/>
        <w:rPr>
          <w:b/>
          <w:bCs/>
          <w:sz w:val="22"/>
          <w:szCs w:val="22"/>
        </w:rPr>
      </w:pPr>
      <w:r>
        <w:rPr>
          <w:rFonts w:ascii="NewBaskerville" w:eastAsiaTheme="minorHAnsi" w:hAnsi="NewBaskerville" w:cstheme="minorBidi"/>
          <w:sz w:val="22"/>
          <w:szCs w:val="22"/>
          <w:lang w:eastAsia="en-US"/>
        </w:rPr>
        <w:t>REMUNERACIÓN DE CONSEJEROS</w:t>
      </w:r>
      <w:r>
        <w:rPr>
          <w:rFonts w:ascii="NewBaskerville" w:eastAsiaTheme="minorHAnsi" w:hAnsi="NewBaskerville" w:cstheme="minorBidi"/>
          <w:sz w:val="22"/>
          <w:szCs w:val="22"/>
          <w:lang w:eastAsia="en-US"/>
        </w:rPr>
        <w:tab/>
      </w:r>
      <w:r w:rsidR="007A2962">
        <w:rPr>
          <w:rFonts w:ascii="NewBaskerville" w:eastAsiaTheme="minorHAnsi" w:hAnsi="NewBaskerville" w:cstheme="minorBidi"/>
          <w:sz w:val="22"/>
          <w:szCs w:val="22"/>
          <w:lang w:eastAsia="en-US"/>
        </w:rPr>
        <w:t>129</w:t>
      </w:r>
    </w:p>
    <w:p w:rsidR="00A43FFD" w:rsidRPr="00661DE8" w:rsidRDefault="00A43FFD" w:rsidP="00661DE8">
      <w:pPr>
        <w:tabs>
          <w:tab w:val="center" w:pos="8080"/>
        </w:tabs>
        <w:spacing w:before="120" w:after="120" w:line="192" w:lineRule="auto"/>
        <w:ind w:right="282"/>
        <w:contextualSpacing/>
        <w:rPr>
          <w:rFonts w:ascii="NewBaskerville" w:hAnsi="NewBaskerville"/>
          <w:bCs/>
          <w:sz w:val="22"/>
          <w:szCs w:val="22"/>
        </w:rPr>
      </w:pPr>
    </w:p>
    <w:p w:rsidR="00661DE8" w:rsidRDefault="00A43FFD" w:rsidP="00661DE8">
      <w:pPr>
        <w:numPr>
          <w:ilvl w:val="0"/>
          <w:numId w:val="42"/>
        </w:numPr>
        <w:tabs>
          <w:tab w:val="center" w:pos="8080"/>
        </w:tabs>
        <w:spacing w:before="120" w:after="120" w:line="192" w:lineRule="auto"/>
        <w:ind w:right="282"/>
        <w:contextualSpacing/>
        <w:jc w:val="both"/>
        <w:rPr>
          <w:rFonts w:ascii="NewBaskerville" w:hAnsi="NewBaskerville"/>
          <w:bCs/>
          <w:sz w:val="22"/>
          <w:szCs w:val="22"/>
        </w:rPr>
      </w:pPr>
      <w:r w:rsidRPr="00661DE8">
        <w:rPr>
          <w:rFonts w:ascii="NewBaskerville" w:hAnsi="NewBaskerville"/>
          <w:bCs/>
          <w:sz w:val="22"/>
          <w:szCs w:val="22"/>
        </w:rPr>
        <w:t>DE</w:t>
      </w:r>
      <w:r w:rsidR="00A50580">
        <w:rPr>
          <w:rFonts w:ascii="NewBaskerville" w:hAnsi="NewBaskerville"/>
          <w:bCs/>
          <w:sz w:val="22"/>
          <w:szCs w:val="22"/>
        </w:rPr>
        <w:t>SGLOSE DE LA LEY DE MOROSIDAD</w:t>
      </w:r>
      <w:r w:rsidR="00A50580">
        <w:rPr>
          <w:rFonts w:ascii="NewBaskerville" w:hAnsi="NewBaskerville"/>
          <w:bCs/>
          <w:sz w:val="22"/>
          <w:szCs w:val="22"/>
        </w:rPr>
        <w:tab/>
      </w:r>
      <w:r w:rsidR="007A2962">
        <w:rPr>
          <w:rFonts w:ascii="NewBaskerville" w:hAnsi="NewBaskerville"/>
          <w:bCs/>
          <w:sz w:val="22"/>
          <w:szCs w:val="22"/>
        </w:rPr>
        <w:t>129</w:t>
      </w:r>
    </w:p>
    <w:p w:rsidR="00661DE8" w:rsidRPr="00661DE8" w:rsidRDefault="00661DE8" w:rsidP="00661DE8">
      <w:pPr>
        <w:tabs>
          <w:tab w:val="center" w:pos="8080"/>
        </w:tabs>
        <w:spacing w:before="120" w:after="120" w:line="192" w:lineRule="auto"/>
        <w:ind w:left="720" w:right="282"/>
        <w:contextualSpacing/>
        <w:jc w:val="both"/>
        <w:rPr>
          <w:rFonts w:ascii="NewBaskerville" w:hAnsi="NewBaskerville"/>
          <w:bCs/>
          <w:sz w:val="22"/>
          <w:szCs w:val="22"/>
        </w:rPr>
      </w:pPr>
    </w:p>
    <w:p w:rsidR="00661DE8" w:rsidRDefault="00661DE8" w:rsidP="00661DE8">
      <w:pPr>
        <w:pStyle w:val="Prrafodelista"/>
        <w:rPr>
          <w:rFonts w:ascii="NewBaskerville" w:hAnsi="NewBaskerville"/>
          <w:bCs/>
          <w:sz w:val="22"/>
          <w:szCs w:val="22"/>
        </w:rPr>
      </w:pPr>
    </w:p>
    <w:p w:rsidR="001943DA" w:rsidRDefault="001943DA" w:rsidP="00661DE8">
      <w:pPr>
        <w:pStyle w:val="Prrafodelista"/>
        <w:rPr>
          <w:rFonts w:ascii="NewBaskerville" w:hAnsi="NewBaskerville"/>
          <w:bCs/>
          <w:sz w:val="22"/>
          <w:szCs w:val="22"/>
        </w:rPr>
      </w:pPr>
    </w:p>
    <w:p w:rsidR="00FF4B7F" w:rsidRDefault="00FF4B7F" w:rsidP="00661DE8">
      <w:pPr>
        <w:pStyle w:val="Prrafodelista"/>
        <w:rPr>
          <w:rFonts w:ascii="NewBaskerville" w:hAnsi="NewBaskerville"/>
          <w:bCs/>
          <w:sz w:val="22"/>
          <w:szCs w:val="22"/>
        </w:rPr>
      </w:pPr>
    </w:p>
    <w:p w:rsidR="00A43FFD" w:rsidRDefault="00A43FFD" w:rsidP="00A43FFD">
      <w:pPr>
        <w:pStyle w:val="Prrafodelista"/>
        <w:rPr>
          <w:b/>
          <w:bCs/>
          <w:sz w:val="22"/>
          <w:szCs w:val="22"/>
        </w:rPr>
      </w:pPr>
    </w:p>
    <w:p w:rsidR="007A2962" w:rsidRDefault="007A2962" w:rsidP="00A43FFD">
      <w:pPr>
        <w:pStyle w:val="Prrafodelista"/>
        <w:rPr>
          <w:b/>
          <w:bCs/>
          <w:sz w:val="22"/>
          <w:szCs w:val="22"/>
        </w:rPr>
      </w:pPr>
    </w:p>
    <w:p w:rsidR="00661DE8" w:rsidRDefault="00661DE8" w:rsidP="00A43FFD">
      <w:pPr>
        <w:pStyle w:val="Prrafodelista"/>
        <w:rPr>
          <w:b/>
          <w:bCs/>
          <w:sz w:val="22"/>
          <w:szCs w:val="22"/>
        </w:rPr>
      </w:pPr>
    </w:p>
    <w:tbl>
      <w:tblPr>
        <w:tblW w:w="5000" w:type="pct"/>
        <w:tblCellMar>
          <w:left w:w="70" w:type="dxa"/>
          <w:right w:w="70" w:type="dxa"/>
        </w:tblCellMar>
        <w:tblLook w:val="04A0" w:firstRow="1" w:lastRow="0" w:firstColumn="1" w:lastColumn="0" w:noHBand="0" w:noVBand="1"/>
      </w:tblPr>
      <w:tblGrid>
        <w:gridCol w:w="4807"/>
        <w:gridCol w:w="178"/>
        <w:gridCol w:w="1401"/>
        <w:gridCol w:w="99"/>
        <w:gridCol w:w="1482"/>
        <w:gridCol w:w="19"/>
        <w:gridCol w:w="658"/>
      </w:tblGrid>
      <w:tr w:rsidR="00DB650C" w:rsidRPr="00DB650C" w:rsidTr="00DB650C">
        <w:trPr>
          <w:trHeight w:val="300"/>
        </w:trPr>
        <w:tc>
          <w:tcPr>
            <w:tcW w:w="2781" w:type="pct"/>
            <w:tcBorders>
              <w:top w:val="nil"/>
              <w:left w:val="nil"/>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8"/>
                <w:szCs w:val="18"/>
                <w:lang w:val="es-ES"/>
              </w:rPr>
            </w:pPr>
            <w:r w:rsidRPr="00DB650C">
              <w:rPr>
                <w:rFonts w:ascii="Lucida Bright" w:hAnsi="Lucida Bright" w:cs="Calibri"/>
                <w:b/>
                <w:bCs/>
                <w:sz w:val="18"/>
                <w:szCs w:val="18"/>
                <w:lang w:val="es-ES"/>
              </w:rPr>
              <w:lastRenderedPageBreak/>
              <w:t>Balance al cierre del ejercicio 2024</w:t>
            </w:r>
          </w:p>
        </w:tc>
        <w:tc>
          <w:tcPr>
            <w:tcW w:w="914" w:type="pct"/>
            <w:gridSpan w:val="2"/>
            <w:tcBorders>
              <w:top w:val="nil"/>
              <w:left w:val="nil"/>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914" w:type="pct"/>
            <w:gridSpan w:val="2"/>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sz w:val="18"/>
                <w:szCs w:val="18"/>
                <w:lang w:val="es-ES"/>
              </w:rPr>
            </w:pPr>
            <w:r w:rsidRPr="00DB650C">
              <w:rPr>
                <w:rFonts w:ascii="Lucida Bright" w:hAnsi="Lucida Bright" w:cs="Calibri"/>
                <w:sz w:val="18"/>
                <w:szCs w:val="18"/>
                <w:lang w:val="es-ES"/>
              </w:rPr>
              <w:t>(en euros)</w:t>
            </w:r>
          </w:p>
        </w:tc>
        <w:tc>
          <w:tcPr>
            <w:tcW w:w="391" w:type="pct"/>
            <w:gridSpan w:val="2"/>
            <w:tcBorders>
              <w:top w:val="nil"/>
              <w:left w:val="nil"/>
              <w:bottom w:val="nil"/>
              <w:right w:val="nil"/>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p>
        </w:tc>
      </w:tr>
      <w:tr w:rsidR="00DB650C" w:rsidRPr="00DB650C" w:rsidTr="00DB650C">
        <w:trPr>
          <w:trHeight w:val="300"/>
        </w:trPr>
        <w:tc>
          <w:tcPr>
            <w:tcW w:w="2781"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8"/>
                <w:szCs w:val="18"/>
                <w:lang w:val="es-ES"/>
              </w:rPr>
            </w:pPr>
            <w:r w:rsidRPr="00DB650C">
              <w:rPr>
                <w:rFonts w:ascii="Lucida Bright" w:hAnsi="Lucida Bright" w:cs="Calibri"/>
                <w:b/>
                <w:bCs/>
                <w:sz w:val="18"/>
                <w:szCs w:val="18"/>
                <w:lang w:val="es-ES"/>
              </w:rPr>
              <w:t>ACTIVO</w:t>
            </w:r>
          </w:p>
        </w:tc>
        <w:tc>
          <w:tcPr>
            <w:tcW w:w="914" w:type="pct"/>
            <w:gridSpan w:val="2"/>
            <w:tcBorders>
              <w:top w:val="single" w:sz="4" w:space="0" w:color="auto"/>
              <w:left w:val="nil"/>
              <w:bottom w:val="single" w:sz="4" w:space="0" w:color="auto"/>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8"/>
                <w:szCs w:val="18"/>
                <w:lang w:val="es-ES"/>
              </w:rPr>
            </w:pPr>
            <w:r w:rsidRPr="00DB650C">
              <w:rPr>
                <w:rFonts w:ascii="Lucida Bright" w:hAnsi="Lucida Bright" w:cs="Calibri"/>
                <w:b/>
                <w:bCs/>
                <w:sz w:val="18"/>
                <w:szCs w:val="18"/>
                <w:lang w:val="es-ES"/>
              </w:rPr>
              <w:t>2024</w:t>
            </w:r>
          </w:p>
        </w:tc>
        <w:tc>
          <w:tcPr>
            <w:tcW w:w="914" w:type="pct"/>
            <w:gridSpan w:val="2"/>
            <w:tcBorders>
              <w:top w:val="single" w:sz="4" w:space="0" w:color="auto"/>
              <w:left w:val="nil"/>
              <w:bottom w:val="single" w:sz="4" w:space="0" w:color="auto"/>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8"/>
                <w:szCs w:val="18"/>
                <w:lang w:val="es-ES"/>
              </w:rPr>
            </w:pPr>
            <w:r w:rsidRPr="00DB650C">
              <w:rPr>
                <w:rFonts w:ascii="Lucida Bright" w:hAnsi="Lucida Bright" w:cs="Calibri"/>
                <w:b/>
                <w:bCs/>
                <w:sz w:val="18"/>
                <w:szCs w:val="18"/>
                <w:lang w:val="es-ES"/>
              </w:rPr>
              <w:t>2023</w:t>
            </w:r>
          </w:p>
        </w:tc>
        <w:tc>
          <w:tcPr>
            <w:tcW w:w="391" w:type="pct"/>
            <w:gridSpan w:val="2"/>
            <w:tcBorders>
              <w:top w:val="single" w:sz="4" w:space="0" w:color="auto"/>
              <w:left w:val="nil"/>
              <w:bottom w:val="single" w:sz="4" w:space="0" w:color="auto"/>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8"/>
                <w:szCs w:val="18"/>
                <w:lang w:val="es-ES"/>
              </w:rPr>
            </w:pPr>
            <w:r w:rsidRPr="00DB650C">
              <w:rPr>
                <w:rFonts w:ascii="Lucida Bright" w:hAnsi="Lucida Bright" w:cs="Calibri"/>
                <w:b/>
                <w:bCs/>
                <w:sz w:val="18"/>
                <w:szCs w:val="18"/>
                <w:lang w:val="es-ES"/>
              </w:rPr>
              <w:t>Notas</w:t>
            </w:r>
          </w:p>
        </w:tc>
      </w:tr>
      <w:tr w:rsidR="00DB650C" w:rsidRPr="00DB650C" w:rsidTr="00DB650C">
        <w:trPr>
          <w:trHeight w:val="139"/>
        </w:trPr>
        <w:tc>
          <w:tcPr>
            <w:tcW w:w="27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bottom"/>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bottom"/>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91" w:type="pct"/>
            <w:gridSpan w:val="2"/>
            <w:tcBorders>
              <w:top w:val="nil"/>
              <w:left w:val="nil"/>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000000" w:fill="CCFFCC"/>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A) ACTIVO NO CORRIENTE</w:t>
            </w:r>
          </w:p>
        </w:tc>
        <w:tc>
          <w:tcPr>
            <w:tcW w:w="914" w:type="pct"/>
            <w:gridSpan w:val="2"/>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531.250.921,66 </w:t>
            </w:r>
          </w:p>
        </w:tc>
        <w:tc>
          <w:tcPr>
            <w:tcW w:w="914" w:type="pct"/>
            <w:gridSpan w:val="2"/>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493.660.375,61 </w:t>
            </w:r>
          </w:p>
        </w:tc>
        <w:tc>
          <w:tcPr>
            <w:tcW w:w="391" w:type="pct"/>
            <w:gridSpan w:val="2"/>
            <w:tcBorders>
              <w:top w:val="nil"/>
              <w:left w:val="nil"/>
              <w:bottom w:val="nil"/>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r w:rsidR="00DB650C" w:rsidRPr="00DB650C" w:rsidTr="00DB650C">
        <w:trPr>
          <w:trHeight w:val="139"/>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91" w:type="pct"/>
            <w:gridSpan w:val="2"/>
            <w:tcBorders>
              <w:top w:val="nil"/>
              <w:left w:val="nil"/>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 Inmovilizado intangible</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5.463.479,81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4.132.277,94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5</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1. Propiedad industrial y otro inmovilizado intangible</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2. Aplicaciones informáticas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5.463.479,81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4.132.277,94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3. Anticipos para inmovilizaciones intangibles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II. Inmovilizado material</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420.741.826,55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398.009.848,99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6</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1. Terrenos y bienes naturales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78.262.768,94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78.263.962,94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2. Construcciones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278.210.182,01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269.252.321,63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3. Equipamientos e instalaciones técnicas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8.484.087,10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8.034.451,13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4. Inmovilizado en curso y anticipos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49.789.228,39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36.454.995,18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5. Otro inmovilizado</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5.995.560,11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6.004.118,11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III. Inversiones inmobiliarias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95.987.474,22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84.055.938,37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7</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1. Terrenos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64.033.614,39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64.033.614,39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2. Construcciones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31.953.859,83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20.022.323,98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IV. Inversiones en empresas del grupo y asociadas a largo plazo</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5.091.999,97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5.419.176,45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9</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1. Instrumentos de patrimonio</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2. Créditos a empresas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5.091.999,97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5.419.176,45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V. Inversiones financieras a largo plazo</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781.236,97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1.836.202,16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9.1</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1. Instrumentos de patrimonio</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2. Créditos a terceros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781.236,97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591.764,16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360"/>
        </w:trPr>
        <w:tc>
          <w:tcPr>
            <w:tcW w:w="2781" w:type="pct"/>
            <w:tcBorders>
              <w:top w:val="nil"/>
              <w:left w:val="single" w:sz="4" w:space="0" w:color="auto"/>
              <w:bottom w:val="nil"/>
              <w:right w:val="single" w:sz="4" w:space="0" w:color="auto"/>
            </w:tcBorders>
            <w:shd w:val="clear" w:color="auto" w:fill="auto"/>
            <w:vAlign w:val="center"/>
            <w:hideMark/>
          </w:tcPr>
          <w:p w:rsidR="00DB650C" w:rsidRPr="00DB650C" w:rsidRDefault="00DB650C" w:rsidP="00DB650C">
            <w:pP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xml:space="preserve">       3. Administraciones Públicas, subvenciones oficiales pendientes de cobro</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4. Otros activos financieros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1.244.438,00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VI. Activos por impuesto diferido</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3.184.904,14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206.931,70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12</w:t>
            </w:r>
          </w:p>
        </w:tc>
      </w:tr>
      <w:tr w:rsidR="00DB650C" w:rsidRPr="00DB650C" w:rsidTr="00DB650C">
        <w:trPr>
          <w:trHeight w:val="139"/>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VII. Deudores comerciales no corrientes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000000" w:fill="CCFFCC"/>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B) ACTIVO CORRIENTE</w:t>
            </w:r>
          </w:p>
        </w:tc>
        <w:tc>
          <w:tcPr>
            <w:tcW w:w="914" w:type="pct"/>
            <w:gridSpan w:val="2"/>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324.717.134,48 </w:t>
            </w:r>
          </w:p>
        </w:tc>
        <w:tc>
          <w:tcPr>
            <w:tcW w:w="914" w:type="pct"/>
            <w:gridSpan w:val="2"/>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298.999.088,09 </w:t>
            </w:r>
          </w:p>
        </w:tc>
        <w:tc>
          <w:tcPr>
            <w:tcW w:w="391" w:type="pct"/>
            <w:gridSpan w:val="2"/>
            <w:tcBorders>
              <w:top w:val="nil"/>
              <w:left w:val="nil"/>
              <w:bottom w:val="nil"/>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r w:rsidR="00DB650C" w:rsidRPr="00DB650C" w:rsidTr="00DB650C">
        <w:trPr>
          <w:trHeight w:val="139"/>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 Activos no corrientes mantenidos para la venta</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II. Existencias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15.485,31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21.387,36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III. Deudores comerciales y otras cuentas a cobrar</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29.357.149,85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28.227.764,72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9.1</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1. Clientes por ventas y prestaciones de servicios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12.016.438,19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15.713.146,85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2. Clientes y deudores, empresas del grupo y asociadas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3. Deudores varios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640.901,68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323.056,45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315"/>
        </w:trPr>
        <w:tc>
          <w:tcPr>
            <w:tcW w:w="2781" w:type="pct"/>
            <w:tcBorders>
              <w:top w:val="nil"/>
              <w:left w:val="single" w:sz="4" w:space="0" w:color="auto"/>
              <w:bottom w:val="nil"/>
              <w:right w:val="single" w:sz="4" w:space="0" w:color="auto"/>
            </w:tcBorders>
            <w:shd w:val="clear" w:color="auto" w:fill="auto"/>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4. Administraciones Públicas, subvenciones oficiales pendientes de cobro</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577.663,40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145.968,98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5. Otros créditos con las Administraciones Públicas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16.122.146,58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12.045.592,44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IV. Inversiones en empresas del grupo y asociadas a corto plazo</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334.365,91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110.571,99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9.1</w:t>
            </w:r>
          </w:p>
        </w:tc>
      </w:tr>
      <w:tr w:rsidR="00DB650C" w:rsidRPr="00DB650C" w:rsidTr="00DB650C">
        <w:trPr>
          <w:trHeight w:val="139"/>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V. Inversiones financieras a corto plazo</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127.580.370,26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131.695.220,44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9.1</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1. Instrumentos de patrimonio</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2. Créditos a empresas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3. Otros activos financieros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127.580.370,26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131.695.220,44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VI.</w:t>
            </w:r>
            <w:r w:rsidRPr="00AA27CF">
              <w:rPr>
                <w:rFonts w:ascii="Lucida Bright" w:hAnsi="Lucida Bright" w:cs="Calibri"/>
                <w:b/>
                <w:bCs/>
                <w:sz w:val="14"/>
                <w:szCs w:val="14"/>
                <w:lang w:val="es-ES"/>
              </w:rPr>
              <w:t xml:space="preserve"> Periodificaciones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VII. Efectivo y otros activos líquidos equivalentes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167.429.763,15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138.944.143,58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1. Tesorería</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167.429.763,15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138.944.143,58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2. Otros activos líquidos equivalentes</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914"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781" w:type="pct"/>
            <w:tcBorders>
              <w:top w:val="nil"/>
              <w:left w:val="single" w:sz="4" w:space="0" w:color="auto"/>
              <w:bottom w:val="single" w:sz="4" w:space="0" w:color="auto"/>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single" w:sz="4" w:space="0" w:color="auto"/>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914" w:type="pct"/>
            <w:gridSpan w:val="2"/>
            <w:tcBorders>
              <w:top w:val="nil"/>
              <w:left w:val="nil"/>
              <w:bottom w:val="single" w:sz="4" w:space="0" w:color="auto"/>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91"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781" w:type="pct"/>
            <w:tcBorders>
              <w:top w:val="nil"/>
              <w:left w:val="single" w:sz="4" w:space="0" w:color="auto"/>
              <w:bottom w:val="single" w:sz="4" w:space="0" w:color="auto"/>
              <w:right w:val="nil"/>
            </w:tcBorders>
            <w:shd w:val="clear" w:color="000000" w:fill="CCFFCC"/>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TOTAL ACTIVO (A+B)</w:t>
            </w:r>
          </w:p>
        </w:tc>
        <w:tc>
          <w:tcPr>
            <w:tcW w:w="914" w:type="pct"/>
            <w:gridSpan w:val="2"/>
            <w:tcBorders>
              <w:top w:val="nil"/>
              <w:left w:val="single" w:sz="4" w:space="0" w:color="auto"/>
              <w:bottom w:val="single" w:sz="4" w:space="0" w:color="auto"/>
              <w:right w:val="nil"/>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855.968.056,14 </w:t>
            </w:r>
          </w:p>
        </w:tc>
        <w:tc>
          <w:tcPr>
            <w:tcW w:w="914" w:type="pct"/>
            <w:gridSpan w:val="2"/>
            <w:tcBorders>
              <w:top w:val="nil"/>
              <w:left w:val="single" w:sz="4" w:space="0" w:color="auto"/>
              <w:bottom w:val="single" w:sz="4" w:space="0" w:color="auto"/>
              <w:right w:val="nil"/>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792.659.463,70 </w:t>
            </w:r>
          </w:p>
        </w:tc>
        <w:tc>
          <w:tcPr>
            <w:tcW w:w="391" w:type="pct"/>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r w:rsidR="00DB650C" w:rsidRPr="00DB650C" w:rsidTr="00DB650C">
        <w:trPr>
          <w:trHeight w:val="300"/>
        </w:trPr>
        <w:tc>
          <w:tcPr>
            <w:tcW w:w="2884" w:type="pct"/>
            <w:gridSpan w:val="2"/>
            <w:tcBorders>
              <w:top w:val="nil"/>
              <w:left w:val="nil"/>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8"/>
                <w:szCs w:val="18"/>
                <w:lang w:val="es-ES"/>
              </w:rPr>
            </w:pPr>
            <w:r w:rsidRPr="00DB650C">
              <w:rPr>
                <w:rFonts w:ascii="Lucida Bright" w:hAnsi="Lucida Bright" w:cs="Calibri"/>
                <w:b/>
                <w:bCs/>
                <w:sz w:val="18"/>
                <w:szCs w:val="18"/>
                <w:lang w:val="es-ES"/>
              </w:rPr>
              <w:lastRenderedPageBreak/>
              <w:t>Balance al cierre del ejercicio 2024</w:t>
            </w:r>
          </w:p>
        </w:tc>
        <w:tc>
          <w:tcPr>
            <w:tcW w:w="868" w:type="pct"/>
            <w:gridSpan w:val="2"/>
            <w:tcBorders>
              <w:top w:val="nil"/>
              <w:left w:val="nil"/>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868" w:type="pct"/>
            <w:gridSpan w:val="2"/>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sz w:val="18"/>
                <w:szCs w:val="18"/>
                <w:lang w:val="es-ES"/>
              </w:rPr>
            </w:pPr>
            <w:r w:rsidRPr="00DB650C">
              <w:rPr>
                <w:rFonts w:ascii="Lucida Bright" w:hAnsi="Lucida Bright" w:cs="Calibri"/>
                <w:sz w:val="18"/>
                <w:szCs w:val="18"/>
                <w:lang w:val="es-ES"/>
              </w:rPr>
              <w:t>(en euros)</w:t>
            </w:r>
          </w:p>
        </w:tc>
        <w:tc>
          <w:tcPr>
            <w:tcW w:w="381" w:type="pct"/>
            <w:tcBorders>
              <w:top w:val="nil"/>
              <w:left w:val="nil"/>
              <w:bottom w:val="nil"/>
              <w:right w:val="nil"/>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p>
        </w:tc>
      </w:tr>
      <w:tr w:rsidR="00DB650C" w:rsidRPr="00DB650C" w:rsidTr="00DB650C">
        <w:trPr>
          <w:trHeight w:val="210"/>
        </w:trPr>
        <w:tc>
          <w:tcPr>
            <w:tcW w:w="2884" w:type="pct"/>
            <w:gridSpan w:val="2"/>
            <w:tcBorders>
              <w:top w:val="single" w:sz="4" w:space="0" w:color="auto"/>
              <w:left w:val="single" w:sz="4" w:space="0" w:color="auto"/>
              <w:bottom w:val="single" w:sz="4" w:space="0" w:color="auto"/>
              <w:right w:val="nil"/>
            </w:tcBorders>
            <w:shd w:val="clear" w:color="000000" w:fill="CCFFCC"/>
            <w:noWrap/>
            <w:vAlign w:val="center"/>
            <w:hideMark/>
          </w:tcPr>
          <w:p w:rsidR="00DB650C" w:rsidRPr="00DB650C" w:rsidRDefault="00DB650C" w:rsidP="00DB650C">
            <w:pPr>
              <w:jc w:val="center"/>
              <w:rPr>
                <w:rFonts w:ascii="Lucida Bright" w:hAnsi="Lucida Bright" w:cs="Calibri"/>
                <w:b/>
                <w:bCs/>
                <w:sz w:val="18"/>
                <w:szCs w:val="18"/>
                <w:lang w:val="es-ES"/>
              </w:rPr>
            </w:pPr>
            <w:r w:rsidRPr="00DB650C">
              <w:rPr>
                <w:rFonts w:ascii="Lucida Bright" w:hAnsi="Lucida Bright" w:cs="Calibri"/>
                <w:b/>
                <w:bCs/>
                <w:sz w:val="18"/>
                <w:szCs w:val="18"/>
                <w:lang w:val="es-ES"/>
              </w:rPr>
              <w:t>PATRIMONIO NETO Y PASIVO</w:t>
            </w:r>
          </w:p>
        </w:tc>
        <w:tc>
          <w:tcPr>
            <w:tcW w:w="868" w:type="pct"/>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8"/>
                <w:szCs w:val="18"/>
                <w:lang w:val="es-ES"/>
              </w:rPr>
            </w:pPr>
            <w:r w:rsidRPr="00DB650C">
              <w:rPr>
                <w:rFonts w:ascii="Lucida Bright" w:hAnsi="Lucida Bright" w:cs="Calibri"/>
                <w:b/>
                <w:bCs/>
                <w:sz w:val="18"/>
                <w:szCs w:val="18"/>
                <w:lang w:val="es-ES"/>
              </w:rPr>
              <w:t>2024</w:t>
            </w:r>
          </w:p>
        </w:tc>
        <w:tc>
          <w:tcPr>
            <w:tcW w:w="868" w:type="pct"/>
            <w:gridSpan w:val="2"/>
            <w:tcBorders>
              <w:top w:val="single" w:sz="4" w:space="0" w:color="auto"/>
              <w:left w:val="nil"/>
              <w:bottom w:val="single" w:sz="4" w:space="0" w:color="auto"/>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8"/>
                <w:szCs w:val="18"/>
                <w:lang w:val="es-ES"/>
              </w:rPr>
            </w:pPr>
            <w:r w:rsidRPr="00DB650C">
              <w:rPr>
                <w:rFonts w:ascii="Lucida Bright" w:hAnsi="Lucida Bright" w:cs="Calibri"/>
                <w:b/>
                <w:bCs/>
                <w:sz w:val="18"/>
                <w:szCs w:val="18"/>
                <w:lang w:val="es-ES"/>
              </w:rPr>
              <w:t>2023</w:t>
            </w:r>
          </w:p>
        </w:tc>
        <w:tc>
          <w:tcPr>
            <w:tcW w:w="381" w:type="pct"/>
            <w:tcBorders>
              <w:top w:val="single" w:sz="4" w:space="0" w:color="auto"/>
              <w:left w:val="nil"/>
              <w:bottom w:val="single" w:sz="4" w:space="0" w:color="auto"/>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8"/>
                <w:szCs w:val="18"/>
                <w:lang w:val="es-ES"/>
              </w:rPr>
            </w:pPr>
            <w:r w:rsidRPr="00DB650C">
              <w:rPr>
                <w:rFonts w:ascii="Lucida Bright" w:hAnsi="Lucida Bright" w:cs="Calibri"/>
                <w:b/>
                <w:bCs/>
                <w:sz w:val="18"/>
                <w:szCs w:val="18"/>
                <w:lang w:val="es-ES"/>
              </w:rPr>
              <w:t>Notas</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bottom"/>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nil"/>
            </w:tcBorders>
            <w:shd w:val="clear" w:color="auto" w:fill="auto"/>
            <w:noWrap/>
            <w:vAlign w:val="bottom"/>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000000" w:fill="CCFFCC"/>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A) PATRIMONIO NETO</w:t>
            </w:r>
          </w:p>
        </w:tc>
        <w:tc>
          <w:tcPr>
            <w:tcW w:w="868" w:type="pct"/>
            <w:gridSpan w:val="2"/>
            <w:tcBorders>
              <w:top w:val="nil"/>
              <w:left w:val="single" w:sz="4" w:space="0" w:color="auto"/>
              <w:bottom w:val="nil"/>
              <w:right w:val="nil"/>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803.560.993,62 </w:t>
            </w:r>
          </w:p>
        </w:tc>
        <w:tc>
          <w:tcPr>
            <w:tcW w:w="868" w:type="pct"/>
            <w:gridSpan w:val="2"/>
            <w:tcBorders>
              <w:top w:val="nil"/>
              <w:left w:val="single" w:sz="4" w:space="0" w:color="auto"/>
              <w:bottom w:val="nil"/>
              <w:right w:val="nil"/>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743.213.436,67 </w:t>
            </w:r>
          </w:p>
        </w:tc>
        <w:tc>
          <w:tcPr>
            <w:tcW w:w="381" w:type="pct"/>
            <w:tcBorders>
              <w:top w:val="nil"/>
              <w:left w:val="single" w:sz="4" w:space="0" w:color="auto"/>
              <w:bottom w:val="nil"/>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A-1) Fondos propios</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762.399.502,23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714.092.318,15 </w:t>
            </w:r>
          </w:p>
        </w:tc>
        <w:tc>
          <w:tcPr>
            <w:tcW w:w="3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1C487D">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9.</w:t>
            </w:r>
            <w:r w:rsidR="001C487D">
              <w:rPr>
                <w:rFonts w:ascii="Lucida Bright" w:hAnsi="Lucida Bright" w:cs="Calibri"/>
                <w:color w:val="000000"/>
                <w:sz w:val="14"/>
                <w:szCs w:val="14"/>
                <w:lang w:val="es-ES"/>
              </w:rPr>
              <w:t>3</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 Patrimonio</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212.397.594,47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212.397.594,47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II. Resultados acumulados</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501.694.723,68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456.905.916,17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III. Resultado del ejercicio</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48.307.184,08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44.788.807,51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A-2) Ajustes por cambios de valor</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 Activos financ. a valor razonable con cambios en el patrim. neto</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II. Operaciones de cobertura</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III. Otros</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A-3) Subvenciones, donaciones y legados recibidos</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41.161.491,39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29.121.118,52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11</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000000" w:fill="CCFFCC"/>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B) PASIVO NO CORRIENTE</w:t>
            </w:r>
          </w:p>
        </w:tc>
        <w:tc>
          <w:tcPr>
            <w:tcW w:w="868" w:type="pct"/>
            <w:gridSpan w:val="2"/>
            <w:tcBorders>
              <w:top w:val="nil"/>
              <w:left w:val="single" w:sz="4" w:space="0" w:color="auto"/>
              <w:bottom w:val="nil"/>
              <w:right w:val="nil"/>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39.010.007,14 </w:t>
            </w:r>
          </w:p>
        </w:tc>
        <w:tc>
          <w:tcPr>
            <w:tcW w:w="868" w:type="pct"/>
            <w:gridSpan w:val="2"/>
            <w:tcBorders>
              <w:top w:val="nil"/>
              <w:left w:val="single" w:sz="4" w:space="0" w:color="auto"/>
              <w:bottom w:val="nil"/>
              <w:right w:val="nil"/>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36.117.864,53 </w:t>
            </w:r>
          </w:p>
        </w:tc>
        <w:tc>
          <w:tcPr>
            <w:tcW w:w="381" w:type="pct"/>
            <w:tcBorders>
              <w:top w:val="nil"/>
              <w:left w:val="single" w:sz="4" w:space="0" w:color="auto"/>
              <w:bottom w:val="nil"/>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 Provisiones a largo plazo</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15.287.682,95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14.064.476,80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10</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1. Obligaciones por prestaciones a largo plazo al personal</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2. Provisión para responsabilidades</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15.287.682,95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14.064.476,80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3. Otras provisiones</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II. Deudas a largo plazo</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14.028.017,95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15.674.119,15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9.2</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1. Deudas con entidades de crédito</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2. Proveedores de inmovilizado a largo plazo</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3. Otras</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14.028.017,95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15.674.119,15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III. Deudas con empresas del grupo y asociadas a largo plazo</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381" w:type="pct"/>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cente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IV. Pasivos por impuesto diferido</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6.839.781,66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6.379.268,58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12</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V. Periodificaciones a largo plazo</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2.854.524,58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1C487D" w:rsidP="001C487D">
            <w:pPr>
              <w:jc w:val="center"/>
              <w:rPr>
                <w:rFonts w:ascii="Lucida Bright" w:hAnsi="Lucida Bright" w:cs="Calibri"/>
                <w:color w:val="000000"/>
                <w:sz w:val="14"/>
                <w:szCs w:val="14"/>
                <w:lang w:val="es-ES"/>
              </w:rPr>
            </w:pPr>
            <w:r>
              <w:rPr>
                <w:rFonts w:ascii="Lucida Bright" w:hAnsi="Lucida Bright" w:cs="Calibri"/>
                <w:color w:val="000000"/>
                <w:sz w:val="14"/>
                <w:szCs w:val="14"/>
                <w:lang w:val="es-ES"/>
              </w:rPr>
              <w:t xml:space="preserve"> 10</w:t>
            </w:r>
            <w:r w:rsidR="00DB650C" w:rsidRPr="00DB650C">
              <w:rPr>
                <w:rFonts w:ascii="Lucida Bright" w:hAnsi="Lucida Bright" w:cs="Calibri"/>
                <w:color w:val="000000"/>
                <w:sz w:val="14"/>
                <w:szCs w:val="14"/>
                <w:lang w:val="es-ES"/>
              </w:rPr>
              <w:t> </w:t>
            </w:r>
          </w:p>
        </w:tc>
      </w:tr>
      <w:tr w:rsidR="00DB650C" w:rsidRPr="00DB650C" w:rsidTr="00DB650C">
        <w:trPr>
          <w:trHeight w:val="139"/>
        </w:trPr>
        <w:tc>
          <w:tcPr>
            <w:tcW w:w="2884"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000000" w:fill="CCFFCC"/>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C) PASIVO CORRIENTE</w:t>
            </w:r>
          </w:p>
        </w:tc>
        <w:tc>
          <w:tcPr>
            <w:tcW w:w="868" w:type="pct"/>
            <w:gridSpan w:val="2"/>
            <w:tcBorders>
              <w:top w:val="nil"/>
              <w:left w:val="single" w:sz="4" w:space="0" w:color="auto"/>
              <w:bottom w:val="nil"/>
              <w:right w:val="nil"/>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13.397.055,38 </w:t>
            </w:r>
          </w:p>
        </w:tc>
        <w:tc>
          <w:tcPr>
            <w:tcW w:w="868" w:type="pct"/>
            <w:gridSpan w:val="2"/>
            <w:tcBorders>
              <w:top w:val="nil"/>
              <w:left w:val="single" w:sz="4" w:space="0" w:color="auto"/>
              <w:bottom w:val="nil"/>
              <w:right w:val="nil"/>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13.328.162,50 </w:t>
            </w:r>
          </w:p>
        </w:tc>
        <w:tc>
          <w:tcPr>
            <w:tcW w:w="381" w:type="pct"/>
            <w:tcBorders>
              <w:top w:val="nil"/>
              <w:left w:val="single" w:sz="4" w:space="0" w:color="auto"/>
              <w:bottom w:val="nil"/>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II. Provisiones a corto plazo</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85.703,32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63.685,10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III. Deudas a corto plazo</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4.183.029,45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2.507.748,42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9.2</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1. Deudas con entidades de crédito</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2. Proveedores de inmovilizado a corto plazo</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2.912.624,98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1.682.570,57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3. Otros pasivos financieros</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1.270.404,47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825.177,85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IV. Deudas con empresas del grupo y asociadas a corto plazo</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22.872,92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11.556,64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1C487D">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9.</w:t>
            </w:r>
            <w:r w:rsidR="001C487D">
              <w:rPr>
                <w:rFonts w:ascii="Lucida Bright" w:hAnsi="Lucida Bright" w:cs="Calibri"/>
                <w:color w:val="000000"/>
                <w:sz w:val="14"/>
                <w:szCs w:val="14"/>
                <w:lang w:val="es-ES"/>
              </w:rPr>
              <w:t>2</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V. Acreedores comerciales y otras cuentas a pagar</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9.105.449,69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10.745.172,34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9.2</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1. Acreedores y otras cuentas a pagar</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6.738.760,52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7.307.572,00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2. Administraciones Públicas, anticipos de subvenciones</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432.319,42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481.115,62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3. Otras deudas con las Administraciones Públicas</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1.934.369,75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2.956.484,72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VI. Periodificaciones</w:t>
            </w:r>
          </w:p>
        </w:tc>
        <w:tc>
          <w:tcPr>
            <w:tcW w:w="868"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139"/>
        </w:trPr>
        <w:tc>
          <w:tcPr>
            <w:tcW w:w="2884" w:type="pct"/>
            <w:gridSpan w:val="2"/>
            <w:tcBorders>
              <w:top w:val="nil"/>
              <w:left w:val="single" w:sz="4" w:space="0" w:color="auto"/>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381" w:type="pct"/>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r>
      <w:tr w:rsidR="00DB650C" w:rsidRPr="00DB650C" w:rsidTr="00DB650C">
        <w:trPr>
          <w:trHeight w:val="210"/>
        </w:trPr>
        <w:tc>
          <w:tcPr>
            <w:tcW w:w="2884" w:type="pct"/>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TOTAL PATRIMONIO NETO Y PASIVO (A+B+C)</w:t>
            </w:r>
          </w:p>
        </w:tc>
        <w:tc>
          <w:tcPr>
            <w:tcW w:w="868" w:type="pct"/>
            <w:gridSpan w:val="2"/>
            <w:tcBorders>
              <w:top w:val="single" w:sz="4" w:space="0" w:color="auto"/>
              <w:left w:val="nil"/>
              <w:bottom w:val="single" w:sz="4" w:space="0" w:color="auto"/>
              <w:right w:val="nil"/>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855.968.056,14 </w:t>
            </w:r>
          </w:p>
        </w:tc>
        <w:tc>
          <w:tcPr>
            <w:tcW w:w="868" w:type="pct"/>
            <w:gridSpan w:val="2"/>
            <w:tcBorders>
              <w:top w:val="nil"/>
              <w:left w:val="single" w:sz="4" w:space="0" w:color="auto"/>
              <w:bottom w:val="single" w:sz="4" w:space="0" w:color="auto"/>
              <w:right w:val="nil"/>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792.659.463,70 </w:t>
            </w:r>
          </w:p>
        </w:tc>
        <w:tc>
          <w:tcPr>
            <w:tcW w:w="381"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bl>
    <w:p w:rsidR="00DB650C" w:rsidRDefault="00DB650C" w:rsidP="00E13AD1">
      <w:pPr>
        <w:rPr>
          <w:rFonts w:ascii="Lucida Bright" w:hAnsi="Lucida Bright"/>
          <w:b/>
          <w:bCs/>
          <w:sz w:val="22"/>
          <w:szCs w:val="22"/>
        </w:rPr>
      </w:pPr>
    </w:p>
    <w:p w:rsidR="00661DE8" w:rsidRDefault="00661DE8" w:rsidP="00E13AD1">
      <w:pPr>
        <w:rPr>
          <w:rFonts w:ascii="Lucida Bright" w:hAnsi="Lucida Bright"/>
          <w:b/>
          <w:bCs/>
          <w:sz w:val="22"/>
          <w:szCs w:val="22"/>
        </w:rPr>
      </w:pPr>
    </w:p>
    <w:p w:rsidR="00C0157D" w:rsidRDefault="00C0157D" w:rsidP="00E13AD1">
      <w:pPr>
        <w:rPr>
          <w:rFonts w:ascii="Lucida Bright" w:hAnsi="Lucida Bright"/>
          <w:b/>
          <w:bCs/>
          <w:sz w:val="22"/>
          <w:szCs w:val="22"/>
        </w:rPr>
      </w:pPr>
    </w:p>
    <w:p w:rsidR="00D702F3" w:rsidRDefault="00D702F3" w:rsidP="00E13AD1">
      <w:pPr>
        <w:rPr>
          <w:rFonts w:ascii="Lucida Bright" w:hAnsi="Lucida Bright"/>
          <w:b/>
          <w:bCs/>
          <w:sz w:val="22"/>
          <w:szCs w:val="22"/>
        </w:rPr>
      </w:pPr>
    </w:p>
    <w:tbl>
      <w:tblPr>
        <w:tblW w:w="8473" w:type="dxa"/>
        <w:tblInd w:w="70" w:type="dxa"/>
        <w:tblCellMar>
          <w:left w:w="70" w:type="dxa"/>
          <w:right w:w="70" w:type="dxa"/>
        </w:tblCellMar>
        <w:tblLook w:val="04A0" w:firstRow="1" w:lastRow="0" w:firstColumn="1" w:lastColumn="0" w:noHBand="0" w:noVBand="1"/>
      </w:tblPr>
      <w:tblGrid>
        <w:gridCol w:w="5436"/>
        <w:gridCol w:w="1233"/>
        <w:gridCol w:w="1233"/>
        <w:gridCol w:w="672"/>
      </w:tblGrid>
      <w:tr w:rsidR="00652197" w:rsidRPr="00652197" w:rsidTr="00652197">
        <w:trPr>
          <w:trHeight w:val="14"/>
        </w:trPr>
        <w:tc>
          <w:tcPr>
            <w:tcW w:w="0" w:type="auto"/>
            <w:gridSpan w:val="4"/>
            <w:tcBorders>
              <w:top w:val="nil"/>
              <w:left w:val="nil"/>
              <w:bottom w:val="single" w:sz="4" w:space="0" w:color="auto"/>
              <w:right w:val="nil"/>
            </w:tcBorders>
            <w:shd w:val="clear" w:color="000000" w:fill="FFFFFF"/>
            <w:noWrap/>
            <w:hideMark/>
          </w:tcPr>
          <w:p w:rsidR="00652197" w:rsidRPr="00652197" w:rsidRDefault="00652197" w:rsidP="00652197">
            <w:pPr>
              <w:rPr>
                <w:rFonts w:ascii="Lucida Bright" w:hAnsi="Lucida Bright" w:cs="Calibri"/>
                <w:b/>
                <w:bCs/>
                <w:lang w:val="es-ES"/>
              </w:rPr>
            </w:pPr>
            <w:r w:rsidRPr="00652197">
              <w:rPr>
                <w:rFonts w:ascii="Lucida Bright" w:hAnsi="Lucida Bright" w:cs="Calibri"/>
                <w:b/>
                <w:bCs/>
                <w:lang w:val="es-ES"/>
              </w:rPr>
              <w:lastRenderedPageBreak/>
              <w:t xml:space="preserve">Cuenta de Pérdidas y Ganancias correspondiente al ejercicio terminado el 31-12-24 </w:t>
            </w:r>
            <w:r w:rsidRPr="00652197">
              <w:rPr>
                <w:rFonts w:ascii="Lucida Bright" w:hAnsi="Lucida Bright" w:cs="Calibri"/>
                <w:sz w:val="14"/>
                <w:szCs w:val="14"/>
                <w:lang w:val="es-ES"/>
              </w:rPr>
              <w:t>(en euros)</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000000" w:fill="CCFFCC"/>
            <w:noWrap/>
            <w:vAlign w:val="bottom"/>
            <w:hideMark/>
          </w:tcPr>
          <w:p w:rsidR="00652197" w:rsidRPr="00652197" w:rsidRDefault="00652197" w:rsidP="00652197">
            <w:pPr>
              <w:jc w:val="center"/>
              <w:rPr>
                <w:rFonts w:ascii="Lucida Bright" w:hAnsi="Lucida Bright" w:cs="Calibri"/>
                <w:b/>
                <w:bCs/>
                <w:sz w:val="18"/>
                <w:szCs w:val="18"/>
                <w:lang w:val="es-ES"/>
              </w:rPr>
            </w:pPr>
            <w:r w:rsidRPr="00652197">
              <w:rPr>
                <w:rFonts w:ascii="Lucida Bright" w:hAnsi="Lucida Bright" w:cs="Calibri"/>
                <w:b/>
                <w:bCs/>
                <w:sz w:val="18"/>
                <w:szCs w:val="18"/>
                <w:lang w:val="es-ES"/>
              </w:rPr>
              <w:t> </w:t>
            </w:r>
          </w:p>
        </w:tc>
        <w:tc>
          <w:tcPr>
            <w:tcW w:w="0" w:type="auto"/>
            <w:gridSpan w:val="2"/>
            <w:tcBorders>
              <w:top w:val="single" w:sz="4" w:space="0" w:color="auto"/>
              <w:left w:val="nil"/>
              <w:bottom w:val="single" w:sz="4" w:space="0" w:color="auto"/>
              <w:right w:val="single" w:sz="4" w:space="0" w:color="000000"/>
            </w:tcBorders>
            <w:shd w:val="clear" w:color="000000" w:fill="CCFFCC"/>
            <w:noWrap/>
            <w:vAlign w:val="center"/>
            <w:hideMark/>
          </w:tcPr>
          <w:p w:rsidR="00652197" w:rsidRPr="00652197" w:rsidRDefault="00652197" w:rsidP="00652197">
            <w:pPr>
              <w:jc w:val="center"/>
              <w:rPr>
                <w:rFonts w:ascii="Lucida Bright" w:hAnsi="Lucida Bright" w:cs="Calibri"/>
                <w:b/>
                <w:bCs/>
                <w:sz w:val="18"/>
                <w:szCs w:val="18"/>
                <w:lang w:val="es-ES"/>
              </w:rPr>
            </w:pPr>
            <w:r w:rsidRPr="00652197">
              <w:rPr>
                <w:rFonts w:ascii="Lucida Bright" w:hAnsi="Lucida Bright" w:cs="Calibri"/>
                <w:b/>
                <w:bCs/>
                <w:sz w:val="18"/>
                <w:szCs w:val="18"/>
                <w:lang w:val="es-ES"/>
              </w:rPr>
              <w:t>(Debe) Haber</w:t>
            </w:r>
          </w:p>
        </w:tc>
        <w:tc>
          <w:tcPr>
            <w:tcW w:w="0" w:type="auto"/>
            <w:tcBorders>
              <w:top w:val="nil"/>
              <w:left w:val="nil"/>
              <w:bottom w:val="single" w:sz="4" w:space="0" w:color="auto"/>
              <w:right w:val="single" w:sz="4" w:space="0" w:color="auto"/>
            </w:tcBorders>
            <w:shd w:val="clear" w:color="000000" w:fill="CCFFCC"/>
            <w:noWrap/>
            <w:vAlign w:val="center"/>
            <w:hideMark/>
          </w:tcPr>
          <w:p w:rsidR="00652197" w:rsidRPr="00652197" w:rsidRDefault="00652197" w:rsidP="00652197">
            <w:pPr>
              <w:jc w:val="center"/>
              <w:rPr>
                <w:rFonts w:ascii="Lucida Bright" w:hAnsi="Lucida Bright" w:cs="Calibri"/>
                <w:b/>
                <w:bCs/>
                <w:sz w:val="18"/>
                <w:szCs w:val="18"/>
                <w:lang w:val="es-ES"/>
              </w:rPr>
            </w:pPr>
            <w:r w:rsidRPr="00652197">
              <w:rPr>
                <w:rFonts w:ascii="Lucida Bright" w:hAnsi="Lucida Bright" w:cs="Calibri"/>
                <w:b/>
                <w:bCs/>
                <w:sz w:val="18"/>
                <w:szCs w:val="18"/>
                <w:lang w:val="es-ES"/>
              </w:rPr>
              <w:t> </w:t>
            </w:r>
          </w:p>
        </w:tc>
      </w:tr>
      <w:tr w:rsidR="00652197" w:rsidRPr="00652197" w:rsidTr="00652197">
        <w:trPr>
          <w:trHeight w:val="12"/>
        </w:trPr>
        <w:tc>
          <w:tcPr>
            <w:tcW w:w="0" w:type="auto"/>
            <w:tcBorders>
              <w:top w:val="nil"/>
              <w:left w:val="single" w:sz="4" w:space="0" w:color="auto"/>
              <w:bottom w:val="single" w:sz="4" w:space="0" w:color="auto"/>
              <w:right w:val="single" w:sz="4" w:space="0" w:color="auto"/>
            </w:tcBorders>
            <w:shd w:val="clear" w:color="000000" w:fill="CCFFCC"/>
            <w:noWrap/>
            <w:vAlign w:val="center"/>
            <w:hideMark/>
          </w:tcPr>
          <w:p w:rsidR="00652197" w:rsidRPr="00652197" w:rsidRDefault="00652197" w:rsidP="00652197">
            <w:pPr>
              <w:jc w:val="center"/>
              <w:rPr>
                <w:rFonts w:ascii="Lucida Bright" w:hAnsi="Lucida Bright" w:cs="Calibri"/>
                <w:b/>
                <w:bCs/>
                <w:sz w:val="18"/>
                <w:szCs w:val="18"/>
                <w:lang w:val="es-ES"/>
              </w:rPr>
            </w:pPr>
            <w:r w:rsidRPr="00652197">
              <w:rPr>
                <w:rFonts w:ascii="Lucida Bright" w:hAnsi="Lucida Bright" w:cs="Calibri"/>
                <w:b/>
                <w:bCs/>
                <w:sz w:val="18"/>
                <w:szCs w:val="18"/>
                <w:lang w:val="es-ES"/>
              </w:rPr>
              <w:t> </w:t>
            </w:r>
          </w:p>
        </w:tc>
        <w:tc>
          <w:tcPr>
            <w:tcW w:w="0" w:type="auto"/>
            <w:tcBorders>
              <w:top w:val="nil"/>
              <w:left w:val="nil"/>
              <w:bottom w:val="single" w:sz="4" w:space="0" w:color="auto"/>
              <w:right w:val="single" w:sz="4" w:space="0" w:color="auto"/>
            </w:tcBorders>
            <w:shd w:val="clear" w:color="000000" w:fill="CCFFCC"/>
            <w:noWrap/>
            <w:vAlign w:val="center"/>
            <w:hideMark/>
          </w:tcPr>
          <w:p w:rsidR="00652197" w:rsidRPr="00652197" w:rsidRDefault="00652197" w:rsidP="00652197">
            <w:pPr>
              <w:jc w:val="center"/>
              <w:rPr>
                <w:rFonts w:ascii="Lucida Bright" w:hAnsi="Lucida Bright" w:cs="Calibri"/>
                <w:b/>
                <w:bCs/>
                <w:sz w:val="18"/>
                <w:szCs w:val="18"/>
                <w:lang w:val="es-ES"/>
              </w:rPr>
            </w:pPr>
            <w:r w:rsidRPr="00652197">
              <w:rPr>
                <w:rFonts w:ascii="Lucida Bright" w:hAnsi="Lucida Bright" w:cs="Calibri"/>
                <w:b/>
                <w:bCs/>
                <w:sz w:val="18"/>
                <w:szCs w:val="18"/>
                <w:lang w:val="es-ES"/>
              </w:rPr>
              <w:t>2024</w:t>
            </w:r>
          </w:p>
        </w:tc>
        <w:tc>
          <w:tcPr>
            <w:tcW w:w="0" w:type="auto"/>
            <w:tcBorders>
              <w:top w:val="nil"/>
              <w:left w:val="nil"/>
              <w:bottom w:val="single" w:sz="4" w:space="0" w:color="auto"/>
              <w:right w:val="single" w:sz="4" w:space="0" w:color="auto"/>
            </w:tcBorders>
            <w:shd w:val="clear" w:color="000000" w:fill="CCFFCC"/>
            <w:noWrap/>
            <w:vAlign w:val="center"/>
            <w:hideMark/>
          </w:tcPr>
          <w:p w:rsidR="00652197" w:rsidRPr="00652197" w:rsidRDefault="00652197" w:rsidP="00652197">
            <w:pPr>
              <w:jc w:val="center"/>
              <w:rPr>
                <w:rFonts w:ascii="Lucida Bright" w:hAnsi="Lucida Bright" w:cs="Calibri"/>
                <w:b/>
                <w:bCs/>
                <w:sz w:val="18"/>
                <w:szCs w:val="18"/>
                <w:lang w:val="es-ES"/>
              </w:rPr>
            </w:pPr>
            <w:r w:rsidRPr="00652197">
              <w:rPr>
                <w:rFonts w:ascii="Lucida Bright" w:hAnsi="Lucida Bright" w:cs="Calibri"/>
                <w:b/>
                <w:bCs/>
                <w:sz w:val="18"/>
                <w:szCs w:val="18"/>
                <w:lang w:val="es-ES"/>
              </w:rPr>
              <w:t>2023</w:t>
            </w:r>
          </w:p>
        </w:tc>
        <w:tc>
          <w:tcPr>
            <w:tcW w:w="0" w:type="auto"/>
            <w:tcBorders>
              <w:top w:val="nil"/>
              <w:left w:val="nil"/>
              <w:bottom w:val="single" w:sz="4" w:space="0" w:color="auto"/>
              <w:right w:val="single" w:sz="4" w:space="0" w:color="auto"/>
            </w:tcBorders>
            <w:shd w:val="clear" w:color="000000" w:fill="CCFFCC"/>
            <w:noWrap/>
            <w:vAlign w:val="center"/>
            <w:hideMark/>
          </w:tcPr>
          <w:p w:rsidR="00652197" w:rsidRPr="00652197" w:rsidRDefault="00652197" w:rsidP="00652197">
            <w:pPr>
              <w:jc w:val="center"/>
              <w:rPr>
                <w:rFonts w:ascii="Lucida Bright" w:hAnsi="Lucida Bright" w:cs="Calibri"/>
                <w:b/>
                <w:bCs/>
                <w:sz w:val="18"/>
                <w:szCs w:val="18"/>
                <w:lang w:val="es-ES"/>
              </w:rPr>
            </w:pPr>
            <w:r w:rsidRPr="00652197">
              <w:rPr>
                <w:rFonts w:ascii="Lucida Bright" w:hAnsi="Lucida Bright" w:cs="Calibri"/>
                <w:b/>
                <w:bCs/>
                <w:sz w:val="18"/>
                <w:szCs w:val="18"/>
                <w:lang w:val="es-ES"/>
              </w:rPr>
              <w:t>Notas</w:t>
            </w:r>
          </w:p>
        </w:tc>
      </w:tr>
      <w:tr w:rsidR="00652197" w:rsidRPr="00652197" w:rsidTr="00652197">
        <w:trPr>
          <w:trHeight w:val="5"/>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center"/>
            <w:hideMark/>
          </w:tcPr>
          <w:p w:rsidR="00652197" w:rsidRPr="00652197" w:rsidRDefault="00652197" w:rsidP="00652197">
            <w:pPr>
              <w:jc w:val="center"/>
              <w:rPr>
                <w:rFonts w:ascii="Lucida Bright" w:hAnsi="Lucida Bright" w:cs="Calibri"/>
                <w:b/>
                <w:bCs/>
                <w:sz w:val="14"/>
                <w:szCs w:val="14"/>
                <w:lang w:val="es-ES"/>
              </w:rPr>
            </w:pPr>
            <w:r w:rsidRPr="00652197">
              <w:rPr>
                <w:rFonts w:ascii="Lucida Bright" w:hAnsi="Lucida Bright" w:cs="Calibri"/>
                <w:b/>
                <w:bCs/>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center"/>
            <w:hideMark/>
          </w:tcPr>
          <w:p w:rsidR="00652197" w:rsidRPr="00652197" w:rsidRDefault="00652197" w:rsidP="00652197">
            <w:pPr>
              <w:ind w:firstLineChars="100" w:firstLine="141"/>
              <w:rPr>
                <w:rFonts w:ascii="Lucida Bright" w:hAnsi="Lucida Bright" w:cs="Calibri"/>
                <w:b/>
                <w:bCs/>
                <w:sz w:val="14"/>
                <w:szCs w:val="14"/>
                <w:lang w:val="es-ES"/>
              </w:rPr>
            </w:pPr>
            <w:r w:rsidRPr="00652197">
              <w:rPr>
                <w:rFonts w:ascii="Lucida Bright" w:hAnsi="Lucida Bright" w:cs="Calibri"/>
                <w:b/>
                <w:bCs/>
                <w:sz w:val="14"/>
                <w:szCs w:val="14"/>
                <w:lang w:val="es-ES"/>
              </w:rPr>
              <w:t>1. Importe neto de la cifra de negocios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111.642.114,65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105.180.097,71  </w:t>
            </w:r>
          </w:p>
        </w:tc>
        <w:tc>
          <w:tcPr>
            <w:tcW w:w="0" w:type="auto"/>
            <w:tcBorders>
              <w:top w:val="nil"/>
              <w:left w:val="single" w:sz="4" w:space="0" w:color="auto"/>
              <w:bottom w:val="nil"/>
              <w:right w:val="single" w:sz="4" w:space="0" w:color="auto"/>
            </w:tcBorders>
            <w:shd w:val="clear" w:color="auto" w:fill="auto"/>
            <w:noWrap/>
            <w:vAlign w:val="center"/>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15</w:t>
            </w:r>
          </w:p>
        </w:tc>
      </w:tr>
      <w:tr w:rsidR="00652197" w:rsidRPr="00652197" w:rsidTr="00652197">
        <w:trPr>
          <w:trHeight w:val="4"/>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center"/>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center"/>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xml:space="preserve">          A. Tasas portuarias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69.558.007,12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61.291.708,82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400" w:firstLine="560"/>
              <w:rPr>
                <w:rFonts w:ascii="Lucida Bright" w:hAnsi="Lucida Bright" w:cs="Calibri"/>
                <w:sz w:val="14"/>
                <w:szCs w:val="14"/>
                <w:lang w:val="es-ES"/>
              </w:rPr>
            </w:pPr>
            <w:r w:rsidRPr="00652197">
              <w:rPr>
                <w:rFonts w:ascii="Lucida Bright" w:hAnsi="Lucida Bright" w:cs="Calibri"/>
                <w:sz w:val="14"/>
                <w:szCs w:val="14"/>
                <w:lang w:val="es-ES"/>
              </w:rPr>
              <w:t>a) Tasa de ocupación</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23.237.216,45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20.755.502,85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400" w:firstLine="560"/>
              <w:rPr>
                <w:rFonts w:ascii="Lucida Bright" w:hAnsi="Lucida Bright" w:cs="Calibri"/>
                <w:sz w:val="14"/>
                <w:szCs w:val="14"/>
                <w:lang w:val="es-ES"/>
              </w:rPr>
            </w:pPr>
            <w:r w:rsidRPr="00652197">
              <w:rPr>
                <w:rFonts w:ascii="Lucida Bright" w:hAnsi="Lucida Bright" w:cs="Calibri"/>
                <w:sz w:val="14"/>
                <w:szCs w:val="14"/>
                <w:lang w:val="es-ES"/>
              </w:rPr>
              <w:t>b) Tasas de utilización</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32.456.438,00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30.997.741,27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500" w:firstLine="700"/>
              <w:rPr>
                <w:rFonts w:ascii="Lucida Bright" w:hAnsi="Lucida Bright" w:cs="Calibri"/>
                <w:i/>
                <w:iCs/>
                <w:sz w:val="14"/>
                <w:szCs w:val="14"/>
                <w:lang w:val="es-ES"/>
              </w:rPr>
            </w:pPr>
            <w:r w:rsidRPr="00652197">
              <w:rPr>
                <w:rFonts w:ascii="Lucida Bright" w:hAnsi="Lucida Bright" w:cs="Calibri"/>
                <w:i/>
                <w:iCs/>
                <w:sz w:val="14"/>
                <w:szCs w:val="14"/>
                <w:lang w:val="es-ES"/>
              </w:rPr>
              <w:t>1. Tasa del buque</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7.981.335,09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8.315.101,59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500" w:firstLine="700"/>
              <w:rPr>
                <w:rFonts w:ascii="Lucida Bright" w:hAnsi="Lucida Bright" w:cs="Calibri"/>
                <w:i/>
                <w:iCs/>
                <w:sz w:val="14"/>
                <w:szCs w:val="14"/>
                <w:lang w:val="es-ES"/>
              </w:rPr>
            </w:pPr>
            <w:r w:rsidRPr="00652197">
              <w:rPr>
                <w:rFonts w:ascii="Lucida Bright" w:hAnsi="Lucida Bright" w:cs="Calibri"/>
                <w:i/>
                <w:iCs/>
                <w:sz w:val="14"/>
                <w:szCs w:val="14"/>
                <w:lang w:val="es-ES"/>
              </w:rPr>
              <w:t>2. Tasa de las embarcaciones deportivas y de recreo</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3.646.676,77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3.051.650,28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500" w:firstLine="700"/>
              <w:rPr>
                <w:rFonts w:ascii="Lucida Bright" w:hAnsi="Lucida Bright" w:cs="Calibri"/>
                <w:i/>
                <w:iCs/>
                <w:sz w:val="14"/>
                <w:szCs w:val="14"/>
                <w:lang w:val="es-ES"/>
              </w:rPr>
            </w:pPr>
            <w:r w:rsidRPr="00652197">
              <w:rPr>
                <w:rFonts w:ascii="Lucida Bright" w:hAnsi="Lucida Bright" w:cs="Calibri"/>
                <w:i/>
                <w:iCs/>
                <w:sz w:val="14"/>
                <w:szCs w:val="14"/>
                <w:lang w:val="es-ES"/>
              </w:rPr>
              <w:t>3. Tasa del pasaje</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11.279.530,73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10.754.804,44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500" w:firstLine="700"/>
              <w:rPr>
                <w:rFonts w:ascii="Lucida Bright" w:hAnsi="Lucida Bright" w:cs="Calibri"/>
                <w:i/>
                <w:iCs/>
                <w:sz w:val="14"/>
                <w:szCs w:val="14"/>
                <w:lang w:val="es-ES"/>
              </w:rPr>
            </w:pPr>
            <w:r w:rsidRPr="00652197">
              <w:rPr>
                <w:rFonts w:ascii="Lucida Bright" w:hAnsi="Lucida Bright" w:cs="Calibri"/>
                <w:i/>
                <w:iCs/>
                <w:sz w:val="14"/>
                <w:szCs w:val="14"/>
                <w:lang w:val="es-ES"/>
              </w:rPr>
              <w:t>4. Tasa de la mercancía</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8.575.354,28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8.161.069,06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500" w:firstLine="700"/>
              <w:rPr>
                <w:rFonts w:ascii="Lucida Bright" w:hAnsi="Lucida Bright" w:cs="Calibri"/>
                <w:i/>
                <w:iCs/>
                <w:sz w:val="14"/>
                <w:szCs w:val="14"/>
                <w:lang w:val="es-ES"/>
              </w:rPr>
            </w:pPr>
            <w:r w:rsidRPr="00652197">
              <w:rPr>
                <w:rFonts w:ascii="Lucida Bright" w:hAnsi="Lucida Bright" w:cs="Calibri"/>
                <w:i/>
                <w:iCs/>
                <w:sz w:val="14"/>
                <w:szCs w:val="14"/>
                <w:lang w:val="es-ES"/>
              </w:rPr>
              <w:t>5. Tasa de la pesca fresca</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132.451,31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54.360,57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500" w:firstLine="700"/>
              <w:rPr>
                <w:rFonts w:ascii="Lucida Bright" w:hAnsi="Lucida Bright" w:cs="Calibri"/>
                <w:i/>
                <w:iCs/>
                <w:sz w:val="14"/>
                <w:szCs w:val="14"/>
                <w:lang w:val="es-ES"/>
              </w:rPr>
            </w:pPr>
            <w:r w:rsidRPr="00652197">
              <w:rPr>
                <w:rFonts w:ascii="Lucida Bright" w:hAnsi="Lucida Bright" w:cs="Calibri"/>
                <w:i/>
                <w:iCs/>
                <w:sz w:val="14"/>
                <w:szCs w:val="14"/>
                <w:lang w:val="es-ES"/>
              </w:rPr>
              <w:t>6. Tasa por utilización especial de la zona de tránsito</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841.089,82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660.755,33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400" w:firstLine="560"/>
              <w:rPr>
                <w:rFonts w:ascii="Lucida Bright" w:hAnsi="Lucida Bright" w:cs="Calibri"/>
                <w:sz w:val="14"/>
                <w:szCs w:val="14"/>
                <w:lang w:val="es-ES"/>
              </w:rPr>
            </w:pPr>
            <w:r w:rsidRPr="00652197">
              <w:rPr>
                <w:rFonts w:ascii="Lucida Bright" w:hAnsi="Lucida Bright" w:cs="Calibri"/>
                <w:sz w:val="14"/>
                <w:szCs w:val="14"/>
                <w:lang w:val="es-ES"/>
              </w:rPr>
              <w:t>c) Tasa de actividad</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11.459.532,00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8.403.395,80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400" w:firstLine="560"/>
              <w:rPr>
                <w:rFonts w:ascii="Lucida Bright" w:hAnsi="Lucida Bright" w:cs="Calibri"/>
                <w:sz w:val="14"/>
                <w:szCs w:val="14"/>
                <w:lang w:val="es-ES"/>
              </w:rPr>
            </w:pPr>
            <w:r w:rsidRPr="00652197">
              <w:rPr>
                <w:rFonts w:ascii="Lucida Bright" w:hAnsi="Lucida Bright" w:cs="Calibri"/>
                <w:sz w:val="14"/>
                <w:szCs w:val="14"/>
                <w:lang w:val="es-ES"/>
              </w:rPr>
              <w:t>d) Tasa de ayudas a la navegación</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2.404.820,67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1.135.068,90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4"/>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center"/>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xml:space="preserve">          B. Otros ingresos de negocio</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42.084.107,53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43.888.388,89  </w:t>
            </w:r>
          </w:p>
        </w:tc>
        <w:tc>
          <w:tcPr>
            <w:tcW w:w="0" w:type="auto"/>
            <w:tcBorders>
              <w:top w:val="nil"/>
              <w:left w:val="single" w:sz="4" w:space="0" w:color="auto"/>
              <w:bottom w:val="nil"/>
              <w:right w:val="single" w:sz="4" w:space="0" w:color="auto"/>
            </w:tcBorders>
            <w:shd w:val="clear" w:color="auto" w:fill="auto"/>
            <w:noWrap/>
            <w:vAlign w:val="center"/>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14.b</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400" w:firstLine="560"/>
              <w:rPr>
                <w:rFonts w:ascii="Lucida Bright" w:hAnsi="Lucida Bright" w:cs="Calibri"/>
                <w:sz w:val="14"/>
                <w:szCs w:val="14"/>
                <w:lang w:val="es-ES"/>
              </w:rPr>
            </w:pPr>
            <w:r w:rsidRPr="00652197">
              <w:rPr>
                <w:rFonts w:ascii="Lucida Bright" w:hAnsi="Lucida Bright" w:cs="Calibri"/>
                <w:sz w:val="14"/>
                <w:szCs w:val="14"/>
                <w:lang w:val="es-ES"/>
              </w:rPr>
              <w:t>a) Importes adicionales a las tasas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29.424.114,21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31.241.745,02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400" w:firstLine="560"/>
              <w:rPr>
                <w:rFonts w:ascii="Lucida Bright" w:hAnsi="Lucida Bright" w:cs="Calibri"/>
                <w:sz w:val="14"/>
                <w:szCs w:val="14"/>
                <w:lang w:val="es-ES"/>
              </w:rPr>
            </w:pPr>
            <w:r w:rsidRPr="00652197">
              <w:rPr>
                <w:rFonts w:ascii="Lucida Bright" w:hAnsi="Lucida Bright" w:cs="Calibri"/>
                <w:sz w:val="14"/>
                <w:szCs w:val="14"/>
                <w:lang w:val="es-ES"/>
              </w:rPr>
              <w:t>b) Tarifas y otros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12.659.993,32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12.646.643,87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5"/>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400" w:firstLine="560"/>
              <w:rPr>
                <w:rFonts w:ascii="Lucida Bright" w:hAnsi="Lucida Bright" w:cs="Calibri"/>
                <w:sz w:val="14"/>
                <w:szCs w:val="14"/>
                <w:lang w:val="es-ES"/>
              </w:rPr>
            </w:pPr>
            <w:r w:rsidRPr="00652197">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rPr>
                <w:rFonts w:ascii="Lucida Bright" w:hAnsi="Lucida Bright" w:cs="Calibri"/>
                <w:sz w:val="14"/>
                <w:szCs w:val="14"/>
                <w:lang w:val="es-ES"/>
              </w:rPr>
            </w:pPr>
            <w:r w:rsidRPr="00652197">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rPr>
                <w:rFonts w:ascii="Lucida Bright" w:hAnsi="Lucida Bright" w:cs="Calibri"/>
                <w:sz w:val="14"/>
                <w:szCs w:val="14"/>
                <w:lang w:val="es-ES"/>
              </w:rPr>
            </w:pPr>
            <w:r w:rsidRPr="00652197">
              <w:rPr>
                <w:rFonts w:ascii="Lucida Bright" w:hAnsi="Lucida Bright" w:cs="Calibri"/>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center"/>
            <w:hideMark/>
          </w:tcPr>
          <w:p w:rsidR="00652197" w:rsidRPr="00652197" w:rsidRDefault="00652197" w:rsidP="00652197">
            <w:pPr>
              <w:ind w:firstLineChars="100" w:firstLine="141"/>
              <w:rPr>
                <w:rFonts w:ascii="Lucida Bright" w:hAnsi="Lucida Bright" w:cs="Calibri"/>
                <w:b/>
                <w:bCs/>
                <w:sz w:val="14"/>
                <w:szCs w:val="14"/>
                <w:lang w:val="es-ES"/>
              </w:rPr>
            </w:pPr>
            <w:r w:rsidRPr="00652197">
              <w:rPr>
                <w:rFonts w:ascii="Lucida Bright" w:hAnsi="Lucida Bright" w:cs="Calibri"/>
                <w:b/>
                <w:bCs/>
                <w:sz w:val="14"/>
                <w:szCs w:val="14"/>
                <w:lang w:val="es-ES"/>
              </w:rPr>
              <w:t>3. Trabajos realizados por la empresa para su activo</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5"/>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center"/>
            <w:hideMark/>
          </w:tcPr>
          <w:p w:rsidR="00652197" w:rsidRPr="00652197" w:rsidRDefault="00652197" w:rsidP="00652197">
            <w:pPr>
              <w:ind w:firstLineChars="100" w:firstLine="141"/>
              <w:rPr>
                <w:rFonts w:ascii="Lucida Bright" w:hAnsi="Lucida Bright" w:cs="Calibri"/>
                <w:b/>
                <w:bCs/>
                <w:sz w:val="14"/>
                <w:szCs w:val="14"/>
                <w:lang w:val="es-ES"/>
              </w:rPr>
            </w:pPr>
            <w:r w:rsidRPr="00652197">
              <w:rPr>
                <w:rFonts w:ascii="Lucida Bright" w:hAnsi="Lucida Bright" w:cs="Calibri"/>
                <w:b/>
                <w:bCs/>
                <w:sz w:val="14"/>
                <w:szCs w:val="14"/>
                <w:lang w:val="es-ES"/>
              </w:rPr>
              <w:t>5. Otros ingresos de explotación</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8.627.060,41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6.373.747,55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A776FF">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1</w:t>
            </w:r>
            <w:r w:rsidR="00A776FF">
              <w:rPr>
                <w:rFonts w:ascii="Lucida Bright" w:hAnsi="Lucida Bright" w:cs="Calibri"/>
                <w:color w:val="000000"/>
                <w:sz w:val="14"/>
                <w:szCs w:val="14"/>
                <w:lang w:val="es-ES"/>
              </w:rPr>
              <w:t>4</w:t>
            </w:r>
            <w:r w:rsidRPr="00652197">
              <w:rPr>
                <w:rFonts w:ascii="Lucida Bright" w:hAnsi="Lucida Bright" w:cs="Calibri"/>
                <w:color w:val="000000"/>
                <w:sz w:val="14"/>
                <w:szCs w:val="14"/>
                <w:lang w:val="es-ES"/>
              </w:rPr>
              <w:t>.b</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200" w:firstLine="280"/>
              <w:rPr>
                <w:rFonts w:ascii="Lucida Bright" w:hAnsi="Lucida Bright" w:cs="Calibri"/>
                <w:sz w:val="14"/>
                <w:szCs w:val="14"/>
                <w:lang w:val="es-ES"/>
              </w:rPr>
            </w:pPr>
            <w:r w:rsidRPr="00652197">
              <w:rPr>
                <w:rFonts w:ascii="Lucida Bright" w:hAnsi="Lucida Bright" w:cs="Calibri"/>
                <w:sz w:val="14"/>
                <w:szCs w:val="14"/>
                <w:lang w:val="es-ES"/>
              </w:rPr>
              <w:t>a) Ingresos accesorios y otros de gestión corriente</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6.049.576,06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4.062.923,96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200" w:firstLine="280"/>
              <w:rPr>
                <w:rFonts w:ascii="Lucida Bright" w:hAnsi="Lucida Bright" w:cs="Calibri"/>
                <w:sz w:val="14"/>
                <w:szCs w:val="14"/>
                <w:lang w:val="es-ES"/>
              </w:rPr>
            </w:pPr>
            <w:r w:rsidRPr="00652197">
              <w:rPr>
                <w:rFonts w:ascii="Lucida Bright" w:hAnsi="Lucida Bright" w:cs="Calibri"/>
                <w:sz w:val="14"/>
                <w:szCs w:val="14"/>
                <w:lang w:val="es-ES"/>
              </w:rPr>
              <w:t>b) Subvenciones de explotación incorporadas al resultado del ejercicio</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70.094,97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137.191,05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200" w:firstLine="280"/>
              <w:rPr>
                <w:rFonts w:ascii="Lucida Bright" w:hAnsi="Lucida Bright" w:cs="Calibri"/>
                <w:sz w:val="14"/>
                <w:szCs w:val="14"/>
                <w:lang w:val="es-ES"/>
              </w:rPr>
            </w:pPr>
            <w:r w:rsidRPr="00652197">
              <w:rPr>
                <w:rFonts w:ascii="Lucida Bright" w:hAnsi="Lucida Bright" w:cs="Calibri"/>
                <w:sz w:val="14"/>
                <w:szCs w:val="14"/>
                <w:lang w:val="es-ES"/>
              </w:rPr>
              <w:t>c) Ingresos traspasados al resultado por concesiones revertidas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1.161.389,38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741.632,54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200" w:firstLine="280"/>
              <w:rPr>
                <w:rFonts w:ascii="Lucida Bright" w:hAnsi="Lucida Bright" w:cs="Calibri"/>
                <w:sz w:val="14"/>
                <w:szCs w:val="14"/>
                <w:lang w:val="es-ES"/>
              </w:rPr>
            </w:pPr>
            <w:r w:rsidRPr="00652197">
              <w:rPr>
                <w:rFonts w:ascii="Lucida Bright" w:hAnsi="Lucida Bright" w:cs="Calibri"/>
                <w:sz w:val="14"/>
                <w:szCs w:val="14"/>
                <w:lang w:val="es-ES"/>
              </w:rPr>
              <w:t>d) Fondo de Compensación Interportuario recibido</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1.346.000,00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1.432.000,00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14.c</w:t>
            </w:r>
          </w:p>
        </w:tc>
      </w:tr>
      <w:tr w:rsidR="00652197" w:rsidRPr="00652197" w:rsidTr="00652197">
        <w:trPr>
          <w:trHeight w:val="5"/>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color w:val="FFFFFF"/>
                <w:sz w:val="14"/>
                <w:szCs w:val="14"/>
                <w:lang w:val="es-ES"/>
              </w:rPr>
            </w:pPr>
            <w:r w:rsidRPr="00652197">
              <w:rPr>
                <w:rFonts w:ascii="Lucida Bright" w:hAnsi="Lucida Bright" w:cs="Calibri"/>
                <w:b/>
                <w:bCs/>
                <w:color w:val="FFFFFF"/>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center"/>
            <w:hideMark/>
          </w:tcPr>
          <w:p w:rsidR="00652197" w:rsidRPr="00652197" w:rsidRDefault="00652197" w:rsidP="00652197">
            <w:pPr>
              <w:ind w:firstLineChars="100" w:firstLine="141"/>
              <w:rPr>
                <w:rFonts w:ascii="Lucida Bright" w:hAnsi="Lucida Bright" w:cs="Calibri"/>
                <w:b/>
                <w:bCs/>
                <w:sz w:val="14"/>
                <w:szCs w:val="14"/>
                <w:lang w:val="es-ES"/>
              </w:rPr>
            </w:pPr>
            <w:r w:rsidRPr="00652197">
              <w:rPr>
                <w:rFonts w:ascii="Lucida Bright" w:hAnsi="Lucida Bright" w:cs="Calibri"/>
                <w:b/>
                <w:bCs/>
                <w:sz w:val="14"/>
                <w:szCs w:val="14"/>
                <w:lang w:val="es-ES"/>
              </w:rPr>
              <w:t>6. Gastos de personal</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(18.302.955,67)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(16.320.170,54)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200" w:firstLine="280"/>
              <w:rPr>
                <w:rFonts w:ascii="Lucida Bright" w:hAnsi="Lucida Bright" w:cs="Calibri"/>
                <w:sz w:val="14"/>
                <w:szCs w:val="14"/>
                <w:lang w:val="es-ES"/>
              </w:rPr>
            </w:pPr>
            <w:r w:rsidRPr="00652197">
              <w:rPr>
                <w:rFonts w:ascii="Lucida Bright" w:hAnsi="Lucida Bright" w:cs="Calibri"/>
                <w:sz w:val="14"/>
                <w:szCs w:val="14"/>
                <w:lang w:val="es-ES"/>
              </w:rPr>
              <w:t>a) Sueldos, salarios y asimilados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(12.792.009,32)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(11.591.259,27)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200" w:firstLine="280"/>
              <w:rPr>
                <w:rFonts w:ascii="Lucida Bright" w:hAnsi="Lucida Bright" w:cs="Calibri"/>
                <w:sz w:val="14"/>
                <w:szCs w:val="14"/>
                <w:lang w:val="es-ES"/>
              </w:rPr>
            </w:pPr>
            <w:r w:rsidRPr="00652197">
              <w:rPr>
                <w:rFonts w:ascii="Lucida Bright" w:hAnsi="Lucida Bright" w:cs="Calibri"/>
                <w:sz w:val="14"/>
                <w:szCs w:val="14"/>
                <w:lang w:val="es-ES"/>
              </w:rPr>
              <w:t>b) Indemnizaciones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(20.302,51)  </w:t>
            </w:r>
          </w:p>
        </w:tc>
        <w:tc>
          <w:tcPr>
            <w:tcW w:w="0" w:type="auto"/>
            <w:tcBorders>
              <w:top w:val="nil"/>
              <w:left w:val="single" w:sz="4" w:space="0" w:color="auto"/>
              <w:bottom w:val="nil"/>
              <w:right w:val="single" w:sz="4" w:space="0" w:color="auto"/>
            </w:tcBorders>
            <w:shd w:val="clear" w:color="auto" w:fill="auto"/>
            <w:noWrap/>
            <w:vAlign w:val="center"/>
            <w:hideMark/>
          </w:tcPr>
          <w:p w:rsidR="00652197" w:rsidRPr="00652197" w:rsidRDefault="00652197" w:rsidP="00652197">
            <w:pPr>
              <w:jc w:val="center"/>
              <w:rPr>
                <w:rFonts w:ascii="Lucida Bright" w:hAnsi="Lucida Bright" w:cs="Calibri"/>
                <w:b/>
                <w:bCs/>
                <w:sz w:val="14"/>
                <w:szCs w:val="14"/>
                <w:lang w:val="es-ES"/>
              </w:rPr>
            </w:pPr>
            <w:r w:rsidRPr="00652197">
              <w:rPr>
                <w:rFonts w:ascii="Lucida Bright" w:hAnsi="Lucida Bright" w:cs="Calibri"/>
                <w:b/>
                <w:bCs/>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200" w:firstLine="280"/>
              <w:rPr>
                <w:rFonts w:ascii="Lucida Bright" w:hAnsi="Lucida Bright" w:cs="Calibri"/>
                <w:sz w:val="14"/>
                <w:szCs w:val="14"/>
                <w:lang w:val="es-ES"/>
              </w:rPr>
            </w:pPr>
            <w:r w:rsidRPr="00652197">
              <w:rPr>
                <w:rFonts w:ascii="Lucida Bright" w:hAnsi="Lucida Bright" w:cs="Calibri"/>
                <w:sz w:val="14"/>
                <w:szCs w:val="14"/>
                <w:lang w:val="es-ES"/>
              </w:rPr>
              <w:t>c) Cargas sociales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(5.515.491,60)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(4.708.608,76)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200" w:firstLine="280"/>
              <w:rPr>
                <w:rFonts w:ascii="Lucida Bright" w:hAnsi="Lucida Bright" w:cs="Calibri"/>
                <w:sz w:val="14"/>
                <w:szCs w:val="14"/>
                <w:lang w:val="es-ES"/>
              </w:rPr>
            </w:pPr>
            <w:r w:rsidRPr="00652197">
              <w:rPr>
                <w:rFonts w:ascii="Lucida Bright" w:hAnsi="Lucida Bright" w:cs="Calibri"/>
                <w:sz w:val="14"/>
                <w:szCs w:val="14"/>
                <w:lang w:val="es-ES"/>
              </w:rPr>
              <w:t>d) Provisiones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4.545,25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5"/>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center"/>
            <w:hideMark/>
          </w:tcPr>
          <w:p w:rsidR="00652197" w:rsidRPr="00652197" w:rsidRDefault="00652197" w:rsidP="00652197">
            <w:pPr>
              <w:ind w:firstLineChars="100" w:firstLine="141"/>
              <w:rPr>
                <w:rFonts w:ascii="Lucida Bright" w:hAnsi="Lucida Bright" w:cs="Calibri"/>
                <w:b/>
                <w:bCs/>
                <w:sz w:val="14"/>
                <w:szCs w:val="14"/>
                <w:lang w:val="es-ES"/>
              </w:rPr>
            </w:pPr>
            <w:r w:rsidRPr="00652197">
              <w:rPr>
                <w:rFonts w:ascii="Lucida Bright" w:hAnsi="Lucida Bright" w:cs="Calibri"/>
                <w:b/>
                <w:bCs/>
                <w:sz w:val="14"/>
                <w:szCs w:val="14"/>
                <w:lang w:val="es-ES"/>
              </w:rPr>
              <w:t>7. Otros gastos de explotación</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(42.702.076,68)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(33.712.126,71)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200" w:firstLine="280"/>
              <w:rPr>
                <w:rFonts w:ascii="Lucida Bright" w:hAnsi="Lucida Bright" w:cs="Calibri"/>
                <w:sz w:val="14"/>
                <w:szCs w:val="14"/>
                <w:lang w:val="es-ES"/>
              </w:rPr>
            </w:pPr>
            <w:r w:rsidRPr="00652197">
              <w:rPr>
                <w:rFonts w:ascii="Lucida Bright" w:hAnsi="Lucida Bright" w:cs="Calibri"/>
                <w:sz w:val="14"/>
                <w:szCs w:val="14"/>
                <w:lang w:val="es-ES"/>
              </w:rPr>
              <w:t>a) Servicios exteriores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(31.573.168,16)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(28.743.140,16)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300" w:firstLine="420"/>
              <w:rPr>
                <w:rFonts w:ascii="Lucida Bright" w:hAnsi="Lucida Bright" w:cs="Calibri"/>
                <w:i/>
                <w:iCs/>
                <w:sz w:val="14"/>
                <w:szCs w:val="14"/>
                <w:lang w:val="es-ES"/>
              </w:rPr>
            </w:pPr>
            <w:r w:rsidRPr="00652197">
              <w:rPr>
                <w:rFonts w:ascii="Lucida Bright" w:hAnsi="Lucida Bright" w:cs="Calibri"/>
                <w:i/>
                <w:iCs/>
                <w:sz w:val="14"/>
                <w:szCs w:val="14"/>
                <w:lang w:val="es-ES"/>
              </w:rPr>
              <w:t>1. Reparaciones y conservación</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(15.172.739,10)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(14.099.759,26)  </w:t>
            </w:r>
          </w:p>
        </w:tc>
        <w:tc>
          <w:tcPr>
            <w:tcW w:w="0" w:type="auto"/>
            <w:tcBorders>
              <w:top w:val="nil"/>
              <w:left w:val="single" w:sz="4" w:space="0" w:color="auto"/>
              <w:bottom w:val="nil"/>
              <w:right w:val="single" w:sz="4" w:space="0" w:color="auto"/>
            </w:tcBorders>
            <w:shd w:val="clear" w:color="auto" w:fill="auto"/>
            <w:noWrap/>
            <w:vAlign w:val="center"/>
            <w:hideMark/>
          </w:tcPr>
          <w:p w:rsidR="00652197" w:rsidRPr="00652197" w:rsidRDefault="00652197" w:rsidP="00652197">
            <w:pPr>
              <w:jc w:val="center"/>
              <w:rPr>
                <w:rFonts w:ascii="Lucida Bright" w:hAnsi="Lucida Bright" w:cs="Calibri"/>
                <w:b/>
                <w:bCs/>
                <w:sz w:val="14"/>
                <w:szCs w:val="14"/>
                <w:lang w:val="es-ES"/>
              </w:rPr>
            </w:pPr>
            <w:r w:rsidRPr="00652197">
              <w:rPr>
                <w:rFonts w:ascii="Lucida Bright" w:hAnsi="Lucida Bright" w:cs="Calibri"/>
                <w:b/>
                <w:bCs/>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300" w:firstLine="420"/>
              <w:rPr>
                <w:rFonts w:ascii="Lucida Bright" w:hAnsi="Lucida Bright" w:cs="Calibri"/>
                <w:i/>
                <w:iCs/>
                <w:sz w:val="14"/>
                <w:szCs w:val="14"/>
                <w:lang w:val="es-ES"/>
              </w:rPr>
            </w:pPr>
            <w:r w:rsidRPr="00652197">
              <w:rPr>
                <w:rFonts w:ascii="Lucida Bright" w:hAnsi="Lucida Bright" w:cs="Calibri"/>
                <w:i/>
                <w:iCs/>
                <w:sz w:val="14"/>
                <w:szCs w:val="14"/>
                <w:lang w:val="es-ES"/>
              </w:rPr>
              <w:t>2. Servicios de profesionales independientes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(3.192.322,21)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(2.652.558,95)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300" w:firstLine="420"/>
              <w:rPr>
                <w:rFonts w:ascii="Lucida Bright" w:hAnsi="Lucida Bright" w:cs="Calibri"/>
                <w:i/>
                <w:iCs/>
                <w:sz w:val="14"/>
                <w:szCs w:val="14"/>
                <w:lang w:val="es-ES"/>
              </w:rPr>
            </w:pPr>
            <w:r w:rsidRPr="00652197">
              <w:rPr>
                <w:rFonts w:ascii="Lucida Bright" w:hAnsi="Lucida Bright" w:cs="Calibri"/>
                <w:i/>
                <w:iCs/>
                <w:sz w:val="14"/>
                <w:szCs w:val="14"/>
                <w:lang w:val="es-ES"/>
              </w:rPr>
              <w:t>3. Suministros y consumos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(5.914.058,83)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(4.957.226,81)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300" w:firstLine="420"/>
              <w:rPr>
                <w:rFonts w:ascii="Lucida Bright" w:hAnsi="Lucida Bright" w:cs="Calibri"/>
                <w:i/>
                <w:iCs/>
                <w:sz w:val="14"/>
                <w:szCs w:val="14"/>
                <w:lang w:val="es-ES"/>
              </w:rPr>
            </w:pPr>
            <w:r w:rsidRPr="00652197">
              <w:rPr>
                <w:rFonts w:ascii="Lucida Bright" w:hAnsi="Lucida Bright" w:cs="Calibri"/>
                <w:i/>
                <w:iCs/>
                <w:sz w:val="14"/>
                <w:szCs w:val="14"/>
                <w:lang w:val="es-ES"/>
              </w:rPr>
              <w:t>4. Otros servicios exteriores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(7.294.048,02)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i/>
                <w:iCs/>
                <w:sz w:val="14"/>
                <w:szCs w:val="14"/>
                <w:lang w:val="es-ES"/>
              </w:rPr>
            </w:pPr>
            <w:r w:rsidRPr="00652197">
              <w:rPr>
                <w:rFonts w:ascii="Lucida Bright" w:hAnsi="Lucida Bright" w:cs="Calibri"/>
                <w:i/>
                <w:iCs/>
                <w:sz w:val="14"/>
                <w:szCs w:val="14"/>
                <w:lang w:val="es-ES"/>
              </w:rPr>
              <w:t xml:space="preserve">(7.033.595,14)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200" w:firstLine="280"/>
              <w:rPr>
                <w:rFonts w:ascii="Lucida Bright" w:hAnsi="Lucida Bright" w:cs="Calibri"/>
                <w:sz w:val="14"/>
                <w:szCs w:val="14"/>
                <w:lang w:val="es-ES"/>
              </w:rPr>
            </w:pPr>
            <w:r w:rsidRPr="00652197">
              <w:rPr>
                <w:rFonts w:ascii="Lucida Bright" w:hAnsi="Lucida Bright" w:cs="Calibri"/>
                <w:sz w:val="14"/>
                <w:szCs w:val="14"/>
                <w:lang w:val="es-ES"/>
              </w:rPr>
              <w:t>b) Tributos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(1.274.539,92)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(1.282.787,19)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200" w:firstLine="280"/>
              <w:rPr>
                <w:rFonts w:ascii="Lucida Bright" w:hAnsi="Lucida Bright" w:cs="Calibri"/>
                <w:sz w:val="14"/>
                <w:szCs w:val="14"/>
                <w:lang w:val="es-ES"/>
              </w:rPr>
            </w:pPr>
            <w:r w:rsidRPr="00652197">
              <w:rPr>
                <w:rFonts w:ascii="Lucida Bright" w:hAnsi="Lucida Bright" w:cs="Calibri"/>
                <w:sz w:val="14"/>
                <w:szCs w:val="14"/>
                <w:lang w:val="es-ES"/>
              </w:rPr>
              <w:t>c) Pérdidas, deterioro y variación de provisiones por operaciones comerciales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(163.002,93)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(443.619,02)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200" w:firstLine="280"/>
              <w:rPr>
                <w:rFonts w:ascii="Lucida Bright" w:hAnsi="Lucida Bright" w:cs="Calibri"/>
                <w:sz w:val="14"/>
                <w:szCs w:val="14"/>
                <w:lang w:val="es-ES"/>
              </w:rPr>
            </w:pPr>
            <w:r w:rsidRPr="00652197">
              <w:rPr>
                <w:rFonts w:ascii="Lucida Bright" w:hAnsi="Lucida Bright" w:cs="Calibri"/>
                <w:sz w:val="14"/>
                <w:szCs w:val="14"/>
                <w:lang w:val="es-ES"/>
              </w:rPr>
              <w:t>d) Otros gastos de gestión corriente</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(6.568.531,49)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(761.744,23)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14.a</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200" w:firstLine="280"/>
              <w:rPr>
                <w:rFonts w:ascii="Lucida Bright" w:hAnsi="Lucida Bright" w:cs="Calibri"/>
                <w:sz w:val="14"/>
                <w:szCs w:val="14"/>
                <w:lang w:val="es-ES"/>
              </w:rPr>
            </w:pPr>
            <w:r w:rsidRPr="00652197">
              <w:rPr>
                <w:rFonts w:ascii="Lucida Bright" w:hAnsi="Lucida Bright" w:cs="Calibri"/>
                <w:sz w:val="14"/>
                <w:szCs w:val="14"/>
                <w:lang w:val="es-ES"/>
              </w:rPr>
              <w:t>e) Aportación a Puertos del Estado art. 19.1.b) TRLPEMM</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(1.225.834,18)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(1.022.836,11)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200" w:firstLine="280"/>
              <w:rPr>
                <w:rFonts w:ascii="Lucida Bright" w:hAnsi="Lucida Bright" w:cs="Calibri"/>
                <w:sz w:val="14"/>
                <w:szCs w:val="14"/>
                <w:lang w:val="es-ES"/>
              </w:rPr>
            </w:pPr>
            <w:r w:rsidRPr="00652197">
              <w:rPr>
                <w:rFonts w:ascii="Lucida Bright" w:hAnsi="Lucida Bright" w:cs="Calibri"/>
                <w:sz w:val="14"/>
                <w:szCs w:val="14"/>
                <w:lang w:val="es-ES"/>
              </w:rPr>
              <w:t>f) Fondo de Compensación Interportuario aportado</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(1.897.000,00)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(1.458.000,00)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14.c</w:t>
            </w:r>
          </w:p>
        </w:tc>
      </w:tr>
      <w:tr w:rsidR="00652197" w:rsidRPr="00652197" w:rsidTr="00652197">
        <w:trPr>
          <w:trHeight w:val="5"/>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center"/>
            <w:hideMark/>
          </w:tcPr>
          <w:p w:rsidR="00652197" w:rsidRPr="00652197" w:rsidRDefault="00652197" w:rsidP="00652197">
            <w:pPr>
              <w:ind w:firstLineChars="100" w:firstLine="141"/>
              <w:rPr>
                <w:rFonts w:ascii="Lucida Bright" w:hAnsi="Lucida Bright" w:cs="Calibri"/>
                <w:b/>
                <w:bCs/>
                <w:sz w:val="14"/>
                <w:szCs w:val="14"/>
                <w:lang w:val="es-ES"/>
              </w:rPr>
            </w:pPr>
            <w:r w:rsidRPr="00652197">
              <w:rPr>
                <w:rFonts w:ascii="Lucida Bright" w:hAnsi="Lucida Bright" w:cs="Calibri"/>
                <w:b/>
                <w:bCs/>
                <w:sz w:val="14"/>
                <w:szCs w:val="14"/>
                <w:lang w:val="es-ES"/>
              </w:rPr>
              <w:t>8. Amortizaciones del inmovilizado</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(22.222.848,45)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(21.886.325,91)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5"/>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center"/>
            <w:hideMark/>
          </w:tcPr>
          <w:p w:rsidR="00652197" w:rsidRPr="00652197" w:rsidRDefault="00652197" w:rsidP="00652197">
            <w:pPr>
              <w:ind w:firstLineChars="100" w:firstLine="141"/>
              <w:rPr>
                <w:rFonts w:ascii="Lucida Bright" w:hAnsi="Lucida Bright" w:cs="Calibri"/>
                <w:b/>
                <w:bCs/>
                <w:sz w:val="14"/>
                <w:szCs w:val="14"/>
                <w:lang w:val="es-ES"/>
              </w:rPr>
            </w:pPr>
            <w:r w:rsidRPr="00652197">
              <w:rPr>
                <w:rFonts w:ascii="Lucida Bright" w:hAnsi="Lucida Bright" w:cs="Calibri"/>
                <w:b/>
                <w:bCs/>
                <w:sz w:val="14"/>
                <w:szCs w:val="14"/>
                <w:lang w:val="es-ES"/>
              </w:rPr>
              <w:t>9. Imputación de subvenciones de inmovilizado no financiero y otras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938.507,64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969.362,82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11</w:t>
            </w:r>
          </w:p>
        </w:tc>
      </w:tr>
      <w:tr w:rsidR="00652197" w:rsidRPr="00652197" w:rsidTr="00652197">
        <w:trPr>
          <w:trHeight w:val="5"/>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center"/>
            <w:hideMark/>
          </w:tcPr>
          <w:p w:rsidR="00652197" w:rsidRPr="00652197" w:rsidRDefault="00652197" w:rsidP="00652197">
            <w:pPr>
              <w:ind w:firstLineChars="100" w:firstLine="141"/>
              <w:rPr>
                <w:rFonts w:ascii="Lucida Bright" w:hAnsi="Lucida Bright" w:cs="Calibri"/>
                <w:b/>
                <w:bCs/>
                <w:sz w:val="14"/>
                <w:szCs w:val="14"/>
                <w:lang w:val="es-ES"/>
              </w:rPr>
            </w:pPr>
            <w:r w:rsidRPr="00652197">
              <w:rPr>
                <w:rFonts w:ascii="Lucida Bright" w:hAnsi="Lucida Bright" w:cs="Calibri"/>
                <w:b/>
                <w:bCs/>
                <w:sz w:val="14"/>
                <w:szCs w:val="14"/>
                <w:lang w:val="es-ES"/>
              </w:rPr>
              <w:t>10. Excesos de provisiones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nil"/>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Lucida Bright" w:hAnsi="Lucida Bright" w:cs="Calibri"/>
                <w:color w:val="000000"/>
                <w:sz w:val="14"/>
                <w:szCs w:val="14"/>
                <w:lang w:val="es-ES"/>
              </w:rPr>
            </w:pPr>
            <w:r w:rsidRPr="00652197">
              <w:rPr>
                <w:rFonts w:ascii="Lucida Bright" w:hAnsi="Lucida Bright" w:cs="Calibri"/>
                <w:color w:val="000000"/>
                <w:sz w:val="14"/>
                <w:szCs w:val="14"/>
                <w:lang w:val="es-ES"/>
              </w:rPr>
              <w:t> </w:t>
            </w:r>
          </w:p>
        </w:tc>
      </w:tr>
      <w:tr w:rsidR="00652197" w:rsidRPr="00652197" w:rsidTr="00652197">
        <w:trPr>
          <w:trHeight w:val="5"/>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nil"/>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Calibri" w:hAnsi="Calibri" w:cs="Calibri"/>
                <w:color w:val="000000"/>
                <w:sz w:val="14"/>
                <w:szCs w:val="14"/>
                <w:lang w:val="es-ES"/>
              </w:rPr>
            </w:pPr>
            <w:r w:rsidRPr="00652197">
              <w:rPr>
                <w:rFonts w:ascii="Calibri" w:hAnsi="Calibri"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center"/>
            <w:hideMark/>
          </w:tcPr>
          <w:p w:rsidR="00652197" w:rsidRPr="00652197" w:rsidRDefault="00652197" w:rsidP="00652197">
            <w:pPr>
              <w:ind w:firstLineChars="100" w:firstLine="141"/>
              <w:rPr>
                <w:rFonts w:ascii="Lucida Bright" w:hAnsi="Lucida Bright" w:cs="Calibri"/>
                <w:b/>
                <w:bCs/>
                <w:sz w:val="14"/>
                <w:szCs w:val="14"/>
                <w:lang w:val="es-ES"/>
              </w:rPr>
            </w:pPr>
            <w:r w:rsidRPr="00652197">
              <w:rPr>
                <w:rFonts w:ascii="Lucida Bright" w:hAnsi="Lucida Bright" w:cs="Calibri"/>
                <w:b/>
                <w:bCs/>
                <w:sz w:val="14"/>
                <w:szCs w:val="14"/>
                <w:lang w:val="es-ES"/>
              </w:rPr>
              <w:t>11. Deterioro y resultado por enajenaciones del inmovilizado</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(461.056,24)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(398.372,74)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Calibri" w:hAnsi="Calibri" w:cs="Calibri"/>
                <w:color w:val="000000"/>
                <w:sz w:val="14"/>
                <w:szCs w:val="14"/>
                <w:lang w:val="es-ES"/>
              </w:rPr>
            </w:pPr>
            <w:r w:rsidRPr="00652197">
              <w:rPr>
                <w:rFonts w:ascii="Calibri" w:hAnsi="Calibri"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200" w:firstLine="280"/>
              <w:rPr>
                <w:rFonts w:ascii="Lucida Bright" w:hAnsi="Lucida Bright" w:cs="Calibri"/>
                <w:sz w:val="14"/>
                <w:szCs w:val="14"/>
                <w:lang w:val="es-ES"/>
              </w:rPr>
            </w:pPr>
            <w:r w:rsidRPr="00652197">
              <w:rPr>
                <w:rFonts w:ascii="Lucida Bright" w:hAnsi="Lucida Bright" w:cs="Calibri"/>
                <w:sz w:val="14"/>
                <w:szCs w:val="14"/>
                <w:lang w:val="es-ES"/>
              </w:rPr>
              <w:t>a) Deterioros y pérdidas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  </w:t>
            </w:r>
          </w:p>
        </w:tc>
        <w:tc>
          <w:tcPr>
            <w:tcW w:w="0" w:type="auto"/>
            <w:tcBorders>
              <w:top w:val="nil"/>
              <w:left w:val="nil"/>
              <w:bottom w:val="nil"/>
              <w:right w:val="nil"/>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Calibri" w:hAnsi="Calibri" w:cs="Calibri"/>
                <w:color w:val="000000"/>
                <w:sz w:val="14"/>
                <w:szCs w:val="14"/>
                <w:lang w:val="es-ES"/>
              </w:rPr>
            </w:pPr>
            <w:r w:rsidRPr="00652197">
              <w:rPr>
                <w:rFonts w:ascii="Calibri" w:hAnsi="Calibri"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200" w:firstLine="280"/>
              <w:rPr>
                <w:rFonts w:ascii="Lucida Bright" w:hAnsi="Lucida Bright" w:cs="Calibri"/>
                <w:sz w:val="14"/>
                <w:szCs w:val="14"/>
                <w:lang w:val="es-ES"/>
              </w:rPr>
            </w:pPr>
            <w:r w:rsidRPr="00652197">
              <w:rPr>
                <w:rFonts w:ascii="Lucida Bright" w:hAnsi="Lucida Bright" w:cs="Calibri"/>
                <w:sz w:val="14"/>
                <w:szCs w:val="14"/>
                <w:lang w:val="es-ES"/>
              </w:rPr>
              <w:t>b) Resultados por enajenaciones y otras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(461.056,24)  </w:t>
            </w:r>
          </w:p>
        </w:tc>
        <w:tc>
          <w:tcPr>
            <w:tcW w:w="0" w:type="auto"/>
            <w:tcBorders>
              <w:top w:val="nil"/>
              <w:left w:val="nil"/>
              <w:bottom w:val="nil"/>
              <w:right w:val="nil"/>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(398.372,74)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Calibri" w:hAnsi="Calibri" w:cs="Calibri"/>
                <w:color w:val="000000"/>
                <w:sz w:val="14"/>
                <w:szCs w:val="14"/>
                <w:lang w:val="es-ES"/>
              </w:rPr>
            </w:pPr>
            <w:r w:rsidRPr="00652197">
              <w:rPr>
                <w:rFonts w:ascii="Calibri" w:hAnsi="Calibri" w:cs="Calibri"/>
                <w:color w:val="000000"/>
                <w:sz w:val="14"/>
                <w:szCs w:val="14"/>
                <w:lang w:val="es-ES"/>
              </w:rPr>
              <w:t> </w:t>
            </w:r>
          </w:p>
        </w:tc>
      </w:tr>
      <w:tr w:rsidR="00652197" w:rsidRPr="00652197" w:rsidTr="00652197">
        <w:trPr>
          <w:trHeight w:val="5"/>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nil"/>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Calibri" w:hAnsi="Calibri" w:cs="Calibri"/>
                <w:color w:val="000000"/>
                <w:sz w:val="14"/>
                <w:szCs w:val="14"/>
                <w:lang w:val="es-ES"/>
              </w:rPr>
            </w:pPr>
            <w:r w:rsidRPr="00652197">
              <w:rPr>
                <w:rFonts w:ascii="Calibri" w:hAnsi="Calibri"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center"/>
            <w:hideMark/>
          </w:tcPr>
          <w:p w:rsidR="00652197" w:rsidRPr="00652197" w:rsidRDefault="00652197" w:rsidP="00652197">
            <w:pPr>
              <w:ind w:firstLineChars="100" w:firstLine="141"/>
              <w:rPr>
                <w:rFonts w:ascii="Lucida Bright" w:hAnsi="Lucida Bright" w:cs="Calibri"/>
                <w:b/>
                <w:bCs/>
                <w:sz w:val="14"/>
                <w:szCs w:val="14"/>
                <w:lang w:val="es-ES"/>
              </w:rPr>
            </w:pPr>
            <w:r w:rsidRPr="00652197">
              <w:rPr>
                <w:rFonts w:ascii="Lucida Bright" w:hAnsi="Lucida Bright" w:cs="Calibri"/>
                <w:b/>
                <w:bCs/>
                <w:sz w:val="14"/>
                <w:szCs w:val="14"/>
                <w:lang w:val="es-ES"/>
              </w:rPr>
              <w:t>12. Otros resultados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14.003,24  </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(100,00)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Calibri" w:hAnsi="Calibri" w:cs="Calibri"/>
                <w:color w:val="000000"/>
                <w:sz w:val="14"/>
                <w:szCs w:val="14"/>
                <w:lang w:val="es-ES"/>
              </w:rPr>
            </w:pPr>
            <w:r w:rsidRPr="00652197">
              <w:rPr>
                <w:rFonts w:ascii="Calibri" w:hAnsi="Calibri"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200" w:firstLine="280"/>
              <w:rPr>
                <w:rFonts w:ascii="Lucida Bright" w:hAnsi="Lucida Bright" w:cs="Calibri"/>
                <w:sz w:val="14"/>
                <w:szCs w:val="14"/>
                <w:lang w:val="es-ES"/>
              </w:rPr>
            </w:pPr>
            <w:r w:rsidRPr="00652197">
              <w:rPr>
                <w:rFonts w:ascii="Lucida Bright" w:hAnsi="Lucida Bright" w:cs="Calibri"/>
                <w:sz w:val="14"/>
                <w:szCs w:val="14"/>
                <w:lang w:val="es-ES"/>
              </w:rPr>
              <w:t>a) Ingresos excepcionales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14.003,24  </w:t>
            </w:r>
          </w:p>
        </w:tc>
        <w:tc>
          <w:tcPr>
            <w:tcW w:w="0" w:type="auto"/>
            <w:tcBorders>
              <w:top w:val="nil"/>
              <w:left w:val="nil"/>
              <w:bottom w:val="nil"/>
              <w:right w:val="nil"/>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Calibri" w:hAnsi="Calibri" w:cs="Calibri"/>
                <w:color w:val="000000"/>
                <w:sz w:val="14"/>
                <w:szCs w:val="14"/>
                <w:lang w:val="es-ES"/>
              </w:rPr>
            </w:pPr>
            <w:r w:rsidRPr="00652197">
              <w:rPr>
                <w:rFonts w:ascii="Calibri" w:hAnsi="Calibri"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ind w:firstLineChars="200" w:firstLine="280"/>
              <w:rPr>
                <w:rFonts w:ascii="Lucida Bright" w:hAnsi="Lucida Bright" w:cs="Calibri"/>
                <w:sz w:val="14"/>
                <w:szCs w:val="14"/>
                <w:lang w:val="es-ES"/>
              </w:rPr>
            </w:pPr>
            <w:r w:rsidRPr="00652197">
              <w:rPr>
                <w:rFonts w:ascii="Lucida Bright" w:hAnsi="Lucida Bright" w:cs="Calibri"/>
                <w:sz w:val="14"/>
                <w:szCs w:val="14"/>
                <w:lang w:val="es-ES"/>
              </w:rPr>
              <w:t>b) Gastos excepcionales</w:t>
            </w:r>
          </w:p>
        </w:tc>
        <w:tc>
          <w:tcPr>
            <w:tcW w:w="0" w:type="auto"/>
            <w:tcBorders>
              <w:top w:val="nil"/>
              <w:left w:val="nil"/>
              <w:bottom w:val="nil"/>
              <w:right w:val="single" w:sz="4" w:space="0" w:color="auto"/>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  </w:t>
            </w:r>
          </w:p>
        </w:tc>
        <w:tc>
          <w:tcPr>
            <w:tcW w:w="0" w:type="auto"/>
            <w:tcBorders>
              <w:top w:val="nil"/>
              <w:left w:val="nil"/>
              <w:bottom w:val="nil"/>
              <w:right w:val="nil"/>
            </w:tcBorders>
            <w:shd w:val="clear" w:color="auto" w:fill="auto"/>
            <w:noWrap/>
            <w:vAlign w:val="center"/>
            <w:hideMark/>
          </w:tcPr>
          <w:p w:rsidR="00652197" w:rsidRPr="00652197" w:rsidRDefault="00652197" w:rsidP="00652197">
            <w:pPr>
              <w:jc w:val="right"/>
              <w:rPr>
                <w:rFonts w:ascii="Lucida Bright" w:hAnsi="Lucida Bright" w:cs="Calibri"/>
                <w:sz w:val="14"/>
                <w:szCs w:val="14"/>
                <w:lang w:val="es-ES"/>
              </w:rPr>
            </w:pPr>
            <w:r w:rsidRPr="00652197">
              <w:rPr>
                <w:rFonts w:ascii="Lucida Bright" w:hAnsi="Lucida Bright" w:cs="Calibri"/>
                <w:sz w:val="14"/>
                <w:szCs w:val="14"/>
                <w:lang w:val="es-ES"/>
              </w:rPr>
              <w:t xml:space="preserve">(100,00)  </w:t>
            </w: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Calibri" w:hAnsi="Calibri" w:cs="Calibri"/>
                <w:color w:val="000000"/>
                <w:sz w:val="14"/>
                <w:szCs w:val="14"/>
                <w:lang w:val="es-ES"/>
              </w:rPr>
            </w:pPr>
            <w:r w:rsidRPr="00652197">
              <w:rPr>
                <w:rFonts w:ascii="Calibri" w:hAnsi="Calibri" w:cs="Calibri"/>
                <w:color w:val="000000"/>
                <w:sz w:val="14"/>
                <w:szCs w:val="14"/>
                <w:lang w:val="es-ES"/>
              </w:rPr>
              <w:t> </w:t>
            </w:r>
          </w:p>
        </w:tc>
      </w:tr>
      <w:tr w:rsidR="00652197" w:rsidRPr="00652197" w:rsidTr="00652197">
        <w:trPr>
          <w:trHeight w:val="5"/>
        </w:trPr>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nil"/>
            </w:tcBorders>
            <w:shd w:val="clear" w:color="auto" w:fill="auto"/>
            <w:noWrap/>
            <w:vAlign w:val="bottom"/>
            <w:hideMark/>
          </w:tcPr>
          <w:p w:rsidR="00652197" w:rsidRPr="00652197" w:rsidRDefault="00652197" w:rsidP="00652197">
            <w:pPr>
              <w:rPr>
                <w:rFonts w:ascii="Lucida Bright" w:hAnsi="Lucida Bright" w:cs="Calibri"/>
                <w:b/>
                <w:bCs/>
                <w:sz w:val="14"/>
                <w:szCs w:val="14"/>
                <w:lang w:val="es-ES"/>
              </w:rPr>
            </w:pPr>
          </w:p>
        </w:tc>
        <w:tc>
          <w:tcPr>
            <w:tcW w:w="0" w:type="auto"/>
            <w:tcBorders>
              <w:top w:val="nil"/>
              <w:left w:val="single" w:sz="4" w:space="0" w:color="auto"/>
              <w:bottom w:val="nil"/>
              <w:right w:val="single" w:sz="4" w:space="0" w:color="auto"/>
            </w:tcBorders>
            <w:shd w:val="clear" w:color="auto" w:fill="auto"/>
            <w:noWrap/>
            <w:vAlign w:val="bottom"/>
            <w:hideMark/>
          </w:tcPr>
          <w:p w:rsidR="00652197" w:rsidRPr="00652197" w:rsidRDefault="00652197" w:rsidP="00652197">
            <w:pPr>
              <w:jc w:val="center"/>
              <w:rPr>
                <w:rFonts w:ascii="Calibri" w:hAnsi="Calibri" w:cs="Calibri"/>
                <w:color w:val="000000"/>
                <w:sz w:val="14"/>
                <w:szCs w:val="14"/>
                <w:lang w:val="es-ES"/>
              </w:rPr>
            </w:pPr>
            <w:r w:rsidRPr="00652197">
              <w:rPr>
                <w:rFonts w:ascii="Calibri" w:hAnsi="Calibri" w:cs="Calibri"/>
                <w:color w:val="000000"/>
                <w:sz w:val="14"/>
                <w:szCs w:val="14"/>
                <w:lang w:val="es-ES"/>
              </w:rPr>
              <w:t> </w:t>
            </w:r>
          </w:p>
        </w:tc>
      </w:tr>
      <w:tr w:rsidR="00652197" w:rsidRPr="00652197" w:rsidTr="00652197">
        <w:trPr>
          <w:trHeight w:val="12"/>
        </w:trPr>
        <w:tc>
          <w:tcPr>
            <w:tcW w:w="0" w:type="auto"/>
            <w:tcBorders>
              <w:top w:val="nil"/>
              <w:left w:val="single" w:sz="4" w:space="0" w:color="auto"/>
              <w:bottom w:val="single" w:sz="4" w:space="0" w:color="auto"/>
              <w:right w:val="single" w:sz="4" w:space="0" w:color="auto"/>
            </w:tcBorders>
            <w:shd w:val="clear" w:color="000000" w:fill="CCFFCC"/>
            <w:noWrap/>
            <w:vAlign w:val="center"/>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xml:space="preserve">  A.1. RESULTADO DE EXPLOTACIÓN (1+3+5+6+7+8+9+10+11+12)</w:t>
            </w:r>
          </w:p>
        </w:tc>
        <w:tc>
          <w:tcPr>
            <w:tcW w:w="0" w:type="auto"/>
            <w:tcBorders>
              <w:top w:val="nil"/>
              <w:left w:val="nil"/>
              <w:bottom w:val="single" w:sz="4" w:space="0" w:color="auto"/>
              <w:right w:val="single" w:sz="4" w:space="0" w:color="auto"/>
            </w:tcBorders>
            <w:shd w:val="clear" w:color="000000" w:fill="CCFFCC"/>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37.532.748,90  </w:t>
            </w:r>
          </w:p>
        </w:tc>
        <w:tc>
          <w:tcPr>
            <w:tcW w:w="0" w:type="auto"/>
            <w:tcBorders>
              <w:top w:val="nil"/>
              <w:left w:val="nil"/>
              <w:bottom w:val="single" w:sz="4" w:space="0" w:color="auto"/>
              <w:right w:val="single" w:sz="4" w:space="0" w:color="auto"/>
            </w:tcBorders>
            <w:shd w:val="clear" w:color="000000" w:fill="CCFFCC"/>
            <w:noWrap/>
            <w:vAlign w:val="center"/>
            <w:hideMark/>
          </w:tcPr>
          <w:p w:rsidR="00652197" w:rsidRPr="00652197" w:rsidRDefault="00652197" w:rsidP="00652197">
            <w:pPr>
              <w:jc w:val="right"/>
              <w:rPr>
                <w:rFonts w:ascii="Lucida Bright" w:hAnsi="Lucida Bright" w:cs="Calibri"/>
                <w:b/>
                <w:bCs/>
                <w:sz w:val="14"/>
                <w:szCs w:val="14"/>
                <w:lang w:val="es-ES"/>
              </w:rPr>
            </w:pPr>
            <w:r w:rsidRPr="00652197">
              <w:rPr>
                <w:rFonts w:ascii="Lucida Bright" w:hAnsi="Lucida Bright" w:cs="Calibri"/>
                <w:b/>
                <w:bCs/>
                <w:sz w:val="14"/>
                <w:szCs w:val="14"/>
                <w:lang w:val="es-ES"/>
              </w:rPr>
              <w:t xml:space="preserve">40.206.112,18  </w:t>
            </w:r>
          </w:p>
        </w:tc>
        <w:tc>
          <w:tcPr>
            <w:tcW w:w="0" w:type="auto"/>
            <w:tcBorders>
              <w:top w:val="nil"/>
              <w:left w:val="single" w:sz="4" w:space="0" w:color="auto"/>
              <w:bottom w:val="single" w:sz="4" w:space="0" w:color="auto"/>
              <w:right w:val="single" w:sz="4" w:space="0" w:color="auto"/>
            </w:tcBorders>
            <w:shd w:val="clear" w:color="000000" w:fill="CCFFCC"/>
            <w:noWrap/>
            <w:vAlign w:val="center"/>
            <w:hideMark/>
          </w:tcPr>
          <w:p w:rsidR="00652197" w:rsidRPr="00652197" w:rsidRDefault="00652197" w:rsidP="00652197">
            <w:pPr>
              <w:jc w:val="center"/>
              <w:rPr>
                <w:rFonts w:ascii="Lucida Bright" w:hAnsi="Lucida Bright" w:cs="Calibri"/>
                <w:b/>
                <w:bCs/>
                <w:sz w:val="14"/>
                <w:szCs w:val="14"/>
                <w:lang w:val="es-ES"/>
              </w:rPr>
            </w:pPr>
            <w:r w:rsidRPr="00652197">
              <w:rPr>
                <w:rFonts w:ascii="Lucida Bright" w:hAnsi="Lucida Bright" w:cs="Calibri"/>
                <w:b/>
                <w:bCs/>
                <w:sz w:val="14"/>
                <w:szCs w:val="14"/>
                <w:lang w:val="es-ES"/>
              </w:rPr>
              <w:t> </w:t>
            </w:r>
          </w:p>
        </w:tc>
      </w:tr>
      <w:tr w:rsidR="00652197" w:rsidRPr="00652197" w:rsidTr="00652197">
        <w:trPr>
          <w:trHeight w:val="12"/>
        </w:trPr>
        <w:tc>
          <w:tcPr>
            <w:tcW w:w="0" w:type="auto"/>
            <w:tcBorders>
              <w:top w:val="nil"/>
              <w:left w:val="nil"/>
              <w:bottom w:val="nil"/>
              <w:right w:val="single" w:sz="4" w:space="0" w:color="auto"/>
            </w:tcBorders>
            <w:shd w:val="clear" w:color="000000" w:fill="CCFFCC"/>
            <w:noWrap/>
            <w:vAlign w:val="center"/>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CCFFCC"/>
            <w:noWrap/>
            <w:vAlign w:val="center"/>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nil"/>
              <w:bottom w:val="nil"/>
              <w:right w:val="nil"/>
            </w:tcBorders>
            <w:shd w:val="clear" w:color="000000" w:fill="CCFFCC"/>
            <w:noWrap/>
            <w:vAlign w:val="center"/>
            <w:hideMark/>
          </w:tcPr>
          <w:p w:rsidR="00652197" w:rsidRPr="00652197" w:rsidRDefault="00652197" w:rsidP="00652197">
            <w:pPr>
              <w:rPr>
                <w:rFonts w:ascii="Lucida Bright" w:hAnsi="Lucida Bright" w:cs="Calibri"/>
                <w:b/>
                <w:bCs/>
                <w:sz w:val="14"/>
                <w:szCs w:val="14"/>
                <w:lang w:val="es-ES"/>
              </w:rPr>
            </w:pPr>
            <w:r w:rsidRPr="00652197">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000000" w:fill="CCFFCC"/>
            <w:noWrap/>
            <w:vAlign w:val="center"/>
            <w:hideMark/>
          </w:tcPr>
          <w:p w:rsidR="00652197" w:rsidRPr="00652197" w:rsidRDefault="00652197" w:rsidP="00652197">
            <w:pPr>
              <w:jc w:val="center"/>
              <w:rPr>
                <w:rFonts w:ascii="Lucida Bright" w:hAnsi="Lucida Bright" w:cs="Calibri"/>
                <w:b/>
                <w:bCs/>
                <w:sz w:val="14"/>
                <w:szCs w:val="14"/>
                <w:lang w:val="es-ES"/>
              </w:rPr>
            </w:pPr>
            <w:r w:rsidRPr="00652197">
              <w:rPr>
                <w:rFonts w:ascii="Lucida Bright" w:hAnsi="Lucida Bright" w:cs="Calibri"/>
                <w:b/>
                <w:bCs/>
                <w:sz w:val="14"/>
                <w:szCs w:val="14"/>
                <w:lang w:val="es-ES"/>
              </w:rPr>
              <w:t> </w:t>
            </w:r>
          </w:p>
        </w:tc>
      </w:tr>
    </w:tbl>
    <w:p w:rsidR="003C56C8" w:rsidRDefault="003C56C8" w:rsidP="00E13AD1">
      <w:pPr>
        <w:rPr>
          <w:sz w:val="18"/>
        </w:rPr>
      </w:pPr>
    </w:p>
    <w:p w:rsidR="0010004D" w:rsidRDefault="0010004D" w:rsidP="00E13AD1">
      <w:pPr>
        <w:rPr>
          <w:sz w:val="18"/>
        </w:rPr>
      </w:pPr>
    </w:p>
    <w:p w:rsidR="0010004D" w:rsidRDefault="0010004D" w:rsidP="00E13AD1">
      <w:pPr>
        <w:rPr>
          <w:sz w:val="18"/>
        </w:rPr>
      </w:pPr>
    </w:p>
    <w:p w:rsidR="0010004D" w:rsidRDefault="0010004D" w:rsidP="00E13AD1">
      <w:pPr>
        <w:rPr>
          <w:sz w:val="18"/>
        </w:rPr>
      </w:pPr>
    </w:p>
    <w:p w:rsidR="0010004D" w:rsidRDefault="0010004D" w:rsidP="00E13AD1">
      <w:pPr>
        <w:rPr>
          <w:sz w:val="18"/>
        </w:rPr>
      </w:pPr>
    </w:p>
    <w:p w:rsidR="0010004D" w:rsidRDefault="0010004D" w:rsidP="00E13AD1">
      <w:pPr>
        <w:rPr>
          <w:sz w:val="18"/>
        </w:rPr>
      </w:pPr>
    </w:p>
    <w:p w:rsidR="0010004D" w:rsidRDefault="0010004D" w:rsidP="00E13AD1">
      <w:pPr>
        <w:rPr>
          <w:sz w:val="18"/>
        </w:rPr>
      </w:pPr>
    </w:p>
    <w:p w:rsidR="0010004D" w:rsidRDefault="0010004D" w:rsidP="00E13AD1">
      <w:pPr>
        <w:rPr>
          <w:sz w:val="18"/>
        </w:rPr>
      </w:pPr>
    </w:p>
    <w:p w:rsidR="0010004D" w:rsidRPr="00ED3379" w:rsidRDefault="0010004D" w:rsidP="00E13AD1">
      <w:pPr>
        <w:rPr>
          <w:sz w:val="18"/>
        </w:rPr>
      </w:pPr>
    </w:p>
    <w:tbl>
      <w:tblPr>
        <w:tblW w:w="0" w:type="auto"/>
        <w:tblInd w:w="65" w:type="dxa"/>
        <w:tblCellMar>
          <w:left w:w="70" w:type="dxa"/>
          <w:right w:w="70" w:type="dxa"/>
        </w:tblCellMar>
        <w:tblLook w:val="04A0" w:firstRow="1" w:lastRow="0" w:firstColumn="1" w:lastColumn="0" w:noHBand="0" w:noVBand="1"/>
      </w:tblPr>
      <w:tblGrid>
        <w:gridCol w:w="5267"/>
        <w:gridCol w:w="1125"/>
        <w:gridCol w:w="1125"/>
        <w:gridCol w:w="658"/>
      </w:tblGrid>
      <w:tr w:rsidR="00DB650C" w:rsidRPr="00DB650C" w:rsidTr="00DB650C">
        <w:trPr>
          <w:trHeight w:val="210"/>
        </w:trPr>
        <w:tc>
          <w:tcPr>
            <w:tcW w:w="0" w:type="auto"/>
            <w:tcBorders>
              <w:top w:val="single" w:sz="4" w:space="0" w:color="auto"/>
              <w:left w:val="single" w:sz="4" w:space="0" w:color="auto"/>
              <w:bottom w:val="nil"/>
              <w:right w:val="single" w:sz="4" w:space="0" w:color="auto"/>
            </w:tcBorders>
            <w:shd w:val="clear" w:color="000000" w:fill="CCFFCC"/>
            <w:noWrap/>
            <w:vAlign w:val="bottom"/>
            <w:hideMark/>
          </w:tcPr>
          <w:p w:rsidR="00DB650C" w:rsidRPr="00DB650C" w:rsidRDefault="00DB650C" w:rsidP="00DB650C">
            <w:pPr>
              <w:jc w:val="center"/>
              <w:rPr>
                <w:rFonts w:ascii="Lucida Bright" w:hAnsi="Lucida Bright" w:cs="Calibri"/>
                <w:b/>
                <w:bCs/>
                <w:sz w:val="18"/>
                <w:szCs w:val="18"/>
                <w:lang w:val="es-ES"/>
              </w:rPr>
            </w:pPr>
            <w:r w:rsidRPr="00DB650C">
              <w:rPr>
                <w:rFonts w:ascii="Lucida Bright" w:hAnsi="Lucida Bright" w:cs="Calibri"/>
                <w:b/>
                <w:bCs/>
                <w:sz w:val="18"/>
                <w:szCs w:val="18"/>
                <w:lang w:val="es-ES"/>
              </w:rPr>
              <w:t> </w:t>
            </w:r>
          </w:p>
        </w:tc>
        <w:tc>
          <w:tcPr>
            <w:tcW w:w="0" w:type="auto"/>
            <w:gridSpan w:val="2"/>
            <w:tcBorders>
              <w:top w:val="single" w:sz="4" w:space="0" w:color="auto"/>
              <w:left w:val="nil"/>
              <w:bottom w:val="single" w:sz="4" w:space="0" w:color="auto"/>
              <w:right w:val="single" w:sz="4" w:space="0" w:color="000000"/>
            </w:tcBorders>
            <w:shd w:val="clear" w:color="000000" w:fill="CCFFCC"/>
            <w:noWrap/>
            <w:vAlign w:val="center"/>
            <w:hideMark/>
          </w:tcPr>
          <w:p w:rsidR="00DB650C" w:rsidRPr="00DB650C" w:rsidRDefault="00DB650C" w:rsidP="00DB650C">
            <w:pPr>
              <w:jc w:val="center"/>
              <w:rPr>
                <w:rFonts w:ascii="Lucida Bright" w:hAnsi="Lucida Bright" w:cs="Calibri"/>
                <w:b/>
                <w:bCs/>
                <w:sz w:val="18"/>
                <w:szCs w:val="18"/>
                <w:lang w:val="es-ES"/>
              </w:rPr>
            </w:pPr>
            <w:r w:rsidRPr="00DB650C">
              <w:rPr>
                <w:rFonts w:ascii="Lucida Bright" w:hAnsi="Lucida Bright" w:cs="Calibri"/>
                <w:b/>
                <w:bCs/>
                <w:sz w:val="18"/>
                <w:szCs w:val="18"/>
                <w:lang w:val="es-ES"/>
              </w:rPr>
              <w:t>(Debe) Haber</w:t>
            </w:r>
          </w:p>
        </w:tc>
        <w:tc>
          <w:tcPr>
            <w:tcW w:w="0" w:type="auto"/>
            <w:tcBorders>
              <w:top w:val="single" w:sz="4" w:space="0" w:color="auto"/>
              <w:left w:val="nil"/>
              <w:bottom w:val="single" w:sz="4" w:space="0" w:color="auto"/>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8"/>
                <w:szCs w:val="18"/>
                <w:lang w:val="es-ES"/>
              </w:rPr>
            </w:pPr>
            <w:r w:rsidRPr="00DB650C">
              <w:rPr>
                <w:rFonts w:ascii="Lucida Bright" w:hAnsi="Lucida Bright" w:cs="Calibri"/>
                <w:b/>
                <w:bCs/>
                <w:sz w:val="18"/>
                <w:szCs w:val="18"/>
                <w:lang w:val="es-ES"/>
              </w:rPr>
              <w:t> </w:t>
            </w:r>
          </w:p>
        </w:tc>
      </w:tr>
      <w:tr w:rsidR="00DB650C" w:rsidRPr="00DB650C" w:rsidTr="00DB650C">
        <w:trPr>
          <w:trHeight w:val="210"/>
        </w:trPr>
        <w:tc>
          <w:tcPr>
            <w:tcW w:w="0" w:type="auto"/>
            <w:tcBorders>
              <w:top w:val="nil"/>
              <w:left w:val="single" w:sz="4" w:space="0" w:color="auto"/>
              <w:bottom w:val="single" w:sz="4" w:space="0" w:color="auto"/>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8"/>
                <w:szCs w:val="18"/>
                <w:lang w:val="es-ES"/>
              </w:rPr>
            </w:pPr>
            <w:r w:rsidRPr="00DB650C">
              <w:rPr>
                <w:rFonts w:ascii="Lucida Bright" w:hAnsi="Lucida Bright" w:cs="Calibri"/>
                <w:b/>
                <w:bCs/>
                <w:sz w:val="18"/>
                <w:szCs w:val="18"/>
                <w:lang w:val="es-ES"/>
              </w:rPr>
              <w:t> </w:t>
            </w:r>
          </w:p>
        </w:tc>
        <w:tc>
          <w:tcPr>
            <w:tcW w:w="0" w:type="auto"/>
            <w:tcBorders>
              <w:top w:val="nil"/>
              <w:left w:val="nil"/>
              <w:bottom w:val="single" w:sz="4" w:space="0" w:color="auto"/>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8"/>
                <w:szCs w:val="18"/>
                <w:lang w:val="es-ES"/>
              </w:rPr>
            </w:pPr>
            <w:r w:rsidRPr="00DB650C">
              <w:rPr>
                <w:rFonts w:ascii="Lucida Bright" w:hAnsi="Lucida Bright" w:cs="Calibri"/>
                <w:b/>
                <w:bCs/>
                <w:sz w:val="18"/>
                <w:szCs w:val="18"/>
                <w:lang w:val="es-ES"/>
              </w:rPr>
              <w:t>2024</w:t>
            </w:r>
          </w:p>
        </w:tc>
        <w:tc>
          <w:tcPr>
            <w:tcW w:w="0" w:type="auto"/>
            <w:tcBorders>
              <w:top w:val="nil"/>
              <w:left w:val="nil"/>
              <w:bottom w:val="single" w:sz="4" w:space="0" w:color="auto"/>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8"/>
                <w:szCs w:val="18"/>
                <w:lang w:val="es-ES"/>
              </w:rPr>
            </w:pPr>
            <w:r w:rsidRPr="00DB650C">
              <w:rPr>
                <w:rFonts w:ascii="Lucida Bright" w:hAnsi="Lucida Bright" w:cs="Calibri"/>
                <w:b/>
                <w:bCs/>
                <w:sz w:val="18"/>
                <w:szCs w:val="18"/>
                <w:lang w:val="es-ES"/>
              </w:rPr>
              <w:t>2023</w:t>
            </w:r>
          </w:p>
        </w:tc>
        <w:tc>
          <w:tcPr>
            <w:tcW w:w="0" w:type="auto"/>
            <w:tcBorders>
              <w:top w:val="nil"/>
              <w:left w:val="nil"/>
              <w:bottom w:val="single" w:sz="4" w:space="0" w:color="auto"/>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8"/>
                <w:szCs w:val="18"/>
                <w:lang w:val="es-ES"/>
              </w:rPr>
            </w:pPr>
            <w:r w:rsidRPr="00DB650C">
              <w:rPr>
                <w:rFonts w:ascii="Lucida Bright" w:hAnsi="Lucida Bright" w:cs="Calibri"/>
                <w:b/>
                <w:bCs/>
                <w:sz w:val="18"/>
                <w:szCs w:val="18"/>
                <w:lang w:val="es-ES"/>
              </w:rPr>
              <w:t>Notas</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Calibri" w:hAnsi="Calibri" w:cs="Calibri"/>
                <w:color w:val="000000"/>
                <w:sz w:val="14"/>
                <w:szCs w:val="14"/>
                <w:lang w:val="es-ES"/>
              </w:rPr>
            </w:pPr>
            <w:r w:rsidRPr="00DB650C">
              <w:rPr>
                <w:rFonts w:ascii="Calibri" w:hAnsi="Calibri" w:cs="Calibri"/>
                <w:color w:val="000000"/>
                <w:sz w:val="14"/>
                <w:szCs w:val="14"/>
                <w:lang w:val="es-ES"/>
              </w:rPr>
              <w:t> </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ind w:firstLineChars="100" w:firstLine="141"/>
              <w:rPr>
                <w:rFonts w:ascii="Lucida Bright" w:hAnsi="Lucida Bright" w:cs="Calibri"/>
                <w:b/>
                <w:bCs/>
                <w:sz w:val="14"/>
                <w:szCs w:val="14"/>
                <w:lang w:val="es-ES"/>
              </w:rPr>
            </w:pPr>
            <w:r w:rsidRPr="00DB650C">
              <w:rPr>
                <w:rFonts w:ascii="Lucida Bright" w:hAnsi="Lucida Bright" w:cs="Calibri"/>
                <w:b/>
                <w:bCs/>
                <w:sz w:val="14"/>
                <w:szCs w:val="14"/>
                <w:lang w:val="es-ES"/>
              </w:rPr>
              <w:t>12. Ingresos financieros</w:t>
            </w:r>
          </w:p>
        </w:tc>
        <w:tc>
          <w:tcPr>
            <w:tcW w:w="0" w:type="auto"/>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8.092.213,85  </w:t>
            </w:r>
          </w:p>
        </w:tc>
        <w:tc>
          <w:tcPr>
            <w:tcW w:w="0" w:type="auto"/>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4.996.788,79  </w:t>
            </w: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14.b</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auto" w:fill="auto"/>
            <w:noWrap/>
            <w:hideMark/>
          </w:tcPr>
          <w:p w:rsidR="00DB650C" w:rsidRPr="00DB650C" w:rsidRDefault="00DB650C" w:rsidP="00DB650C">
            <w:pPr>
              <w:ind w:firstLineChars="200" w:firstLine="280"/>
              <w:rPr>
                <w:rFonts w:ascii="Lucida Bright" w:hAnsi="Lucida Bright" w:cs="Calibri"/>
                <w:sz w:val="14"/>
                <w:szCs w:val="14"/>
                <w:lang w:val="es-ES"/>
              </w:rPr>
            </w:pPr>
            <w:r w:rsidRPr="00DB650C">
              <w:rPr>
                <w:rFonts w:ascii="Lucida Bright" w:hAnsi="Lucida Bright" w:cs="Calibri"/>
                <w:sz w:val="14"/>
                <w:szCs w:val="14"/>
                <w:lang w:val="es-ES"/>
              </w:rPr>
              <w:t>a) De participaciones en instrumentos de patrimonio</w:t>
            </w:r>
          </w:p>
        </w:tc>
        <w:tc>
          <w:tcPr>
            <w:tcW w:w="0" w:type="auto"/>
            <w:tcBorders>
              <w:top w:val="nil"/>
              <w:left w:val="nil"/>
              <w:bottom w:val="nil"/>
              <w:right w:val="single" w:sz="4" w:space="0" w:color="auto"/>
            </w:tcBorders>
            <w:shd w:val="clear" w:color="auto" w:fill="auto"/>
            <w:noWrap/>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0" w:type="auto"/>
            <w:tcBorders>
              <w:top w:val="nil"/>
              <w:left w:val="nil"/>
              <w:bottom w:val="nil"/>
              <w:right w:val="nil"/>
            </w:tcBorders>
            <w:shd w:val="clear" w:color="auto" w:fill="auto"/>
            <w:noWrap/>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Calibri" w:hAnsi="Calibri" w:cs="Calibri"/>
                <w:color w:val="000000"/>
                <w:sz w:val="14"/>
                <w:szCs w:val="14"/>
                <w:lang w:val="es-ES"/>
              </w:rPr>
            </w:pPr>
            <w:r w:rsidRPr="00DB650C">
              <w:rPr>
                <w:rFonts w:ascii="Calibri" w:hAnsi="Calibri" w:cs="Calibri"/>
                <w:color w:val="000000"/>
                <w:sz w:val="14"/>
                <w:szCs w:val="14"/>
                <w:lang w:val="es-ES"/>
              </w:rPr>
              <w:t> </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auto" w:fill="auto"/>
            <w:noWrap/>
            <w:hideMark/>
          </w:tcPr>
          <w:p w:rsidR="00DB650C" w:rsidRPr="00DB650C" w:rsidRDefault="00DB650C" w:rsidP="00DB650C">
            <w:pPr>
              <w:ind w:firstLineChars="200" w:firstLine="280"/>
              <w:rPr>
                <w:rFonts w:ascii="Lucida Bright" w:hAnsi="Lucida Bright" w:cs="Calibri"/>
                <w:sz w:val="14"/>
                <w:szCs w:val="14"/>
                <w:lang w:val="es-ES"/>
              </w:rPr>
            </w:pPr>
            <w:r w:rsidRPr="00DB650C">
              <w:rPr>
                <w:rFonts w:ascii="Lucida Bright" w:hAnsi="Lucida Bright" w:cs="Calibri"/>
                <w:sz w:val="14"/>
                <w:szCs w:val="14"/>
                <w:lang w:val="es-ES"/>
              </w:rPr>
              <w:t>b) De valores negociables y otros instrumentos financieros</w:t>
            </w:r>
          </w:p>
        </w:tc>
        <w:tc>
          <w:tcPr>
            <w:tcW w:w="0" w:type="auto"/>
            <w:tcBorders>
              <w:top w:val="nil"/>
              <w:left w:val="nil"/>
              <w:bottom w:val="nil"/>
              <w:right w:val="single" w:sz="4" w:space="0" w:color="auto"/>
            </w:tcBorders>
            <w:shd w:val="clear" w:color="auto" w:fill="auto"/>
            <w:noWrap/>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8.092.213,85  </w:t>
            </w:r>
          </w:p>
        </w:tc>
        <w:tc>
          <w:tcPr>
            <w:tcW w:w="0" w:type="auto"/>
            <w:tcBorders>
              <w:top w:val="nil"/>
              <w:left w:val="nil"/>
              <w:bottom w:val="nil"/>
              <w:right w:val="nil"/>
            </w:tcBorders>
            <w:shd w:val="clear" w:color="auto" w:fill="auto"/>
            <w:noWrap/>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4.996.788,79  </w:t>
            </w: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Calibri" w:hAnsi="Calibri" w:cs="Calibri"/>
                <w:color w:val="000000"/>
                <w:sz w:val="14"/>
                <w:szCs w:val="14"/>
                <w:lang w:val="es-ES"/>
              </w:rPr>
            </w:pPr>
            <w:r w:rsidRPr="00DB650C">
              <w:rPr>
                <w:rFonts w:ascii="Calibri" w:hAnsi="Calibri" w:cs="Calibri"/>
                <w:color w:val="000000"/>
                <w:sz w:val="14"/>
                <w:szCs w:val="14"/>
                <w:lang w:val="es-ES"/>
              </w:rPr>
              <w:t> </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auto" w:fill="auto"/>
            <w:noWrap/>
            <w:hideMark/>
          </w:tcPr>
          <w:p w:rsidR="00DB650C" w:rsidRPr="00DB650C" w:rsidRDefault="00DB650C" w:rsidP="00DB650C">
            <w:pPr>
              <w:ind w:firstLineChars="200" w:firstLine="280"/>
              <w:rPr>
                <w:rFonts w:ascii="Lucida Bright" w:hAnsi="Lucida Bright" w:cs="Calibri"/>
                <w:sz w:val="14"/>
                <w:szCs w:val="14"/>
                <w:lang w:val="es-ES"/>
              </w:rPr>
            </w:pPr>
            <w:r w:rsidRPr="00DB650C">
              <w:rPr>
                <w:rFonts w:ascii="Lucida Bright" w:hAnsi="Lucida Bright" w:cs="Calibri"/>
                <w:sz w:val="14"/>
                <w:szCs w:val="14"/>
                <w:lang w:val="es-ES"/>
              </w:rPr>
              <w:t>c) Incorporación al activo de gastos financieros</w:t>
            </w:r>
          </w:p>
        </w:tc>
        <w:tc>
          <w:tcPr>
            <w:tcW w:w="0" w:type="auto"/>
            <w:tcBorders>
              <w:top w:val="nil"/>
              <w:left w:val="nil"/>
              <w:bottom w:val="nil"/>
              <w:right w:val="single" w:sz="4" w:space="0" w:color="auto"/>
            </w:tcBorders>
            <w:shd w:val="clear" w:color="auto" w:fill="auto"/>
            <w:noWrap/>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0" w:type="auto"/>
            <w:tcBorders>
              <w:top w:val="nil"/>
              <w:left w:val="nil"/>
              <w:bottom w:val="nil"/>
              <w:right w:val="nil"/>
            </w:tcBorders>
            <w:shd w:val="clear" w:color="auto" w:fill="auto"/>
            <w:noWrap/>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Calibri" w:hAnsi="Calibri" w:cs="Calibri"/>
                <w:color w:val="000000"/>
                <w:sz w:val="14"/>
                <w:szCs w:val="14"/>
                <w:lang w:val="es-ES"/>
              </w:rPr>
            </w:pPr>
            <w:r w:rsidRPr="00DB650C">
              <w:rPr>
                <w:rFonts w:ascii="Calibri" w:hAnsi="Calibri" w:cs="Calibri"/>
                <w:color w:val="000000"/>
                <w:sz w:val="14"/>
                <w:szCs w:val="14"/>
                <w:lang w:val="es-ES"/>
              </w:rPr>
              <w:t> </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ind w:firstLineChars="100" w:firstLine="141"/>
              <w:rPr>
                <w:rFonts w:ascii="Lucida Bright" w:hAnsi="Lucida Bright" w:cs="Calibri"/>
                <w:b/>
                <w:bCs/>
                <w:sz w:val="14"/>
                <w:szCs w:val="14"/>
                <w:lang w:val="es-ES"/>
              </w:rPr>
            </w:pPr>
            <w:r w:rsidRPr="00DB650C">
              <w:rPr>
                <w:rFonts w:ascii="Lucida Bright" w:hAnsi="Lucida Bright" w:cs="Calibri"/>
                <w:b/>
                <w:bCs/>
                <w:sz w:val="14"/>
                <w:szCs w:val="14"/>
                <w:lang w:val="es-ES"/>
              </w:rPr>
              <w:t>13. Gastos financieros</w:t>
            </w:r>
          </w:p>
        </w:tc>
        <w:tc>
          <w:tcPr>
            <w:tcW w:w="0" w:type="auto"/>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(295.917,79)  </w:t>
            </w:r>
          </w:p>
        </w:tc>
        <w:tc>
          <w:tcPr>
            <w:tcW w:w="0" w:type="auto"/>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(366.112,01)  </w:t>
            </w: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14.a</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auto" w:fill="auto"/>
            <w:noWrap/>
            <w:hideMark/>
          </w:tcPr>
          <w:p w:rsidR="00DB650C" w:rsidRPr="00DB650C" w:rsidRDefault="00DB650C" w:rsidP="00DB650C">
            <w:pPr>
              <w:ind w:firstLineChars="200" w:firstLine="280"/>
              <w:rPr>
                <w:rFonts w:ascii="Lucida Bright" w:hAnsi="Lucida Bright" w:cs="Calibri"/>
                <w:sz w:val="14"/>
                <w:szCs w:val="14"/>
                <w:lang w:val="es-ES"/>
              </w:rPr>
            </w:pPr>
            <w:r w:rsidRPr="00DB650C">
              <w:rPr>
                <w:rFonts w:ascii="Lucida Bright" w:hAnsi="Lucida Bright" w:cs="Calibri"/>
                <w:sz w:val="14"/>
                <w:szCs w:val="14"/>
                <w:lang w:val="es-ES"/>
              </w:rPr>
              <w:t>a) Por deudas con terceros</w:t>
            </w:r>
          </w:p>
        </w:tc>
        <w:tc>
          <w:tcPr>
            <w:tcW w:w="0" w:type="auto"/>
            <w:tcBorders>
              <w:top w:val="nil"/>
              <w:left w:val="nil"/>
              <w:bottom w:val="nil"/>
              <w:right w:val="single" w:sz="4" w:space="0" w:color="auto"/>
            </w:tcBorders>
            <w:shd w:val="clear" w:color="auto" w:fill="auto"/>
            <w:noWrap/>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(79,62)  </w:t>
            </w:r>
          </w:p>
        </w:tc>
        <w:tc>
          <w:tcPr>
            <w:tcW w:w="0" w:type="auto"/>
            <w:tcBorders>
              <w:top w:val="nil"/>
              <w:left w:val="nil"/>
              <w:bottom w:val="nil"/>
              <w:right w:val="nil"/>
            </w:tcBorders>
            <w:shd w:val="clear" w:color="auto" w:fill="auto"/>
            <w:noWrap/>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(2.909,60)  </w:t>
            </w: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Calibri" w:hAnsi="Calibri" w:cs="Calibri"/>
                <w:color w:val="000000"/>
                <w:sz w:val="14"/>
                <w:szCs w:val="14"/>
                <w:lang w:val="es-ES"/>
              </w:rPr>
            </w:pPr>
            <w:r w:rsidRPr="00DB650C">
              <w:rPr>
                <w:rFonts w:ascii="Calibri" w:hAnsi="Calibri" w:cs="Calibri"/>
                <w:color w:val="000000"/>
                <w:sz w:val="14"/>
                <w:szCs w:val="14"/>
                <w:lang w:val="es-ES"/>
              </w:rPr>
              <w:t> </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auto" w:fill="auto"/>
            <w:noWrap/>
            <w:hideMark/>
          </w:tcPr>
          <w:p w:rsidR="00DB650C" w:rsidRPr="00DB650C" w:rsidRDefault="00DB650C" w:rsidP="00DB650C">
            <w:pPr>
              <w:ind w:firstLineChars="200" w:firstLine="280"/>
              <w:rPr>
                <w:rFonts w:ascii="Lucida Bright" w:hAnsi="Lucida Bright" w:cs="Calibri"/>
                <w:sz w:val="14"/>
                <w:szCs w:val="14"/>
                <w:lang w:val="es-ES"/>
              </w:rPr>
            </w:pPr>
            <w:r w:rsidRPr="00DB650C">
              <w:rPr>
                <w:rFonts w:ascii="Lucida Bright" w:hAnsi="Lucida Bright" w:cs="Calibri"/>
                <w:sz w:val="14"/>
                <w:szCs w:val="14"/>
                <w:lang w:val="es-ES"/>
              </w:rPr>
              <w:t>b) Por actualización de provisiones</w:t>
            </w:r>
          </w:p>
        </w:tc>
        <w:tc>
          <w:tcPr>
            <w:tcW w:w="0" w:type="auto"/>
            <w:tcBorders>
              <w:top w:val="nil"/>
              <w:left w:val="nil"/>
              <w:bottom w:val="nil"/>
              <w:right w:val="single" w:sz="4" w:space="0" w:color="auto"/>
            </w:tcBorders>
            <w:shd w:val="clear" w:color="auto" w:fill="auto"/>
            <w:noWrap/>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(295.838,17)  </w:t>
            </w:r>
          </w:p>
        </w:tc>
        <w:tc>
          <w:tcPr>
            <w:tcW w:w="0" w:type="auto"/>
            <w:tcBorders>
              <w:top w:val="nil"/>
              <w:left w:val="nil"/>
              <w:bottom w:val="nil"/>
              <w:right w:val="nil"/>
            </w:tcBorders>
            <w:shd w:val="clear" w:color="auto" w:fill="auto"/>
            <w:noWrap/>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(363.202,41)  </w:t>
            </w: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Calibri" w:hAnsi="Calibri" w:cs="Calibri"/>
                <w:color w:val="000000"/>
                <w:sz w:val="14"/>
                <w:szCs w:val="14"/>
                <w:lang w:val="es-ES"/>
              </w:rPr>
            </w:pPr>
            <w:r w:rsidRPr="00DB650C">
              <w:rPr>
                <w:rFonts w:ascii="Calibri" w:hAnsi="Calibri" w:cs="Calibri"/>
                <w:color w:val="000000"/>
                <w:sz w:val="14"/>
                <w:szCs w:val="14"/>
                <w:lang w:val="es-ES"/>
              </w:rPr>
              <w:t> </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Calibri" w:hAnsi="Calibri" w:cs="Calibri"/>
                <w:color w:val="000000"/>
                <w:sz w:val="14"/>
                <w:szCs w:val="14"/>
                <w:lang w:val="es-ES"/>
              </w:rPr>
            </w:pPr>
            <w:r w:rsidRPr="00DB650C">
              <w:rPr>
                <w:rFonts w:ascii="Calibri" w:hAnsi="Calibri" w:cs="Calibri"/>
                <w:color w:val="000000"/>
                <w:sz w:val="14"/>
                <w:szCs w:val="14"/>
                <w:lang w:val="es-ES"/>
              </w:rPr>
              <w:t> </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ind w:firstLineChars="100" w:firstLine="141"/>
              <w:rPr>
                <w:rFonts w:ascii="Lucida Bright" w:hAnsi="Lucida Bright" w:cs="Calibri"/>
                <w:b/>
                <w:bCs/>
                <w:sz w:val="14"/>
                <w:szCs w:val="14"/>
                <w:lang w:val="es-ES"/>
              </w:rPr>
            </w:pPr>
            <w:r w:rsidRPr="00DB650C">
              <w:rPr>
                <w:rFonts w:ascii="Lucida Bright" w:hAnsi="Lucida Bright" w:cs="Calibri"/>
                <w:b/>
                <w:bCs/>
                <w:sz w:val="14"/>
                <w:szCs w:val="14"/>
                <w:lang w:val="es-ES"/>
              </w:rPr>
              <w:t>14. Variación de valor razonable en instrumentos financieros</w:t>
            </w:r>
          </w:p>
        </w:tc>
        <w:tc>
          <w:tcPr>
            <w:tcW w:w="0" w:type="auto"/>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0" w:type="auto"/>
            <w:tcBorders>
              <w:top w:val="nil"/>
              <w:left w:val="nil"/>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Calibri" w:hAnsi="Calibri" w:cs="Calibri"/>
                <w:color w:val="000000"/>
                <w:sz w:val="14"/>
                <w:szCs w:val="14"/>
                <w:lang w:val="es-ES"/>
              </w:rPr>
            </w:pPr>
            <w:r w:rsidRPr="00DB650C">
              <w:rPr>
                <w:rFonts w:ascii="Calibri" w:hAnsi="Calibri" w:cs="Calibri"/>
                <w:color w:val="000000"/>
                <w:sz w:val="14"/>
                <w:szCs w:val="14"/>
                <w:lang w:val="es-ES"/>
              </w:rPr>
              <w:t> </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nil"/>
            </w:tcBorders>
            <w:shd w:val="clear" w:color="auto" w:fill="auto"/>
            <w:noWrap/>
            <w:vAlign w:val="center"/>
            <w:hideMark/>
          </w:tcPr>
          <w:p w:rsidR="00DB650C" w:rsidRPr="00DB650C" w:rsidRDefault="00DB650C" w:rsidP="00DB650C">
            <w:pPr>
              <w:rPr>
                <w:rFonts w:ascii="Lucida Bright" w:hAnsi="Lucida Bright" w:cs="Calibri"/>
                <w:b/>
                <w:bCs/>
                <w:sz w:val="14"/>
                <w:szCs w:val="14"/>
                <w:lang w:val="es-ES"/>
              </w:rPr>
            </w:pP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Calibri" w:hAnsi="Calibri" w:cs="Calibri"/>
                <w:color w:val="000000"/>
                <w:sz w:val="14"/>
                <w:szCs w:val="14"/>
                <w:lang w:val="es-ES"/>
              </w:rPr>
            </w:pPr>
            <w:r w:rsidRPr="00DB650C">
              <w:rPr>
                <w:rFonts w:ascii="Calibri" w:hAnsi="Calibri" w:cs="Calibri"/>
                <w:color w:val="000000"/>
                <w:sz w:val="14"/>
                <w:szCs w:val="14"/>
                <w:lang w:val="es-ES"/>
              </w:rPr>
              <w:t> </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ind w:firstLineChars="100" w:firstLine="141"/>
              <w:rPr>
                <w:rFonts w:ascii="Lucida Bright" w:hAnsi="Lucida Bright" w:cs="Calibri"/>
                <w:b/>
                <w:bCs/>
                <w:sz w:val="14"/>
                <w:szCs w:val="14"/>
                <w:lang w:val="es-ES"/>
              </w:rPr>
            </w:pPr>
            <w:r w:rsidRPr="00DB650C">
              <w:rPr>
                <w:rFonts w:ascii="Lucida Bright" w:hAnsi="Lucida Bright" w:cs="Calibri"/>
                <w:b/>
                <w:bCs/>
                <w:sz w:val="14"/>
                <w:szCs w:val="14"/>
                <w:lang w:val="es-ES"/>
              </w:rPr>
              <w:t>16. Deterioro y resultado por enajenaciones de instrumentos financieros</w:t>
            </w:r>
          </w:p>
        </w:tc>
        <w:tc>
          <w:tcPr>
            <w:tcW w:w="0" w:type="auto"/>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0" w:type="auto"/>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(9.713,29)  </w:t>
            </w: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Calibri" w:hAnsi="Calibri" w:cs="Calibri"/>
                <w:color w:val="000000"/>
                <w:sz w:val="14"/>
                <w:szCs w:val="14"/>
                <w:lang w:val="es-ES"/>
              </w:rPr>
            </w:pPr>
            <w:r w:rsidRPr="00DB650C">
              <w:rPr>
                <w:rFonts w:ascii="Calibri" w:hAnsi="Calibri" w:cs="Calibri"/>
                <w:color w:val="000000"/>
                <w:sz w:val="14"/>
                <w:szCs w:val="14"/>
                <w:lang w:val="es-ES"/>
              </w:rPr>
              <w:t> </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ind w:firstLineChars="200" w:firstLine="280"/>
              <w:rPr>
                <w:rFonts w:ascii="Lucida Bright" w:hAnsi="Lucida Bright" w:cs="Calibri"/>
                <w:sz w:val="14"/>
                <w:szCs w:val="14"/>
                <w:lang w:val="es-ES"/>
              </w:rPr>
            </w:pPr>
            <w:r w:rsidRPr="00DB650C">
              <w:rPr>
                <w:rFonts w:ascii="Lucida Bright" w:hAnsi="Lucida Bright" w:cs="Calibri"/>
                <w:sz w:val="14"/>
                <w:szCs w:val="14"/>
                <w:lang w:val="es-ES"/>
              </w:rPr>
              <w:t>a) Deterioros y pérdidas.</w:t>
            </w:r>
          </w:p>
        </w:tc>
        <w:tc>
          <w:tcPr>
            <w:tcW w:w="0" w:type="auto"/>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0" w:type="auto"/>
            <w:tcBorders>
              <w:top w:val="nil"/>
              <w:left w:val="nil"/>
              <w:bottom w:val="nil"/>
              <w:right w:val="nil"/>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(9.713,29)  </w:t>
            </w: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Calibri" w:hAnsi="Calibri" w:cs="Calibri"/>
                <w:color w:val="000000"/>
                <w:sz w:val="14"/>
                <w:szCs w:val="14"/>
                <w:lang w:val="es-ES"/>
              </w:rPr>
            </w:pPr>
            <w:r w:rsidRPr="00DB650C">
              <w:rPr>
                <w:rFonts w:ascii="Calibri" w:hAnsi="Calibri" w:cs="Calibri"/>
                <w:color w:val="000000"/>
                <w:sz w:val="14"/>
                <w:szCs w:val="14"/>
                <w:lang w:val="es-ES"/>
              </w:rPr>
              <w:t> </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ind w:firstLineChars="200" w:firstLine="280"/>
              <w:rPr>
                <w:rFonts w:ascii="Lucida Bright" w:hAnsi="Lucida Bright" w:cs="Calibri"/>
                <w:sz w:val="14"/>
                <w:szCs w:val="14"/>
                <w:lang w:val="es-ES"/>
              </w:rPr>
            </w:pPr>
            <w:r w:rsidRPr="00DB650C">
              <w:rPr>
                <w:rFonts w:ascii="Lucida Bright" w:hAnsi="Lucida Bright" w:cs="Calibri"/>
                <w:sz w:val="14"/>
                <w:szCs w:val="14"/>
                <w:lang w:val="es-ES"/>
              </w:rPr>
              <w:t>b) Resultados por enajenaciones y otras</w:t>
            </w:r>
          </w:p>
        </w:tc>
        <w:tc>
          <w:tcPr>
            <w:tcW w:w="0" w:type="auto"/>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0" w:type="auto"/>
            <w:tcBorders>
              <w:top w:val="nil"/>
              <w:left w:val="nil"/>
              <w:bottom w:val="nil"/>
              <w:right w:val="nil"/>
            </w:tcBorders>
            <w:shd w:val="clear" w:color="auto" w:fill="auto"/>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Calibri" w:hAnsi="Calibri" w:cs="Calibri"/>
                <w:color w:val="000000"/>
                <w:sz w:val="14"/>
                <w:szCs w:val="14"/>
                <w:lang w:val="es-ES"/>
              </w:rPr>
            </w:pPr>
            <w:r w:rsidRPr="00DB650C">
              <w:rPr>
                <w:rFonts w:ascii="Calibri" w:hAnsi="Calibri" w:cs="Calibri"/>
                <w:color w:val="000000"/>
                <w:sz w:val="14"/>
                <w:szCs w:val="14"/>
                <w:lang w:val="es-ES"/>
              </w:rPr>
              <w:t> </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0" w:type="auto"/>
            <w:tcBorders>
              <w:top w:val="nil"/>
              <w:left w:val="nil"/>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Calibri" w:hAnsi="Calibri" w:cs="Calibri"/>
                <w:color w:val="000000"/>
                <w:sz w:val="14"/>
                <w:szCs w:val="14"/>
                <w:lang w:val="es-ES"/>
              </w:rPr>
            </w:pPr>
            <w:r w:rsidRPr="00DB650C">
              <w:rPr>
                <w:rFonts w:ascii="Calibri" w:hAnsi="Calibri" w:cs="Calibri"/>
                <w:color w:val="000000"/>
                <w:sz w:val="14"/>
                <w:szCs w:val="14"/>
                <w:lang w:val="es-ES"/>
              </w:rPr>
              <w:t> </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000000" w:fill="CCFFCC"/>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A.2. RESULTADO FINANCIERO (12+13+14+16)</w:t>
            </w:r>
          </w:p>
        </w:tc>
        <w:tc>
          <w:tcPr>
            <w:tcW w:w="0" w:type="auto"/>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7.796.296,06  </w:t>
            </w:r>
          </w:p>
        </w:tc>
        <w:tc>
          <w:tcPr>
            <w:tcW w:w="0" w:type="auto"/>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4.620.963,49  </w:t>
            </w:r>
          </w:p>
        </w:tc>
        <w:tc>
          <w:tcPr>
            <w:tcW w:w="0" w:type="auto"/>
            <w:tcBorders>
              <w:top w:val="nil"/>
              <w:left w:val="single" w:sz="4" w:space="0" w:color="auto"/>
              <w:bottom w:val="nil"/>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0" w:type="auto"/>
            <w:tcBorders>
              <w:top w:val="nil"/>
              <w:left w:val="nil"/>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Calibri" w:hAnsi="Calibri" w:cs="Calibri"/>
                <w:color w:val="000000"/>
                <w:sz w:val="14"/>
                <w:szCs w:val="14"/>
                <w:lang w:val="es-ES"/>
              </w:rPr>
            </w:pPr>
            <w:r w:rsidRPr="00DB650C">
              <w:rPr>
                <w:rFonts w:ascii="Calibri" w:hAnsi="Calibri" w:cs="Calibri"/>
                <w:color w:val="000000"/>
                <w:sz w:val="14"/>
                <w:szCs w:val="14"/>
                <w:lang w:val="es-ES"/>
              </w:rPr>
              <w:t> </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000000" w:fill="CCFFCC"/>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A.3. RESULTADO ANTES DE IMPUESTOS (A.1+A.2)</w:t>
            </w:r>
          </w:p>
        </w:tc>
        <w:tc>
          <w:tcPr>
            <w:tcW w:w="0" w:type="auto"/>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45.329.044,96  </w:t>
            </w:r>
          </w:p>
        </w:tc>
        <w:tc>
          <w:tcPr>
            <w:tcW w:w="0" w:type="auto"/>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44.827.075,67  </w:t>
            </w:r>
          </w:p>
        </w:tc>
        <w:tc>
          <w:tcPr>
            <w:tcW w:w="0" w:type="auto"/>
            <w:tcBorders>
              <w:top w:val="nil"/>
              <w:left w:val="single" w:sz="4" w:space="0" w:color="auto"/>
              <w:bottom w:val="nil"/>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0" w:type="auto"/>
            <w:tcBorders>
              <w:top w:val="nil"/>
              <w:left w:val="nil"/>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Calibri" w:hAnsi="Calibri" w:cs="Calibri"/>
                <w:color w:val="000000"/>
                <w:sz w:val="14"/>
                <w:szCs w:val="14"/>
                <w:lang w:val="es-ES"/>
              </w:rPr>
            </w:pPr>
            <w:r w:rsidRPr="00DB650C">
              <w:rPr>
                <w:rFonts w:ascii="Calibri" w:hAnsi="Calibri" w:cs="Calibri"/>
                <w:color w:val="000000"/>
                <w:sz w:val="14"/>
                <w:szCs w:val="14"/>
                <w:lang w:val="es-ES"/>
              </w:rPr>
              <w:t> </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ind w:firstLineChars="100" w:firstLine="141"/>
              <w:rPr>
                <w:rFonts w:ascii="Lucida Bright" w:hAnsi="Lucida Bright" w:cs="Calibri"/>
                <w:b/>
                <w:bCs/>
                <w:sz w:val="14"/>
                <w:szCs w:val="14"/>
                <w:lang w:val="es-ES"/>
              </w:rPr>
            </w:pPr>
            <w:r w:rsidRPr="00DB650C">
              <w:rPr>
                <w:rFonts w:ascii="Lucida Bright" w:hAnsi="Lucida Bright" w:cs="Calibri"/>
                <w:b/>
                <w:bCs/>
                <w:sz w:val="14"/>
                <w:szCs w:val="14"/>
                <w:lang w:val="es-ES"/>
              </w:rPr>
              <w:t>17. Impuesto sobre beneficios</w:t>
            </w:r>
          </w:p>
        </w:tc>
        <w:tc>
          <w:tcPr>
            <w:tcW w:w="0" w:type="auto"/>
            <w:tcBorders>
              <w:top w:val="nil"/>
              <w:left w:val="nil"/>
              <w:bottom w:val="nil"/>
              <w:right w:val="single" w:sz="4" w:space="0" w:color="auto"/>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2.978.139,12  </w:t>
            </w:r>
          </w:p>
        </w:tc>
        <w:tc>
          <w:tcPr>
            <w:tcW w:w="0" w:type="auto"/>
            <w:tcBorders>
              <w:top w:val="nil"/>
              <w:left w:val="nil"/>
              <w:bottom w:val="nil"/>
              <w:right w:val="nil"/>
            </w:tcBorders>
            <w:shd w:val="clear" w:color="auto" w:fill="auto"/>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(38.268,16)  </w:t>
            </w: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12</w:t>
            </w:r>
          </w:p>
        </w:tc>
      </w:tr>
      <w:tr w:rsidR="00DB650C" w:rsidRPr="00DB650C" w:rsidTr="00DB650C">
        <w:trPr>
          <w:trHeight w:val="210"/>
        </w:trPr>
        <w:tc>
          <w:tcPr>
            <w:tcW w:w="0" w:type="auto"/>
            <w:tcBorders>
              <w:top w:val="nil"/>
              <w:left w:val="single" w:sz="4" w:space="0" w:color="auto"/>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0" w:type="auto"/>
            <w:tcBorders>
              <w:top w:val="nil"/>
              <w:left w:val="nil"/>
              <w:bottom w:val="nil"/>
              <w:right w:val="nil"/>
            </w:tcBorders>
            <w:shd w:val="clear" w:color="auto" w:fill="auto"/>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jc w:val="center"/>
              <w:rPr>
                <w:rFonts w:ascii="Calibri" w:hAnsi="Calibri" w:cs="Calibri"/>
                <w:color w:val="000000"/>
                <w:sz w:val="14"/>
                <w:szCs w:val="14"/>
                <w:lang w:val="es-ES"/>
              </w:rPr>
            </w:pPr>
            <w:r w:rsidRPr="00DB650C">
              <w:rPr>
                <w:rFonts w:ascii="Calibri" w:hAnsi="Calibri" w:cs="Calibri"/>
                <w:color w:val="000000"/>
                <w:sz w:val="14"/>
                <w:szCs w:val="14"/>
                <w:lang w:val="es-ES"/>
              </w:rPr>
              <w:t> </w:t>
            </w:r>
          </w:p>
        </w:tc>
      </w:tr>
      <w:tr w:rsidR="00DB650C" w:rsidRPr="00DB650C" w:rsidTr="00DB650C">
        <w:trPr>
          <w:trHeight w:val="210"/>
        </w:trPr>
        <w:tc>
          <w:tcPr>
            <w:tcW w:w="0" w:type="auto"/>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A.4. RESULTADO DEL EJERCICIO (A.3+17)</w:t>
            </w:r>
          </w:p>
        </w:tc>
        <w:tc>
          <w:tcPr>
            <w:tcW w:w="0" w:type="auto"/>
            <w:tcBorders>
              <w:top w:val="single" w:sz="4" w:space="0" w:color="auto"/>
              <w:left w:val="nil"/>
              <w:bottom w:val="single" w:sz="4" w:space="0" w:color="auto"/>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48.307.184,08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44.788.807,51  </w:t>
            </w:r>
          </w:p>
        </w:tc>
        <w:tc>
          <w:tcPr>
            <w:tcW w:w="0" w:type="auto"/>
            <w:tcBorders>
              <w:top w:val="single" w:sz="4" w:space="0" w:color="auto"/>
              <w:left w:val="nil"/>
              <w:bottom w:val="single" w:sz="4" w:space="0" w:color="auto"/>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bl>
    <w:p w:rsidR="003C56C8" w:rsidRPr="00ED3379" w:rsidRDefault="003C56C8" w:rsidP="00E13AD1">
      <w:pPr>
        <w:rPr>
          <w:sz w:val="18"/>
        </w:rPr>
      </w:pPr>
    </w:p>
    <w:p w:rsidR="003C56C8" w:rsidRPr="00ED3379" w:rsidRDefault="003C56C8" w:rsidP="00E13AD1">
      <w:pPr>
        <w:rPr>
          <w:sz w:val="18"/>
        </w:rPr>
      </w:pPr>
    </w:p>
    <w:p w:rsidR="00ED3379" w:rsidRDefault="00ED3379" w:rsidP="00E13AD1">
      <w:pPr>
        <w:rPr>
          <w:lang w:val="es-ES"/>
        </w:rPr>
      </w:pPr>
      <w:r>
        <w:fldChar w:fldCharType="begin"/>
      </w:r>
      <w:r>
        <w:instrText xml:space="preserve"> LINK </w:instrText>
      </w:r>
      <w:r w:rsidR="00D24A8A">
        <w:instrText xml:space="preserve">Excel.Sheet.12 "C:\\Users\\rnavarro\\Desktop\\MARGA POMAR\\CUENTAS ANUALES 2021\\_b. Pérdidas y Ganancias (1).xlsx" "_b. Pérdidas y Ganancias1!F67C1:F91C4" </w:instrText>
      </w:r>
      <w:r>
        <w:instrText xml:space="preserve">\a \f 4 \h  \* MERGEFORMAT </w:instrText>
      </w:r>
      <w:r>
        <w:fldChar w:fldCharType="separate"/>
      </w:r>
    </w:p>
    <w:p w:rsidR="00133B47" w:rsidRDefault="00ED3379" w:rsidP="00E13AD1">
      <w:pPr>
        <w:rPr>
          <w:lang w:val="es-ES"/>
        </w:rPr>
      </w:pPr>
      <w:r>
        <w:rPr>
          <w:sz w:val="18"/>
        </w:rPr>
        <w:fldChar w:fldCharType="end"/>
      </w:r>
      <w:r w:rsidR="00133B47">
        <w:rPr>
          <w:sz w:val="18"/>
        </w:rPr>
        <w:fldChar w:fldCharType="begin"/>
      </w:r>
      <w:r w:rsidR="00133B47">
        <w:rPr>
          <w:sz w:val="18"/>
        </w:rPr>
        <w:instrText xml:space="preserve"> LINK </w:instrText>
      </w:r>
      <w:r w:rsidR="00D24A8A">
        <w:rPr>
          <w:sz w:val="18"/>
        </w:rPr>
        <w:instrText xml:space="preserve">Excel.Sheet.12 "C:\\Users\\rnavarro\\Desktop\\MARGA POMAR\\CUENTAS ANUALES 2021\\_b. Pérdidas y Ganancias (1).xlsx" "_b. Pérdidas y Ganancias1!F67C1:F91C4" </w:instrText>
      </w:r>
      <w:r w:rsidR="00133B47">
        <w:rPr>
          <w:sz w:val="18"/>
        </w:rPr>
        <w:instrText xml:space="preserve">\a \f 4 \h  \* MERGEFORMAT </w:instrText>
      </w:r>
      <w:r w:rsidR="00133B47">
        <w:rPr>
          <w:sz w:val="18"/>
        </w:rPr>
        <w:fldChar w:fldCharType="separate"/>
      </w:r>
    </w:p>
    <w:p w:rsidR="003C56C8" w:rsidRPr="00ED3379" w:rsidRDefault="00133B47" w:rsidP="00E13AD1">
      <w:pPr>
        <w:rPr>
          <w:sz w:val="18"/>
        </w:rPr>
      </w:pPr>
      <w:r>
        <w:rPr>
          <w:sz w:val="18"/>
        </w:rPr>
        <w:fldChar w:fldCharType="end"/>
      </w: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Default="003C56C8" w:rsidP="00E13AD1"/>
    <w:p w:rsidR="003C56C8" w:rsidRDefault="003C56C8" w:rsidP="00E13AD1"/>
    <w:p w:rsidR="003C56C8" w:rsidRDefault="003C56C8" w:rsidP="00E13AD1"/>
    <w:p w:rsidR="003C56C8" w:rsidRDefault="003C56C8" w:rsidP="00E13AD1"/>
    <w:p w:rsidR="003C56C8" w:rsidRDefault="003C56C8" w:rsidP="00E13AD1"/>
    <w:p w:rsidR="003C56C8" w:rsidRDefault="003C56C8" w:rsidP="00E13AD1"/>
    <w:p w:rsidR="003C56C8" w:rsidRDefault="003C56C8" w:rsidP="00E13AD1"/>
    <w:p w:rsidR="003C56C8" w:rsidRDefault="003C56C8" w:rsidP="00E13AD1"/>
    <w:p w:rsidR="003C56C8" w:rsidRDefault="003C56C8" w:rsidP="00E13AD1"/>
    <w:p w:rsidR="003C56C8" w:rsidRDefault="003C56C8" w:rsidP="00E13AD1"/>
    <w:p w:rsidR="003C56C8" w:rsidRDefault="003C56C8" w:rsidP="00E13AD1"/>
    <w:p w:rsidR="006C4DD8" w:rsidRDefault="006C4DD8" w:rsidP="00E13AD1"/>
    <w:p w:rsidR="003C56C8" w:rsidRDefault="003C56C8" w:rsidP="00E13AD1">
      <w:pPr>
        <w:rPr>
          <w:rFonts w:ascii="Lucida Bright" w:hAnsi="Lucida Bright"/>
          <w:b/>
          <w:bCs/>
          <w:sz w:val="22"/>
          <w:szCs w:val="22"/>
        </w:rPr>
      </w:pPr>
    </w:p>
    <w:p w:rsidR="00CD3595" w:rsidRDefault="00CD3595" w:rsidP="00E13AD1">
      <w:pPr>
        <w:rPr>
          <w:rFonts w:ascii="Lucida Bright" w:hAnsi="Lucida Bright"/>
          <w:b/>
          <w:bCs/>
          <w:sz w:val="22"/>
          <w:szCs w:val="22"/>
        </w:rPr>
      </w:pPr>
    </w:p>
    <w:p w:rsidR="00B24377" w:rsidRDefault="00B24377" w:rsidP="00E13AD1">
      <w:pPr>
        <w:rPr>
          <w:rFonts w:ascii="Lucida Bright" w:hAnsi="Lucida Bright"/>
          <w:b/>
          <w:bCs/>
          <w:sz w:val="22"/>
          <w:szCs w:val="22"/>
        </w:rPr>
        <w:sectPr w:rsidR="00B24377" w:rsidSect="00C0157D">
          <w:headerReference w:type="default" r:id="rId16"/>
          <w:footerReference w:type="default" r:id="rId17"/>
          <w:pgSz w:w="11907" w:h="16840" w:code="9"/>
          <w:pgMar w:top="1701" w:right="1418" w:bottom="1560" w:left="1985" w:header="567" w:footer="397" w:gutter="0"/>
          <w:cols w:space="720"/>
          <w:docGrid w:linePitch="272"/>
        </w:sectPr>
      </w:pPr>
    </w:p>
    <w:tbl>
      <w:tblPr>
        <w:tblW w:w="10068" w:type="dxa"/>
        <w:tblCellMar>
          <w:left w:w="70" w:type="dxa"/>
          <w:right w:w="70" w:type="dxa"/>
        </w:tblCellMar>
        <w:tblLook w:val="04A0" w:firstRow="1" w:lastRow="0" w:firstColumn="1" w:lastColumn="0" w:noHBand="0" w:noVBand="1"/>
      </w:tblPr>
      <w:tblGrid>
        <w:gridCol w:w="6325"/>
        <w:gridCol w:w="229"/>
        <w:gridCol w:w="1272"/>
        <w:gridCol w:w="1272"/>
        <w:gridCol w:w="741"/>
        <w:gridCol w:w="229"/>
      </w:tblGrid>
      <w:tr w:rsidR="00DB650C" w:rsidRPr="00DB650C" w:rsidTr="00DB650C">
        <w:trPr>
          <w:trHeight w:val="160"/>
        </w:trPr>
        <w:tc>
          <w:tcPr>
            <w:tcW w:w="0" w:type="auto"/>
            <w:gridSpan w:val="6"/>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b/>
                <w:bCs/>
                <w:lang w:val="es-ES"/>
              </w:rPr>
            </w:pPr>
            <w:r w:rsidRPr="00DB650C">
              <w:rPr>
                <w:rFonts w:ascii="Lucida Bright" w:hAnsi="Lucida Bright" w:cs="Calibri"/>
                <w:b/>
                <w:bCs/>
                <w:lang w:val="es-ES"/>
              </w:rPr>
              <w:lastRenderedPageBreak/>
              <w:t>Estado de cambios en el patrimonio neto correspondiente al ejercicio terminado el 31-12-24</w:t>
            </w:r>
          </w:p>
        </w:tc>
      </w:tr>
      <w:tr w:rsidR="00DB650C" w:rsidRPr="00DB650C" w:rsidTr="00DB650C">
        <w:trPr>
          <w:trHeight w:val="160"/>
        </w:trPr>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Lucida Bright" w:hAnsi="Lucida Bright" w:cs="Calibri"/>
                <w:b/>
                <w:bCs/>
                <w:lang w:val="es-ES"/>
              </w:rPr>
            </w:pPr>
            <w:r w:rsidRPr="00DB650C">
              <w:rPr>
                <w:rFonts w:ascii="Lucida Bright" w:hAnsi="Lucida Bright" w:cs="Calibri"/>
                <w:b/>
                <w:bCs/>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Lucida Bright" w:hAnsi="Lucida Bright" w:cs="Calibri"/>
                <w:b/>
                <w:bCs/>
                <w:lang w:val="es-ES"/>
              </w:rPr>
            </w:pPr>
            <w:r w:rsidRPr="00DB650C">
              <w:rPr>
                <w:rFonts w:ascii="Lucida Bright" w:hAnsi="Lucida Bright" w:cs="Calibri"/>
                <w:b/>
                <w:bCs/>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Lucida Bright" w:hAnsi="Lucida Bright" w:cs="Calibri"/>
                <w:lang w:val="es-ES"/>
              </w:rPr>
            </w:pPr>
            <w:r w:rsidRPr="00DB650C">
              <w:rPr>
                <w:rFonts w:ascii="Lucida Bright" w:hAnsi="Lucida Bright" w:cs="Calibri"/>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jc w:val="right"/>
              <w:rPr>
                <w:rFonts w:ascii="Lucida Bright" w:hAnsi="Lucida Bright" w:cs="Calibri"/>
                <w:sz w:val="24"/>
                <w:szCs w:val="24"/>
                <w:lang w:val="es-ES"/>
              </w:rPr>
            </w:pPr>
            <w:r w:rsidRPr="00DB650C">
              <w:rPr>
                <w:rFonts w:ascii="Lucida Bright" w:hAnsi="Lucida Bright" w:cs="Calibri"/>
                <w:sz w:val="24"/>
                <w:szCs w:val="2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b/>
                <w:bCs/>
                <w:lang w:val="es-ES"/>
              </w:rPr>
            </w:pPr>
            <w:r w:rsidRPr="00DB650C">
              <w:rPr>
                <w:rFonts w:ascii="Tahoma" w:hAnsi="Tahoma" w:cs="Tahoma"/>
                <w:b/>
                <w:bCs/>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b/>
                <w:bCs/>
                <w:lang w:val="es-ES"/>
              </w:rPr>
            </w:pPr>
            <w:r w:rsidRPr="00DB650C">
              <w:rPr>
                <w:rFonts w:ascii="Tahoma" w:hAnsi="Tahoma" w:cs="Tahoma"/>
                <w:b/>
                <w:bCs/>
                <w:lang w:val="es-ES"/>
              </w:rPr>
              <w:t> </w:t>
            </w:r>
          </w:p>
        </w:tc>
      </w:tr>
      <w:tr w:rsidR="00DB650C" w:rsidRPr="00DB650C" w:rsidTr="00DB650C">
        <w:trPr>
          <w:trHeight w:val="160"/>
        </w:trPr>
        <w:tc>
          <w:tcPr>
            <w:tcW w:w="0" w:type="auto"/>
            <w:gridSpan w:val="6"/>
            <w:tcBorders>
              <w:top w:val="nil"/>
              <w:left w:val="nil"/>
              <w:bottom w:val="nil"/>
              <w:right w:val="nil"/>
            </w:tcBorders>
            <w:shd w:val="clear" w:color="000000" w:fill="FFFFFF"/>
            <w:vAlign w:val="center"/>
            <w:hideMark/>
          </w:tcPr>
          <w:p w:rsidR="00DB650C" w:rsidRPr="00DB650C" w:rsidRDefault="00DB650C" w:rsidP="00DB650C">
            <w:pPr>
              <w:rPr>
                <w:rFonts w:ascii="Lucida Bright" w:hAnsi="Lucida Bright" w:cs="Calibri"/>
                <w:b/>
                <w:bCs/>
                <w:lang w:val="es-ES"/>
              </w:rPr>
            </w:pPr>
            <w:r w:rsidRPr="00DB650C">
              <w:rPr>
                <w:rFonts w:ascii="Lucida Bright" w:hAnsi="Lucida Bright" w:cs="Calibri"/>
                <w:b/>
                <w:bCs/>
                <w:lang w:val="es-ES"/>
              </w:rPr>
              <w:t>A) Estado de ingresos y gastos reconocidos correspondiente al ejercicio terminado el 31-12-24</w:t>
            </w:r>
          </w:p>
        </w:tc>
      </w:tr>
      <w:tr w:rsidR="00DB650C" w:rsidRPr="00DB650C" w:rsidTr="00DB650C">
        <w:trPr>
          <w:trHeight w:val="229"/>
        </w:trPr>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sz w:val="16"/>
                <w:szCs w:val="16"/>
                <w:lang w:val="es-ES"/>
              </w:rPr>
            </w:pPr>
            <w:r w:rsidRPr="00DB650C">
              <w:rPr>
                <w:rFonts w:ascii="Lucida Bright" w:hAnsi="Lucida Bright" w:cs="Calibri"/>
                <w:sz w:val="16"/>
                <w:szCs w:val="16"/>
                <w:lang w:val="es-ES"/>
              </w:rPr>
              <w:t>(en euros)</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sz w:val="16"/>
                <w:szCs w:val="16"/>
                <w:lang w:val="es-ES"/>
              </w:rPr>
            </w:pPr>
            <w:r w:rsidRPr="00DB650C">
              <w:rPr>
                <w:rFonts w:ascii="Lucida Bright" w:hAnsi="Lucida Bright" w:cs="Calibri"/>
                <w:sz w:val="16"/>
                <w:szCs w:val="16"/>
                <w:lang w:val="es-ES"/>
              </w:rPr>
              <w:t> </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lang w:val="es-ES"/>
              </w:rPr>
            </w:pPr>
            <w:r w:rsidRPr="00DB650C">
              <w:rPr>
                <w:rFonts w:ascii="Lucida Bright" w:hAnsi="Lucida Bright" w:cs="Calibri"/>
                <w:lang w:val="es-ES"/>
              </w:rPr>
              <w:t> </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b/>
                <w:bCs/>
                <w:sz w:val="24"/>
                <w:szCs w:val="24"/>
                <w:lang w:val="es-ES"/>
              </w:rPr>
            </w:pPr>
            <w:r w:rsidRPr="00DB650C">
              <w:rPr>
                <w:rFonts w:ascii="Lucida Bright" w:hAnsi="Lucida Bright" w:cs="Calibri"/>
                <w:b/>
                <w:bCs/>
                <w:sz w:val="24"/>
                <w:szCs w:val="24"/>
                <w:lang w:val="es-ES"/>
              </w:rPr>
              <w:t> </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jc w:val="right"/>
              <w:rPr>
                <w:rFonts w:ascii="Tahoma" w:hAnsi="Tahoma" w:cs="Tahoma"/>
                <w:b/>
                <w:bCs/>
                <w:color w:val="FFFFFF"/>
                <w:lang w:val="es-ES"/>
              </w:rPr>
            </w:pPr>
            <w:r w:rsidRPr="00DB650C">
              <w:rPr>
                <w:rFonts w:ascii="Tahoma" w:hAnsi="Tahoma" w:cs="Tahoma"/>
                <w:b/>
                <w:bCs/>
                <w:color w:val="FFFFFF"/>
                <w:lang w:val="es-ES"/>
              </w:rPr>
              <w:t> </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Tahoma" w:hAnsi="Tahoma" w:cs="Tahoma"/>
                <w:b/>
                <w:bCs/>
                <w:lang w:val="es-ES"/>
              </w:rPr>
            </w:pPr>
            <w:r w:rsidRPr="00DB650C">
              <w:rPr>
                <w:rFonts w:ascii="Tahoma" w:hAnsi="Tahoma" w:cs="Tahoma"/>
                <w:b/>
                <w:bCs/>
                <w:lang w:val="es-ES"/>
              </w:rPr>
              <w:t> </w:t>
            </w:r>
          </w:p>
        </w:tc>
      </w:tr>
      <w:tr w:rsidR="00DB650C" w:rsidRPr="00DB650C" w:rsidTr="00DB650C">
        <w:trPr>
          <w:trHeight w:val="229"/>
        </w:trPr>
        <w:tc>
          <w:tcPr>
            <w:tcW w:w="0" w:type="auto"/>
            <w:gridSpan w:val="2"/>
            <w:tcBorders>
              <w:top w:val="single" w:sz="4" w:space="0" w:color="auto"/>
              <w:left w:val="single" w:sz="4" w:space="0" w:color="auto"/>
              <w:bottom w:val="single" w:sz="4" w:space="0" w:color="auto"/>
              <w:right w:val="nil"/>
            </w:tcBorders>
            <w:shd w:val="clear" w:color="000000" w:fill="CCFFCC"/>
            <w:vAlign w:val="center"/>
            <w:hideMark/>
          </w:tcPr>
          <w:p w:rsidR="00DB650C" w:rsidRPr="00DB650C" w:rsidRDefault="00DB650C" w:rsidP="00DB650C">
            <w:pPr>
              <w:jc w:val="center"/>
              <w:rPr>
                <w:rFonts w:ascii="Lucida Bright" w:hAnsi="Lucida Bright" w:cs="Calibri"/>
                <w:b/>
                <w:bCs/>
                <w:sz w:val="18"/>
                <w:szCs w:val="18"/>
                <w:lang w:val="es-ES"/>
              </w:rPr>
            </w:pPr>
            <w:r w:rsidRPr="00DB650C">
              <w:rPr>
                <w:rFonts w:ascii="Lucida Bright" w:hAnsi="Lucida Bright" w:cs="Calibri"/>
                <w:b/>
                <w:bCs/>
                <w:sz w:val="18"/>
                <w:szCs w:val="18"/>
                <w:lang w:val="es-ES"/>
              </w:rPr>
              <w:t>CONCEPTO</w:t>
            </w:r>
          </w:p>
        </w:tc>
        <w:tc>
          <w:tcPr>
            <w:tcW w:w="0" w:type="auto"/>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8"/>
                <w:szCs w:val="18"/>
                <w:lang w:val="es-ES"/>
              </w:rPr>
            </w:pPr>
            <w:r w:rsidRPr="00DB650C">
              <w:rPr>
                <w:rFonts w:ascii="Lucida Bright" w:hAnsi="Lucida Bright" w:cs="Calibri"/>
                <w:b/>
                <w:bCs/>
                <w:sz w:val="18"/>
                <w:szCs w:val="18"/>
                <w:lang w:val="es-ES"/>
              </w:rPr>
              <w:t>2024</w:t>
            </w:r>
          </w:p>
        </w:tc>
        <w:tc>
          <w:tcPr>
            <w:tcW w:w="0" w:type="auto"/>
            <w:tcBorders>
              <w:top w:val="single" w:sz="4" w:space="0" w:color="auto"/>
              <w:left w:val="nil"/>
              <w:bottom w:val="single" w:sz="4" w:space="0" w:color="auto"/>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8"/>
                <w:szCs w:val="18"/>
                <w:lang w:val="es-ES"/>
              </w:rPr>
            </w:pPr>
            <w:r w:rsidRPr="00DB650C">
              <w:rPr>
                <w:rFonts w:ascii="Lucida Bright" w:hAnsi="Lucida Bright" w:cs="Calibri"/>
                <w:b/>
                <w:bCs/>
                <w:sz w:val="18"/>
                <w:szCs w:val="18"/>
                <w:lang w:val="es-ES"/>
              </w:rPr>
              <w:t>2023</w:t>
            </w:r>
          </w:p>
        </w:tc>
        <w:tc>
          <w:tcPr>
            <w:tcW w:w="0" w:type="auto"/>
            <w:tcBorders>
              <w:top w:val="single" w:sz="4" w:space="0" w:color="auto"/>
              <w:left w:val="nil"/>
              <w:bottom w:val="single" w:sz="4" w:space="0" w:color="auto"/>
              <w:right w:val="single" w:sz="4" w:space="0" w:color="auto"/>
            </w:tcBorders>
            <w:shd w:val="clear" w:color="000000" w:fill="CCFFCC"/>
            <w:noWrap/>
            <w:vAlign w:val="bottom"/>
            <w:hideMark/>
          </w:tcPr>
          <w:p w:rsidR="00DB650C" w:rsidRPr="00DB650C" w:rsidRDefault="00DB650C" w:rsidP="00DB650C">
            <w:pPr>
              <w:rPr>
                <w:rFonts w:ascii="Lucida Bright" w:hAnsi="Lucida Bright" w:cs="Calibri"/>
                <w:b/>
                <w:bCs/>
                <w:color w:val="000000"/>
                <w:sz w:val="18"/>
                <w:szCs w:val="18"/>
                <w:lang w:val="es-ES"/>
              </w:rPr>
            </w:pPr>
            <w:r w:rsidRPr="00DB650C">
              <w:rPr>
                <w:rFonts w:ascii="Lucida Bright" w:hAnsi="Lucida Bright" w:cs="Calibri"/>
                <w:b/>
                <w:bCs/>
                <w:color w:val="000000"/>
                <w:sz w:val="18"/>
                <w:szCs w:val="18"/>
                <w:lang w:val="es-ES"/>
              </w:rPr>
              <w:t>Notas</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06"/>
        </w:trPr>
        <w:tc>
          <w:tcPr>
            <w:tcW w:w="0" w:type="auto"/>
            <w:tcBorders>
              <w:top w:val="nil"/>
              <w:left w:val="single" w:sz="4" w:space="0" w:color="auto"/>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Calibri" w:hAnsi="Calibri" w:cs="Calibri"/>
                <w:color w:val="000000"/>
                <w:sz w:val="22"/>
                <w:szCs w:val="22"/>
                <w:lang w:val="es-ES"/>
              </w:rPr>
            </w:pPr>
            <w:r w:rsidRPr="00DB650C">
              <w:rPr>
                <w:rFonts w:ascii="Calibri" w:hAnsi="Calibri" w:cs="Calibri"/>
                <w:color w:val="000000"/>
                <w:sz w:val="22"/>
                <w:szCs w:val="22"/>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229"/>
        </w:trPr>
        <w:tc>
          <w:tcPr>
            <w:tcW w:w="0" w:type="auto"/>
            <w:gridSpan w:val="2"/>
            <w:tcBorders>
              <w:top w:val="nil"/>
              <w:left w:val="single" w:sz="4" w:space="0" w:color="auto"/>
              <w:bottom w:val="nil"/>
              <w:right w:val="nil"/>
            </w:tcBorders>
            <w:shd w:val="clear" w:color="000000" w:fill="CCFFCC"/>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A) Resultado de la cuenta de pérdidas y ganancias</w:t>
            </w:r>
          </w:p>
        </w:tc>
        <w:tc>
          <w:tcPr>
            <w:tcW w:w="0" w:type="auto"/>
            <w:tcBorders>
              <w:top w:val="nil"/>
              <w:left w:val="single" w:sz="4" w:space="0" w:color="auto"/>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48.307.184,08 </w:t>
            </w:r>
          </w:p>
        </w:tc>
        <w:tc>
          <w:tcPr>
            <w:tcW w:w="0" w:type="auto"/>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44.788.807,51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06"/>
        </w:trPr>
        <w:tc>
          <w:tcPr>
            <w:tcW w:w="0" w:type="auto"/>
            <w:tcBorders>
              <w:top w:val="nil"/>
              <w:left w:val="single" w:sz="4" w:space="0" w:color="auto"/>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229"/>
        </w:trPr>
        <w:tc>
          <w:tcPr>
            <w:tcW w:w="0" w:type="auto"/>
            <w:gridSpan w:val="2"/>
            <w:tcBorders>
              <w:top w:val="nil"/>
              <w:left w:val="single" w:sz="4" w:space="0" w:color="auto"/>
              <w:bottom w:val="nil"/>
              <w:right w:val="nil"/>
            </w:tcBorders>
            <w:shd w:val="clear" w:color="000000" w:fill="CCFFCC"/>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B) Ingresos y gastos imputados directamente al patrimonio neto (I+II+III+V)</w:t>
            </w:r>
          </w:p>
        </w:tc>
        <w:tc>
          <w:tcPr>
            <w:tcW w:w="0" w:type="auto"/>
            <w:tcBorders>
              <w:top w:val="nil"/>
              <w:left w:val="single" w:sz="4" w:space="0" w:color="auto"/>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13.932.216,00 </w:t>
            </w:r>
          </w:p>
        </w:tc>
        <w:tc>
          <w:tcPr>
            <w:tcW w:w="0" w:type="auto"/>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897.120,44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06"/>
        </w:trPr>
        <w:tc>
          <w:tcPr>
            <w:tcW w:w="0" w:type="auto"/>
            <w:tcBorders>
              <w:top w:val="nil"/>
              <w:left w:val="single" w:sz="4" w:space="0" w:color="auto"/>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60"/>
        </w:trPr>
        <w:tc>
          <w:tcPr>
            <w:tcW w:w="0" w:type="auto"/>
            <w:gridSpan w:val="2"/>
            <w:tcBorders>
              <w:top w:val="nil"/>
              <w:left w:val="single" w:sz="4" w:space="0" w:color="auto"/>
              <w:bottom w:val="nil"/>
              <w:right w:val="nil"/>
            </w:tcBorders>
            <w:shd w:val="clear" w:color="000000" w:fill="FFFFFF"/>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 Por valoración de instrumentos financieros</w:t>
            </w:r>
          </w:p>
        </w:tc>
        <w:tc>
          <w:tcPr>
            <w:tcW w:w="0" w:type="auto"/>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0" w:type="auto"/>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60"/>
        </w:trPr>
        <w:tc>
          <w:tcPr>
            <w:tcW w:w="0" w:type="auto"/>
            <w:tcBorders>
              <w:top w:val="nil"/>
              <w:left w:val="single" w:sz="4" w:space="0" w:color="auto"/>
              <w:bottom w:val="nil"/>
              <w:right w:val="nil"/>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1. Activos financieros a valor razonable con cambios en el patrimonio neto</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0" w:type="auto"/>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FF0000"/>
                <w:sz w:val="14"/>
                <w:szCs w:val="14"/>
                <w:lang w:val="es-ES"/>
              </w:rPr>
            </w:pPr>
            <w:r w:rsidRPr="00DB650C">
              <w:rPr>
                <w:rFonts w:ascii="Lucida Bright" w:hAnsi="Lucida Bright" w:cs="Calibri"/>
                <w:color w:val="FF0000"/>
                <w:sz w:val="14"/>
                <w:szCs w:val="14"/>
                <w:lang w:val="es-ES"/>
              </w:rPr>
              <w:t> </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60"/>
        </w:trPr>
        <w:tc>
          <w:tcPr>
            <w:tcW w:w="0" w:type="auto"/>
            <w:tcBorders>
              <w:top w:val="nil"/>
              <w:left w:val="single" w:sz="4" w:space="0" w:color="auto"/>
              <w:bottom w:val="nil"/>
              <w:right w:val="nil"/>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2. Otros ingresos/gastos</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0" w:type="auto"/>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06"/>
        </w:trPr>
        <w:tc>
          <w:tcPr>
            <w:tcW w:w="0" w:type="auto"/>
            <w:tcBorders>
              <w:top w:val="nil"/>
              <w:left w:val="single" w:sz="4" w:space="0" w:color="auto"/>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60"/>
        </w:trPr>
        <w:tc>
          <w:tcPr>
            <w:tcW w:w="0" w:type="auto"/>
            <w:tcBorders>
              <w:top w:val="nil"/>
              <w:left w:val="single" w:sz="4" w:space="0" w:color="auto"/>
              <w:bottom w:val="nil"/>
              <w:right w:val="nil"/>
            </w:tcBorders>
            <w:shd w:val="clear" w:color="000000" w:fill="FFFFFF"/>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II. Por coberturas de flujos de efectivos</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0" w:type="auto"/>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06"/>
        </w:trPr>
        <w:tc>
          <w:tcPr>
            <w:tcW w:w="0" w:type="auto"/>
            <w:tcBorders>
              <w:top w:val="nil"/>
              <w:left w:val="single" w:sz="4" w:space="0" w:color="auto"/>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60"/>
        </w:trPr>
        <w:tc>
          <w:tcPr>
            <w:tcW w:w="0" w:type="auto"/>
            <w:tcBorders>
              <w:top w:val="nil"/>
              <w:left w:val="single" w:sz="4" w:space="0" w:color="auto"/>
              <w:bottom w:val="nil"/>
              <w:right w:val="nil"/>
            </w:tcBorders>
            <w:shd w:val="clear" w:color="000000" w:fill="FFFFFF"/>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III. Subvenciones, donaciones y legados</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14.600.949,65 </w:t>
            </w:r>
          </w:p>
        </w:tc>
        <w:tc>
          <w:tcPr>
            <w:tcW w:w="0" w:type="auto"/>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1.196.160,57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11</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06"/>
        </w:trPr>
        <w:tc>
          <w:tcPr>
            <w:tcW w:w="0" w:type="auto"/>
            <w:tcBorders>
              <w:top w:val="nil"/>
              <w:left w:val="single" w:sz="4" w:space="0" w:color="auto"/>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60"/>
        </w:trPr>
        <w:tc>
          <w:tcPr>
            <w:tcW w:w="0" w:type="auto"/>
            <w:tcBorders>
              <w:top w:val="nil"/>
              <w:left w:val="single" w:sz="4" w:space="0" w:color="auto"/>
              <w:bottom w:val="nil"/>
              <w:right w:val="nil"/>
            </w:tcBorders>
            <w:shd w:val="clear" w:color="000000" w:fill="FFFFFF"/>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V. Efecto impositivo</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(668.733,65) </w:t>
            </w:r>
          </w:p>
        </w:tc>
        <w:tc>
          <w:tcPr>
            <w:tcW w:w="0" w:type="auto"/>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(299.040,13)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12</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60"/>
        </w:trPr>
        <w:tc>
          <w:tcPr>
            <w:tcW w:w="0" w:type="auto"/>
            <w:tcBorders>
              <w:top w:val="nil"/>
              <w:left w:val="single" w:sz="4" w:space="0" w:color="auto"/>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229"/>
        </w:trPr>
        <w:tc>
          <w:tcPr>
            <w:tcW w:w="0" w:type="auto"/>
            <w:gridSpan w:val="2"/>
            <w:tcBorders>
              <w:top w:val="nil"/>
              <w:left w:val="single" w:sz="4" w:space="0" w:color="auto"/>
              <w:bottom w:val="nil"/>
              <w:right w:val="nil"/>
            </w:tcBorders>
            <w:shd w:val="clear" w:color="000000" w:fill="CCFFCC"/>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C) Transferencias a la cuenta de pérdidas y ganancias (VI+VII+VIII+IX)</w:t>
            </w:r>
          </w:p>
        </w:tc>
        <w:tc>
          <w:tcPr>
            <w:tcW w:w="0" w:type="auto"/>
            <w:tcBorders>
              <w:top w:val="nil"/>
              <w:left w:val="single" w:sz="4" w:space="0" w:color="auto"/>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(1.891.843,13) </w:t>
            </w:r>
          </w:p>
        </w:tc>
        <w:tc>
          <w:tcPr>
            <w:tcW w:w="0" w:type="auto"/>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(1.511.280,92)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06"/>
        </w:trPr>
        <w:tc>
          <w:tcPr>
            <w:tcW w:w="0" w:type="auto"/>
            <w:tcBorders>
              <w:top w:val="nil"/>
              <w:left w:val="single" w:sz="4" w:space="0" w:color="auto"/>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60"/>
        </w:trPr>
        <w:tc>
          <w:tcPr>
            <w:tcW w:w="0" w:type="auto"/>
            <w:tcBorders>
              <w:top w:val="nil"/>
              <w:left w:val="single" w:sz="4" w:space="0" w:color="auto"/>
              <w:bottom w:val="nil"/>
              <w:right w:val="nil"/>
            </w:tcBorders>
            <w:shd w:val="clear" w:color="000000" w:fill="FFFFFF"/>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VI. Por valoración de activos y pasivos</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0" w:type="auto"/>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60"/>
        </w:trPr>
        <w:tc>
          <w:tcPr>
            <w:tcW w:w="0" w:type="auto"/>
            <w:tcBorders>
              <w:top w:val="nil"/>
              <w:left w:val="single" w:sz="4" w:space="0" w:color="auto"/>
              <w:bottom w:val="nil"/>
              <w:right w:val="nil"/>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1. Activos financieros a valor razonable con cambios en el patrimonio neto</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0" w:type="auto"/>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FF0000"/>
                <w:sz w:val="14"/>
                <w:szCs w:val="14"/>
                <w:lang w:val="es-ES"/>
              </w:rPr>
            </w:pPr>
            <w:r w:rsidRPr="00DB650C">
              <w:rPr>
                <w:rFonts w:ascii="Lucida Bright" w:hAnsi="Lucida Bright" w:cs="Calibri"/>
                <w:color w:val="FF0000"/>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60"/>
        </w:trPr>
        <w:tc>
          <w:tcPr>
            <w:tcW w:w="0" w:type="auto"/>
            <w:tcBorders>
              <w:top w:val="nil"/>
              <w:left w:val="single" w:sz="4" w:space="0" w:color="auto"/>
              <w:bottom w:val="nil"/>
              <w:right w:val="nil"/>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2. Otros ingresos/gastos</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0" w:type="auto"/>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06"/>
        </w:trPr>
        <w:tc>
          <w:tcPr>
            <w:tcW w:w="0" w:type="auto"/>
            <w:tcBorders>
              <w:top w:val="nil"/>
              <w:left w:val="single" w:sz="4" w:space="0" w:color="auto"/>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c>
          <w:tcPr>
            <w:tcW w:w="0" w:type="auto"/>
            <w:tcBorders>
              <w:top w:val="nil"/>
              <w:left w:val="nil"/>
              <w:bottom w:val="nil"/>
              <w:right w:val="nil"/>
            </w:tcBorders>
            <w:shd w:val="clear" w:color="auto" w:fill="auto"/>
            <w:noWrap/>
            <w:vAlign w:val="bottom"/>
            <w:hideMark/>
          </w:tcPr>
          <w:p w:rsidR="00DB650C" w:rsidRPr="00DB650C" w:rsidRDefault="00DB650C" w:rsidP="00DB650C">
            <w:pPr>
              <w:rPr>
                <w:rFonts w:ascii="Calibri" w:hAnsi="Calibri" w:cs="Calibri"/>
                <w:color w:val="000000"/>
                <w:sz w:val="22"/>
                <w:szCs w:val="22"/>
                <w:lang w:val="es-ES"/>
              </w:rPr>
            </w:pPr>
          </w:p>
        </w:tc>
      </w:tr>
      <w:tr w:rsidR="00DB650C" w:rsidRPr="00DB650C" w:rsidTr="00DB650C">
        <w:trPr>
          <w:trHeight w:val="160"/>
        </w:trPr>
        <w:tc>
          <w:tcPr>
            <w:tcW w:w="0" w:type="auto"/>
            <w:tcBorders>
              <w:top w:val="nil"/>
              <w:left w:val="single" w:sz="4" w:space="0" w:color="auto"/>
              <w:bottom w:val="nil"/>
              <w:right w:val="nil"/>
            </w:tcBorders>
            <w:shd w:val="clear" w:color="000000" w:fill="FFFFFF"/>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VII. Por coberturas de flujos de efectivos</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0" w:type="auto"/>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06"/>
        </w:trPr>
        <w:tc>
          <w:tcPr>
            <w:tcW w:w="0" w:type="auto"/>
            <w:tcBorders>
              <w:top w:val="nil"/>
              <w:left w:val="single" w:sz="4" w:space="0" w:color="auto"/>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60"/>
        </w:trPr>
        <w:tc>
          <w:tcPr>
            <w:tcW w:w="0" w:type="auto"/>
            <w:tcBorders>
              <w:top w:val="nil"/>
              <w:left w:val="single" w:sz="4" w:space="0" w:color="auto"/>
              <w:bottom w:val="nil"/>
              <w:right w:val="nil"/>
            </w:tcBorders>
            <w:shd w:val="clear" w:color="000000" w:fill="FFFFFF"/>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VIII. Subvenciones, donaciones y legados</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(2.099.897,02) </w:t>
            </w:r>
          </w:p>
        </w:tc>
        <w:tc>
          <w:tcPr>
            <w:tcW w:w="0" w:type="auto"/>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(1.710.995,36)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11</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06"/>
        </w:trPr>
        <w:tc>
          <w:tcPr>
            <w:tcW w:w="0" w:type="auto"/>
            <w:tcBorders>
              <w:top w:val="nil"/>
              <w:left w:val="single" w:sz="4" w:space="0" w:color="auto"/>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60"/>
        </w:trPr>
        <w:tc>
          <w:tcPr>
            <w:tcW w:w="0" w:type="auto"/>
            <w:tcBorders>
              <w:top w:val="nil"/>
              <w:left w:val="single" w:sz="4" w:space="0" w:color="auto"/>
              <w:bottom w:val="nil"/>
              <w:right w:val="nil"/>
            </w:tcBorders>
            <w:shd w:val="clear" w:color="000000" w:fill="FFFFFF"/>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IX. Efecto impositivo</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208.053,89 </w:t>
            </w:r>
          </w:p>
        </w:tc>
        <w:tc>
          <w:tcPr>
            <w:tcW w:w="0" w:type="auto"/>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199.714,44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Lucida Bright" w:hAnsi="Lucida Bright" w:cs="Calibri"/>
                <w:color w:val="000000"/>
                <w:sz w:val="14"/>
                <w:szCs w:val="14"/>
                <w:lang w:val="es-ES"/>
              </w:rPr>
            </w:pPr>
            <w:r w:rsidRPr="00DB650C">
              <w:rPr>
                <w:rFonts w:ascii="Lucida Bright" w:hAnsi="Lucida Bright" w:cs="Calibri"/>
                <w:color w:val="000000"/>
                <w:sz w:val="14"/>
                <w:szCs w:val="14"/>
                <w:lang w:val="es-ES"/>
              </w:rPr>
              <w:t>12</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106"/>
        </w:trPr>
        <w:tc>
          <w:tcPr>
            <w:tcW w:w="0" w:type="auto"/>
            <w:tcBorders>
              <w:top w:val="nil"/>
              <w:left w:val="single" w:sz="4" w:space="0" w:color="auto"/>
              <w:bottom w:val="nil"/>
              <w:right w:val="nil"/>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0" w:type="auto"/>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DB650C" w:rsidRPr="00DB650C" w:rsidRDefault="00DB650C" w:rsidP="00DB650C">
            <w:pPr>
              <w:jc w:val="center"/>
              <w:rPr>
                <w:rFonts w:ascii="Calibri" w:hAnsi="Calibri" w:cs="Calibri"/>
                <w:color w:val="000000"/>
                <w:sz w:val="14"/>
                <w:szCs w:val="14"/>
                <w:lang w:val="es-ES"/>
              </w:rPr>
            </w:pPr>
            <w:r w:rsidRPr="00DB650C">
              <w:rPr>
                <w:rFonts w:ascii="Calibri" w:hAnsi="Calibri" w:cs="Calibri"/>
                <w:color w:val="000000"/>
                <w:sz w:val="14"/>
                <w:szCs w:val="14"/>
                <w:lang w:val="es-ES"/>
              </w:rPr>
              <w:t> </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229"/>
        </w:trPr>
        <w:tc>
          <w:tcPr>
            <w:tcW w:w="0" w:type="auto"/>
            <w:gridSpan w:val="2"/>
            <w:tcBorders>
              <w:top w:val="single" w:sz="4" w:space="0" w:color="auto"/>
              <w:left w:val="single" w:sz="4" w:space="0" w:color="auto"/>
              <w:bottom w:val="single" w:sz="4" w:space="0" w:color="auto"/>
              <w:right w:val="nil"/>
            </w:tcBorders>
            <w:shd w:val="clear" w:color="000000" w:fill="CCFFCC"/>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Total de ingresos y gastos reconocidos (A+B+C)</w:t>
            </w:r>
          </w:p>
        </w:tc>
        <w:tc>
          <w:tcPr>
            <w:tcW w:w="0" w:type="auto"/>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60.347.556,95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44.174.647,03 </w:t>
            </w:r>
          </w:p>
        </w:tc>
        <w:tc>
          <w:tcPr>
            <w:tcW w:w="0" w:type="auto"/>
            <w:tcBorders>
              <w:top w:val="single" w:sz="4" w:space="0" w:color="auto"/>
              <w:left w:val="nil"/>
              <w:bottom w:val="single" w:sz="4" w:space="0" w:color="auto"/>
              <w:right w:val="single" w:sz="4" w:space="0" w:color="auto"/>
            </w:tcBorders>
            <w:shd w:val="clear" w:color="000000" w:fill="CCFFCC"/>
            <w:noWrap/>
            <w:vAlign w:val="bottom"/>
            <w:hideMark/>
          </w:tcPr>
          <w:p w:rsidR="00DB650C" w:rsidRPr="00DB650C" w:rsidRDefault="00DB650C" w:rsidP="00DB650C">
            <w:pPr>
              <w:rPr>
                <w:rFonts w:ascii="Calibri" w:hAnsi="Calibri" w:cs="Calibri"/>
                <w:color w:val="000000"/>
                <w:sz w:val="22"/>
                <w:szCs w:val="22"/>
                <w:lang w:val="es-ES"/>
              </w:rPr>
            </w:pPr>
            <w:r w:rsidRPr="00DB650C">
              <w:rPr>
                <w:rFonts w:ascii="Calibri" w:hAnsi="Calibri" w:cs="Calibri"/>
                <w:color w:val="000000"/>
                <w:sz w:val="22"/>
                <w:szCs w:val="22"/>
                <w:lang w:val="es-ES"/>
              </w:rPr>
              <w:t> </w:t>
            </w:r>
          </w:p>
        </w:tc>
        <w:tc>
          <w:tcPr>
            <w:tcW w:w="0" w:type="auto"/>
            <w:tcBorders>
              <w:top w:val="nil"/>
              <w:left w:val="nil"/>
              <w:bottom w:val="nil"/>
              <w:right w:val="nil"/>
            </w:tcBorders>
            <w:shd w:val="clear" w:color="000000" w:fill="FFFFFF"/>
            <w:noWrap/>
            <w:vAlign w:val="center"/>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229"/>
        </w:trPr>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lastRenderedPageBreak/>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c>
          <w:tcPr>
            <w:tcW w:w="0" w:type="auto"/>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r>
    </w:tbl>
    <w:p w:rsidR="000927E0" w:rsidRDefault="000927E0" w:rsidP="00E13AD1">
      <w:pPr>
        <w:rPr>
          <w:rFonts w:ascii="Lucida Bright" w:hAnsi="Lucida Bright"/>
          <w:b/>
          <w:bCs/>
          <w:sz w:val="22"/>
          <w:szCs w:val="22"/>
        </w:rPr>
      </w:pPr>
    </w:p>
    <w:tbl>
      <w:tblPr>
        <w:tblW w:w="11156" w:type="dxa"/>
        <w:tblInd w:w="70" w:type="dxa"/>
        <w:tblCellMar>
          <w:left w:w="70" w:type="dxa"/>
          <w:right w:w="70" w:type="dxa"/>
        </w:tblCellMar>
        <w:tblLook w:val="04A0" w:firstRow="1" w:lastRow="0" w:firstColumn="1" w:lastColumn="0" w:noHBand="0" w:noVBand="1"/>
      </w:tblPr>
      <w:tblGrid>
        <w:gridCol w:w="4107"/>
        <w:gridCol w:w="1212"/>
        <w:gridCol w:w="1287"/>
        <w:gridCol w:w="1276"/>
        <w:gridCol w:w="790"/>
        <w:gridCol w:w="1240"/>
        <w:gridCol w:w="1287"/>
      </w:tblGrid>
      <w:tr w:rsidR="00DB650C" w:rsidRPr="00DB650C" w:rsidTr="00DB650C">
        <w:trPr>
          <w:trHeight w:val="300"/>
        </w:trPr>
        <w:tc>
          <w:tcPr>
            <w:tcW w:w="11156" w:type="dxa"/>
            <w:gridSpan w:val="7"/>
            <w:tcBorders>
              <w:top w:val="nil"/>
              <w:left w:val="nil"/>
              <w:bottom w:val="nil"/>
              <w:right w:val="nil"/>
            </w:tcBorders>
            <w:shd w:val="clear" w:color="000000" w:fill="FFFFFF"/>
            <w:noWrap/>
            <w:vAlign w:val="bottom"/>
            <w:hideMark/>
          </w:tcPr>
          <w:p w:rsidR="00DB650C" w:rsidRPr="00DB650C" w:rsidRDefault="00DB650C" w:rsidP="00DB650C">
            <w:pPr>
              <w:rPr>
                <w:rFonts w:ascii="Lucida Bright" w:hAnsi="Lucida Bright" w:cs="Calibri"/>
                <w:b/>
                <w:bCs/>
                <w:lang w:val="es-ES"/>
              </w:rPr>
            </w:pPr>
            <w:r w:rsidRPr="00DB650C">
              <w:rPr>
                <w:rFonts w:ascii="Lucida Bright" w:hAnsi="Lucida Bright" w:cs="Calibri"/>
                <w:b/>
                <w:bCs/>
                <w:lang w:val="es-ES"/>
              </w:rPr>
              <w:t>B) Estado total de cambios en el patrimonio neto correspondiente al ejercicio terminado el 31-12-24</w:t>
            </w:r>
          </w:p>
        </w:tc>
      </w:tr>
      <w:tr w:rsidR="00DB650C" w:rsidRPr="00DB650C" w:rsidTr="00DB650C">
        <w:trPr>
          <w:trHeight w:val="300"/>
        </w:trPr>
        <w:tc>
          <w:tcPr>
            <w:tcW w:w="4107" w:type="dxa"/>
            <w:tcBorders>
              <w:top w:val="nil"/>
              <w:left w:val="nil"/>
              <w:bottom w:val="nil"/>
              <w:right w:val="nil"/>
            </w:tcBorders>
            <w:shd w:val="clear" w:color="000000" w:fill="FFFFFF"/>
            <w:noWrap/>
            <w:vAlign w:val="center"/>
            <w:hideMark/>
          </w:tcPr>
          <w:p w:rsidR="00DB650C" w:rsidRPr="00DB650C" w:rsidRDefault="00DB650C" w:rsidP="00DB650C">
            <w:pPr>
              <w:rPr>
                <w:rFonts w:ascii="Lucida Bright" w:hAnsi="Lucida Bright" w:cs="Calibri"/>
                <w:sz w:val="16"/>
                <w:szCs w:val="16"/>
                <w:lang w:val="es-ES"/>
              </w:rPr>
            </w:pPr>
            <w:r w:rsidRPr="00DB650C">
              <w:rPr>
                <w:rFonts w:ascii="Lucida Bright" w:hAnsi="Lucida Bright" w:cs="Calibri"/>
                <w:sz w:val="16"/>
                <w:szCs w:val="16"/>
                <w:lang w:val="es-ES"/>
              </w:rPr>
              <w:t>(en euros)</w:t>
            </w:r>
          </w:p>
        </w:tc>
        <w:tc>
          <w:tcPr>
            <w:tcW w:w="1169" w:type="dxa"/>
            <w:tcBorders>
              <w:top w:val="nil"/>
              <w:left w:val="nil"/>
              <w:bottom w:val="nil"/>
              <w:right w:val="nil"/>
            </w:tcBorders>
            <w:shd w:val="clear" w:color="000000" w:fill="FFFFFF"/>
            <w:noWrap/>
            <w:vAlign w:val="center"/>
            <w:hideMark/>
          </w:tcPr>
          <w:p w:rsidR="00DB650C" w:rsidRPr="00DB650C" w:rsidRDefault="00DB650C" w:rsidP="00DB650C">
            <w:pPr>
              <w:rPr>
                <w:rFonts w:ascii="Tahoma" w:hAnsi="Tahoma" w:cs="Tahoma"/>
                <w:sz w:val="16"/>
                <w:szCs w:val="16"/>
                <w:lang w:val="es-ES"/>
              </w:rPr>
            </w:pPr>
            <w:r w:rsidRPr="00DB650C">
              <w:rPr>
                <w:rFonts w:ascii="Tahoma" w:hAnsi="Tahoma" w:cs="Tahoma"/>
                <w:sz w:val="16"/>
                <w:szCs w:val="16"/>
                <w:lang w:val="es-ES"/>
              </w:rPr>
              <w:t> </w:t>
            </w:r>
          </w:p>
        </w:tc>
        <w:tc>
          <w:tcPr>
            <w:tcW w:w="1287" w:type="dxa"/>
            <w:tcBorders>
              <w:top w:val="nil"/>
              <w:left w:val="nil"/>
              <w:bottom w:val="nil"/>
              <w:right w:val="nil"/>
            </w:tcBorders>
            <w:shd w:val="clear" w:color="000000" w:fill="FFFFFF"/>
            <w:noWrap/>
            <w:vAlign w:val="center"/>
            <w:hideMark/>
          </w:tcPr>
          <w:p w:rsidR="00DB650C" w:rsidRPr="00DB650C" w:rsidRDefault="00DB650C" w:rsidP="00DB650C">
            <w:pPr>
              <w:rPr>
                <w:rFonts w:ascii="Tahoma" w:hAnsi="Tahoma" w:cs="Tahoma"/>
                <w:lang w:val="es-ES"/>
              </w:rPr>
            </w:pPr>
            <w:r w:rsidRPr="00DB650C">
              <w:rPr>
                <w:rFonts w:ascii="Tahoma" w:hAnsi="Tahoma" w:cs="Tahoma"/>
                <w:lang w:val="es-ES"/>
              </w:rPr>
              <w:t> </w:t>
            </w:r>
          </w:p>
        </w:tc>
        <w:tc>
          <w:tcPr>
            <w:tcW w:w="1276" w:type="dxa"/>
            <w:tcBorders>
              <w:top w:val="nil"/>
              <w:left w:val="nil"/>
              <w:bottom w:val="nil"/>
              <w:right w:val="nil"/>
            </w:tcBorders>
            <w:shd w:val="clear" w:color="000000" w:fill="FFFFFF"/>
            <w:noWrap/>
            <w:vAlign w:val="center"/>
            <w:hideMark/>
          </w:tcPr>
          <w:p w:rsidR="00DB650C" w:rsidRPr="00DB650C" w:rsidRDefault="00DB650C" w:rsidP="00DB650C">
            <w:pPr>
              <w:rPr>
                <w:rFonts w:ascii="Tahoma" w:hAnsi="Tahoma" w:cs="Tahoma"/>
                <w:lang w:val="es-ES"/>
              </w:rPr>
            </w:pPr>
            <w:r w:rsidRPr="00DB650C">
              <w:rPr>
                <w:rFonts w:ascii="Tahoma" w:hAnsi="Tahoma" w:cs="Tahoma"/>
                <w:lang w:val="es-ES"/>
              </w:rPr>
              <w:t> </w:t>
            </w:r>
          </w:p>
        </w:tc>
        <w:tc>
          <w:tcPr>
            <w:tcW w:w="790" w:type="dxa"/>
            <w:tcBorders>
              <w:top w:val="nil"/>
              <w:left w:val="nil"/>
              <w:bottom w:val="nil"/>
              <w:right w:val="nil"/>
            </w:tcBorders>
            <w:shd w:val="clear" w:color="000000" w:fill="FFFFFF"/>
            <w:noWrap/>
            <w:vAlign w:val="center"/>
            <w:hideMark/>
          </w:tcPr>
          <w:p w:rsidR="00DB650C" w:rsidRPr="00DB650C" w:rsidRDefault="00DB650C" w:rsidP="00DB650C">
            <w:pPr>
              <w:rPr>
                <w:rFonts w:ascii="Tahoma" w:hAnsi="Tahoma" w:cs="Tahoma"/>
                <w:lang w:val="es-ES"/>
              </w:rPr>
            </w:pPr>
            <w:r w:rsidRPr="00DB650C">
              <w:rPr>
                <w:rFonts w:ascii="Tahoma" w:hAnsi="Tahoma" w:cs="Tahoma"/>
                <w:lang w:val="es-ES"/>
              </w:rPr>
              <w:t> </w:t>
            </w:r>
          </w:p>
        </w:tc>
        <w:tc>
          <w:tcPr>
            <w:tcW w:w="1240" w:type="dxa"/>
            <w:tcBorders>
              <w:top w:val="nil"/>
              <w:left w:val="nil"/>
              <w:bottom w:val="nil"/>
              <w:right w:val="nil"/>
            </w:tcBorders>
            <w:shd w:val="clear" w:color="000000" w:fill="FFFFFF"/>
            <w:noWrap/>
            <w:vAlign w:val="center"/>
            <w:hideMark/>
          </w:tcPr>
          <w:p w:rsidR="00DB650C" w:rsidRPr="00DB650C" w:rsidRDefault="00DB650C" w:rsidP="00DB650C">
            <w:pPr>
              <w:rPr>
                <w:rFonts w:ascii="Tahoma" w:hAnsi="Tahoma" w:cs="Tahoma"/>
                <w:lang w:val="es-ES"/>
              </w:rPr>
            </w:pPr>
            <w:r w:rsidRPr="00DB650C">
              <w:rPr>
                <w:rFonts w:ascii="Tahoma" w:hAnsi="Tahoma" w:cs="Tahoma"/>
                <w:lang w:val="es-ES"/>
              </w:rPr>
              <w:t> </w:t>
            </w:r>
          </w:p>
        </w:tc>
        <w:tc>
          <w:tcPr>
            <w:tcW w:w="1287" w:type="dxa"/>
            <w:tcBorders>
              <w:top w:val="nil"/>
              <w:left w:val="nil"/>
              <w:bottom w:val="nil"/>
              <w:right w:val="nil"/>
            </w:tcBorders>
            <w:shd w:val="clear" w:color="000000" w:fill="FFFFFF"/>
            <w:noWrap/>
            <w:vAlign w:val="center"/>
            <w:hideMark/>
          </w:tcPr>
          <w:p w:rsidR="00DB650C" w:rsidRPr="00DB650C" w:rsidRDefault="00DB650C" w:rsidP="00DB650C">
            <w:pPr>
              <w:rPr>
                <w:rFonts w:ascii="Tahoma" w:hAnsi="Tahoma" w:cs="Tahoma"/>
                <w:lang w:val="es-ES"/>
              </w:rPr>
            </w:pPr>
            <w:r w:rsidRPr="00DB650C">
              <w:rPr>
                <w:rFonts w:ascii="Tahoma" w:hAnsi="Tahoma" w:cs="Tahoma"/>
                <w:lang w:val="es-ES"/>
              </w:rPr>
              <w:t> </w:t>
            </w:r>
          </w:p>
        </w:tc>
      </w:tr>
      <w:tr w:rsidR="00DB650C" w:rsidRPr="00DB650C" w:rsidTr="00DB650C">
        <w:trPr>
          <w:trHeight w:val="540"/>
        </w:trPr>
        <w:tc>
          <w:tcPr>
            <w:tcW w:w="410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169" w:type="dxa"/>
            <w:tcBorders>
              <w:top w:val="single" w:sz="4" w:space="0" w:color="auto"/>
              <w:left w:val="nil"/>
              <w:bottom w:val="single" w:sz="4" w:space="0" w:color="auto"/>
              <w:right w:val="single" w:sz="4" w:space="0" w:color="auto"/>
            </w:tcBorders>
            <w:shd w:val="clear" w:color="000000" w:fill="CCFFCC"/>
            <w:noWrap/>
            <w:vAlign w:val="center"/>
            <w:hideMark/>
          </w:tcPr>
          <w:p w:rsidR="00DB650C" w:rsidRPr="00DB650C" w:rsidRDefault="00DB650C" w:rsidP="00DB650C">
            <w:pPr>
              <w:jc w:val="center"/>
              <w:rPr>
                <w:rFonts w:ascii="Lucida Bright" w:hAnsi="Lucida Bright" w:cs="Calibri"/>
                <w:sz w:val="14"/>
                <w:szCs w:val="14"/>
                <w:lang w:val="es-ES"/>
              </w:rPr>
            </w:pPr>
            <w:r w:rsidRPr="00DB650C">
              <w:rPr>
                <w:rFonts w:ascii="Lucida Bright" w:hAnsi="Lucida Bright" w:cs="Calibri"/>
                <w:sz w:val="14"/>
                <w:szCs w:val="14"/>
                <w:lang w:val="es-ES"/>
              </w:rPr>
              <w:t>Patrimonio</w:t>
            </w:r>
          </w:p>
        </w:tc>
        <w:tc>
          <w:tcPr>
            <w:tcW w:w="1287" w:type="dxa"/>
            <w:tcBorders>
              <w:top w:val="single" w:sz="4" w:space="0" w:color="auto"/>
              <w:left w:val="nil"/>
              <w:bottom w:val="single" w:sz="4" w:space="0" w:color="auto"/>
              <w:right w:val="single" w:sz="4" w:space="0" w:color="auto"/>
            </w:tcBorders>
            <w:shd w:val="clear" w:color="000000" w:fill="CCFFCC"/>
            <w:vAlign w:val="center"/>
            <w:hideMark/>
          </w:tcPr>
          <w:p w:rsidR="00DB650C" w:rsidRPr="00DB650C" w:rsidRDefault="00DB650C" w:rsidP="00DB650C">
            <w:pPr>
              <w:jc w:val="center"/>
              <w:rPr>
                <w:rFonts w:ascii="Lucida Bright" w:hAnsi="Lucida Bright" w:cs="Calibri"/>
                <w:sz w:val="14"/>
                <w:szCs w:val="14"/>
                <w:lang w:val="es-ES"/>
              </w:rPr>
            </w:pPr>
            <w:r w:rsidRPr="00DB650C">
              <w:rPr>
                <w:rFonts w:ascii="Lucida Bright" w:hAnsi="Lucida Bright" w:cs="Calibri"/>
                <w:sz w:val="14"/>
                <w:szCs w:val="14"/>
                <w:lang w:val="es-ES"/>
              </w:rPr>
              <w:t>Resultados</w:t>
            </w:r>
            <w:r w:rsidRPr="00DB650C">
              <w:rPr>
                <w:rFonts w:ascii="Lucida Bright" w:hAnsi="Lucida Bright" w:cs="Calibri"/>
                <w:sz w:val="14"/>
                <w:szCs w:val="14"/>
                <w:lang w:val="es-ES"/>
              </w:rPr>
              <w:br/>
              <w:t>de ejercicios</w:t>
            </w:r>
            <w:r w:rsidRPr="00DB650C">
              <w:rPr>
                <w:rFonts w:ascii="Lucida Bright" w:hAnsi="Lucida Bright" w:cs="Calibri"/>
                <w:sz w:val="14"/>
                <w:szCs w:val="14"/>
                <w:lang w:val="es-ES"/>
              </w:rPr>
              <w:br/>
              <w:t>anteriores</w:t>
            </w:r>
          </w:p>
        </w:tc>
        <w:tc>
          <w:tcPr>
            <w:tcW w:w="1276" w:type="dxa"/>
            <w:tcBorders>
              <w:top w:val="single" w:sz="4" w:space="0" w:color="auto"/>
              <w:left w:val="nil"/>
              <w:bottom w:val="single" w:sz="4" w:space="0" w:color="auto"/>
              <w:right w:val="single" w:sz="4" w:space="0" w:color="auto"/>
            </w:tcBorders>
            <w:shd w:val="clear" w:color="000000" w:fill="CCFFCC"/>
            <w:vAlign w:val="center"/>
            <w:hideMark/>
          </w:tcPr>
          <w:p w:rsidR="00DB650C" w:rsidRPr="00DB650C" w:rsidRDefault="00DB650C" w:rsidP="00DB650C">
            <w:pPr>
              <w:jc w:val="center"/>
              <w:rPr>
                <w:rFonts w:ascii="Lucida Bright" w:hAnsi="Lucida Bright" w:cs="Calibri"/>
                <w:sz w:val="14"/>
                <w:szCs w:val="14"/>
                <w:lang w:val="es-ES"/>
              </w:rPr>
            </w:pPr>
            <w:r w:rsidRPr="00DB650C">
              <w:rPr>
                <w:rFonts w:ascii="Lucida Bright" w:hAnsi="Lucida Bright" w:cs="Calibri"/>
                <w:sz w:val="14"/>
                <w:szCs w:val="14"/>
                <w:lang w:val="es-ES"/>
              </w:rPr>
              <w:t>Resultado del ejercicio</w:t>
            </w:r>
          </w:p>
        </w:tc>
        <w:tc>
          <w:tcPr>
            <w:tcW w:w="790" w:type="dxa"/>
            <w:tcBorders>
              <w:top w:val="single" w:sz="4" w:space="0" w:color="auto"/>
              <w:left w:val="nil"/>
              <w:bottom w:val="single" w:sz="4" w:space="0" w:color="auto"/>
              <w:right w:val="single" w:sz="4" w:space="0" w:color="auto"/>
            </w:tcBorders>
            <w:shd w:val="clear" w:color="000000" w:fill="CCFFCC"/>
            <w:vAlign w:val="center"/>
            <w:hideMark/>
          </w:tcPr>
          <w:p w:rsidR="00DB650C" w:rsidRPr="00DB650C" w:rsidRDefault="00DB650C" w:rsidP="00DB650C">
            <w:pPr>
              <w:jc w:val="center"/>
              <w:rPr>
                <w:rFonts w:ascii="Lucida Bright" w:hAnsi="Lucida Bright" w:cs="Calibri"/>
                <w:sz w:val="14"/>
                <w:szCs w:val="14"/>
                <w:lang w:val="es-ES"/>
              </w:rPr>
            </w:pPr>
            <w:r w:rsidRPr="00DB650C">
              <w:rPr>
                <w:rFonts w:ascii="Lucida Bright" w:hAnsi="Lucida Bright" w:cs="Calibri"/>
                <w:sz w:val="14"/>
                <w:szCs w:val="14"/>
                <w:lang w:val="es-ES"/>
              </w:rPr>
              <w:t>Ajustes por cambio de valor</w:t>
            </w:r>
          </w:p>
        </w:tc>
        <w:tc>
          <w:tcPr>
            <w:tcW w:w="1240" w:type="dxa"/>
            <w:tcBorders>
              <w:top w:val="single" w:sz="4" w:space="0" w:color="auto"/>
              <w:left w:val="nil"/>
              <w:bottom w:val="single" w:sz="4" w:space="0" w:color="auto"/>
              <w:right w:val="single" w:sz="4" w:space="0" w:color="auto"/>
            </w:tcBorders>
            <w:shd w:val="clear" w:color="000000" w:fill="CCFFCC"/>
            <w:vAlign w:val="center"/>
            <w:hideMark/>
          </w:tcPr>
          <w:p w:rsidR="00DB650C" w:rsidRPr="00DB650C" w:rsidRDefault="00DB650C" w:rsidP="00DB650C">
            <w:pPr>
              <w:jc w:val="center"/>
              <w:rPr>
                <w:rFonts w:ascii="Lucida Bright" w:hAnsi="Lucida Bright" w:cs="Calibri"/>
                <w:sz w:val="14"/>
                <w:szCs w:val="14"/>
                <w:lang w:val="es-ES"/>
              </w:rPr>
            </w:pPr>
            <w:r w:rsidRPr="00DB650C">
              <w:rPr>
                <w:rFonts w:ascii="Lucida Bright" w:hAnsi="Lucida Bright" w:cs="Calibri"/>
                <w:sz w:val="14"/>
                <w:szCs w:val="14"/>
                <w:lang w:val="es-ES"/>
              </w:rPr>
              <w:t>Subvenciones, donaciones y legados recibidos</w:t>
            </w:r>
          </w:p>
        </w:tc>
        <w:tc>
          <w:tcPr>
            <w:tcW w:w="1287" w:type="dxa"/>
            <w:tcBorders>
              <w:top w:val="single" w:sz="4" w:space="0" w:color="auto"/>
              <w:left w:val="nil"/>
              <w:bottom w:val="single" w:sz="4" w:space="0" w:color="auto"/>
              <w:right w:val="single" w:sz="4" w:space="0" w:color="auto"/>
            </w:tcBorders>
            <w:shd w:val="clear" w:color="000000" w:fill="CCFFCC"/>
            <w:vAlign w:val="center"/>
            <w:hideMark/>
          </w:tcPr>
          <w:p w:rsidR="00DB650C" w:rsidRPr="00DB650C" w:rsidRDefault="00DB650C" w:rsidP="00DB650C">
            <w:pPr>
              <w:jc w:val="center"/>
              <w:rPr>
                <w:rFonts w:ascii="Lucida Bright" w:hAnsi="Lucida Bright" w:cs="Calibri"/>
                <w:sz w:val="14"/>
                <w:szCs w:val="14"/>
                <w:lang w:val="es-ES"/>
              </w:rPr>
            </w:pPr>
            <w:r w:rsidRPr="00DB650C">
              <w:rPr>
                <w:rFonts w:ascii="Lucida Bright" w:hAnsi="Lucida Bright" w:cs="Calibri"/>
                <w:sz w:val="14"/>
                <w:szCs w:val="14"/>
                <w:lang w:val="es-ES"/>
              </w:rPr>
              <w:t>Total</w:t>
            </w:r>
          </w:p>
        </w:tc>
      </w:tr>
      <w:tr w:rsidR="00DB650C" w:rsidRPr="00DB650C" w:rsidTr="00DB650C">
        <w:trPr>
          <w:trHeight w:val="139"/>
        </w:trPr>
        <w:tc>
          <w:tcPr>
            <w:tcW w:w="4107" w:type="dxa"/>
            <w:tcBorders>
              <w:top w:val="nil"/>
              <w:left w:val="single" w:sz="4" w:space="0" w:color="auto"/>
              <w:bottom w:val="nil"/>
              <w:right w:val="single" w:sz="4" w:space="0" w:color="auto"/>
            </w:tcBorders>
            <w:shd w:val="clear" w:color="auto" w:fill="auto"/>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169" w:type="dxa"/>
            <w:tcBorders>
              <w:top w:val="nil"/>
              <w:left w:val="nil"/>
              <w:bottom w:val="nil"/>
              <w:right w:val="single" w:sz="4" w:space="0" w:color="auto"/>
            </w:tcBorders>
            <w:shd w:val="clear" w:color="auto" w:fill="auto"/>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87" w:type="dxa"/>
            <w:tcBorders>
              <w:top w:val="nil"/>
              <w:left w:val="nil"/>
              <w:bottom w:val="nil"/>
              <w:right w:val="single" w:sz="4" w:space="0" w:color="auto"/>
            </w:tcBorders>
            <w:shd w:val="clear" w:color="auto" w:fill="auto"/>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76" w:type="dxa"/>
            <w:tcBorders>
              <w:top w:val="nil"/>
              <w:left w:val="nil"/>
              <w:bottom w:val="nil"/>
              <w:right w:val="single" w:sz="4" w:space="0" w:color="auto"/>
            </w:tcBorders>
            <w:shd w:val="clear" w:color="auto" w:fill="auto"/>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790" w:type="dxa"/>
            <w:tcBorders>
              <w:top w:val="nil"/>
              <w:left w:val="nil"/>
              <w:bottom w:val="nil"/>
              <w:right w:val="single" w:sz="4" w:space="0" w:color="auto"/>
            </w:tcBorders>
            <w:shd w:val="clear" w:color="auto" w:fill="auto"/>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40" w:type="dxa"/>
            <w:tcBorders>
              <w:top w:val="nil"/>
              <w:left w:val="nil"/>
              <w:bottom w:val="nil"/>
              <w:right w:val="single" w:sz="4" w:space="0" w:color="auto"/>
            </w:tcBorders>
            <w:shd w:val="clear" w:color="auto" w:fill="auto"/>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87" w:type="dxa"/>
            <w:tcBorders>
              <w:top w:val="nil"/>
              <w:left w:val="nil"/>
              <w:bottom w:val="nil"/>
              <w:right w:val="single" w:sz="4" w:space="0" w:color="auto"/>
            </w:tcBorders>
            <w:shd w:val="clear" w:color="auto" w:fill="auto"/>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r w:rsidR="00DB650C" w:rsidRPr="00DB650C" w:rsidTr="00DB650C">
        <w:trPr>
          <w:trHeight w:val="210"/>
        </w:trPr>
        <w:tc>
          <w:tcPr>
            <w:tcW w:w="4107" w:type="dxa"/>
            <w:tcBorders>
              <w:top w:val="nil"/>
              <w:left w:val="single" w:sz="4" w:space="0" w:color="auto"/>
              <w:bottom w:val="nil"/>
              <w:right w:val="single" w:sz="4" w:space="0" w:color="auto"/>
            </w:tcBorders>
            <w:shd w:val="clear" w:color="000000" w:fill="CCFFCC"/>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A. SALDO, FINAL DEL AÑO 2022</w:t>
            </w:r>
          </w:p>
        </w:tc>
        <w:tc>
          <w:tcPr>
            <w:tcW w:w="1169"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212.383.193,39 </w:t>
            </w:r>
          </w:p>
        </w:tc>
        <w:tc>
          <w:tcPr>
            <w:tcW w:w="1287"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429.046.806,79 </w:t>
            </w:r>
          </w:p>
        </w:tc>
        <w:tc>
          <w:tcPr>
            <w:tcW w:w="1276"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32.937.294,09 </w:t>
            </w:r>
          </w:p>
        </w:tc>
        <w:tc>
          <w:tcPr>
            <w:tcW w:w="790"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(0,00) </w:t>
            </w:r>
          </w:p>
        </w:tc>
        <w:tc>
          <w:tcPr>
            <w:tcW w:w="1240"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21.659.500,11 </w:t>
            </w:r>
          </w:p>
        </w:tc>
        <w:tc>
          <w:tcPr>
            <w:tcW w:w="1287"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696.026.794,38 </w:t>
            </w:r>
          </w:p>
        </w:tc>
      </w:tr>
      <w:tr w:rsidR="00DB650C" w:rsidRPr="00DB650C" w:rsidTr="00DB650C">
        <w:trPr>
          <w:trHeight w:val="139"/>
        </w:trPr>
        <w:tc>
          <w:tcPr>
            <w:tcW w:w="4107" w:type="dxa"/>
            <w:tcBorders>
              <w:top w:val="nil"/>
              <w:left w:val="single" w:sz="4" w:space="0" w:color="auto"/>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169"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87"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76"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790"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40"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87"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r w:rsidR="00DB650C" w:rsidRPr="00DB650C" w:rsidTr="00DB650C">
        <w:trPr>
          <w:trHeight w:val="210"/>
        </w:trPr>
        <w:tc>
          <w:tcPr>
            <w:tcW w:w="4107" w:type="dxa"/>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I. Ajustes por cambios de criterio 2022 y anteriores.</w:t>
            </w:r>
          </w:p>
        </w:tc>
        <w:tc>
          <w:tcPr>
            <w:tcW w:w="1169"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76"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79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4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r>
      <w:tr w:rsidR="00DB650C" w:rsidRPr="00DB650C" w:rsidTr="00DB650C">
        <w:trPr>
          <w:trHeight w:val="210"/>
        </w:trPr>
        <w:tc>
          <w:tcPr>
            <w:tcW w:w="4107" w:type="dxa"/>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II. Ajustes por errores 2022 y anteriores.</w:t>
            </w:r>
          </w:p>
        </w:tc>
        <w:tc>
          <w:tcPr>
            <w:tcW w:w="1169" w:type="dxa"/>
            <w:tcBorders>
              <w:top w:val="nil"/>
              <w:left w:val="nil"/>
              <w:bottom w:val="nil"/>
              <w:right w:val="single" w:sz="4" w:space="0" w:color="auto"/>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(3.572.126,38) </w:t>
            </w:r>
          </w:p>
        </w:tc>
        <w:tc>
          <w:tcPr>
            <w:tcW w:w="1276"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(1.506.058,33) </w:t>
            </w:r>
          </w:p>
        </w:tc>
        <w:tc>
          <w:tcPr>
            <w:tcW w:w="79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4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8.075.778,89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2.997.594,18 </w:t>
            </w:r>
          </w:p>
        </w:tc>
      </w:tr>
      <w:tr w:rsidR="00DB650C" w:rsidRPr="00DB650C" w:rsidTr="00DB650C">
        <w:trPr>
          <w:trHeight w:val="139"/>
        </w:trPr>
        <w:tc>
          <w:tcPr>
            <w:tcW w:w="4107" w:type="dxa"/>
            <w:tcBorders>
              <w:top w:val="nil"/>
              <w:left w:val="single" w:sz="4" w:space="0" w:color="auto"/>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169"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87"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76"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790"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40"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87"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r w:rsidR="00DB650C" w:rsidRPr="00DB650C" w:rsidTr="00DB650C">
        <w:trPr>
          <w:trHeight w:val="210"/>
        </w:trPr>
        <w:tc>
          <w:tcPr>
            <w:tcW w:w="4107" w:type="dxa"/>
            <w:tcBorders>
              <w:top w:val="nil"/>
              <w:left w:val="single" w:sz="4" w:space="0" w:color="auto"/>
              <w:bottom w:val="nil"/>
              <w:right w:val="single" w:sz="4" w:space="0" w:color="auto"/>
            </w:tcBorders>
            <w:shd w:val="clear" w:color="000000" w:fill="CCFFCC"/>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B. SALDO AJUSTADO, INICIO DEL AÑO 2023</w:t>
            </w:r>
          </w:p>
        </w:tc>
        <w:tc>
          <w:tcPr>
            <w:tcW w:w="1169"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212.383.193,39 </w:t>
            </w:r>
          </w:p>
        </w:tc>
        <w:tc>
          <w:tcPr>
            <w:tcW w:w="1287"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425.474.680,41 </w:t>
            </w:r>
          </w:p>
        </w:tc>
        <w:tc>
          <w:tcPr>
            <w:tcW w:w="1276"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31.431.235,76 </w:t>
            </w:r>
          </w:p>
        </w:tc>
        <w:tc>
          <w:tcPr>
            <w:tcW w:w="790"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(0,00) </w:t>
            </w:r>
          </w:p>
        </w:tc>
        <w:tc>
          <w:tcPr>
            <w:tcW w:w="1240"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29.735.279,00 </w:t>
            </w:r>
          </w:p>
        </w:tc>
        <w:tc>
          <w:tcPr>
            <w:tcW w:w="1287"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699.024.388,56 </w:t>
            </w:r>
          </w:p>
        </w:tc>
      </w:tr>
      <w:tr w:rsidR="00DB650C" w:rsidRPr="00DB650C" w:rsidTr="00DB650C">
        <w:trPr>
          <w:trHeight w:val="139"/>
        </w:trPr>
        <w:tc>
          <w:tcPr>
            <w:tcW w:w="4107" w:type="dxa"/>
            <w:tcBorders>
              <w:top w:val="nil"/>
              <w:left w:val="single" w:sz="4" w:space="0" w:color="auto"/>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169"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87"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76"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790"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40"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87"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r w:rsidR="00DB650C" w:rsidRPr="00DB650C" w:rsidTr="00DB650C">
        <w:trPr>
          <w:trHeight w:val="210"/>
        </w:trPr>
        <w:tc>
          <w:tcPr>
            <w:tcW w:w="4107" w:type="dxa"/>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I. Total ingresos y gastos reconocidos</w:t>
            </w:r>
          </w:p>
        </w:tc>
        <w:tc>
          <w:tcPr>
            <w:tcW w:w="1169"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76"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47.012.107,02 </w:t>
            </w:r>
          </w:p>
        </w:tc>
        <w:tc>
          <w:tcPr>
            <w:tcW w:w="79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4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5.877,85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47.017.984,87 </w:t>
            </w:r>
          </w:p>
        </w:tc>
      </w:tr>
      <w:tr w:rsidR="00DB650C" w:rsidRPr="00DB650C" w:rsidTr="00DB650C">
        <w:trPr>
          <w:trHeight w:val="210"/>
        </w:trPr>
        <w:tc>
          <w:tcPr>
            <w:tcW w:w="4107" w:type="dxa"/>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II. Operaciones con socios o propietarios (*)</w:t>
            </w:r>
          </w:p>
        </w:tc>
        <w:tc>
          <w:tcPr>
            <w:tcW w:w="1169"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14.401,08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76"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79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4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14.401,08 </w:t>
            </w:r>
          </w:p>
        </w:tc>
      </w:tr>
      <w:tr w:rsidR="00DB650C" w:rsidRPr="00DB650C" w:rsidTr="00DB650C">
        <w:trPr>
          <w:trHeight w:val="210"/>
        </w:trPr>
        <w:tc>
          <w:tcPr>
            <w:tcW w:w="4107" w:type="dxa"/>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III. Otras variaciones del patrimonio neto</w:t>
            </w:r>
          </w:p>
        </w:tc>
        <w:tc>
          <w:tcPr>
            <w:tcW w:w="1169"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31.431.235,76 </w:t>
            </w:r>
          </w:p>
        </w:tc>
        <w:tc>
          <w:tcPr>
            <w:tcW w:w="1276"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(31.431.235,76) </w:t>
            </w:r>
          </w:p>
        </w:tc>
        <w:tc>
          <w:tcPr>
            <w:tcW w:w="79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4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r>
      <w:tr w:rsidR="00DB650C" w:rsidRPr="00DB650C" w:rsidTr="00DB650C">
        <w:trPr>
          <w:trHeight w:val="139"/>
        </w:trPr>
        <w:tc>
          <w:tcPr>
            <w:tcW w:w="4107" w:type="dxa"/>
            <w:tcBorders>
              <w:top w:val="nil"/>
              <w:left w:val="single" w:sz="4" w:space="0" w:color="auto"/>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169"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87"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76"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790"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40"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87"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r w:rsidR="00DB650C" w:rsidRPr="00DB650C" w:rsidTr="00DB650C">
        <w:trPr>
          <w:trHeight w:val="210"/>
        </w:trPr>
        <w:tc>
          <w:tcPr>
            <w:tcW w:w="4107" w:type="dxa"/>
            <w:tcBorders>
              <w:top w:val="nil"/>
              <w:left w:val="single" w:sz="4" w:space="0" w:color="auto"/>
              <w:bottom w:val="nil"/>
              <w:right w:val="single" w:sz="4" w:space="0" w:color="auto"/>
            </w:tcBorders>
            <w:shd w:val="clear" w:color="000000" w:fill="CCFFCC"/>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C. SALDO, FINAL DEL AÑO 2023</w:t>
            </w:r>
          </w:p>
        </w:tc>
        <w:tc>
          <w:tcPr>
            <w:tcW w:w="1169"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212.397.594,47 </w:t>
            </w:r>
          </w:p>
        </w:tc>
        <w:tc>
          <w:tcPr>
            <w:tcW w:w="1287"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456.905.916,17 </w:t>
            </w:r>
          </w:p>
        </w:tc>
        <w:tc>
          <w:tcPr>
            <w:tcW w:w="1276"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47.012.107,02 </w:t>
            </w:r>
          </w:p>
        </w:tc>
        <w:tc>
          <w:tcPr>
            <w:tcW w:w="790"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(0,00) </w:t>
            </w:r>
          </w:p>
        </w:tc>
        <w:tc>
          <w:tcPr>
            <w:tcW w:w="1240"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29.741.156,85 </w:t>
            </w:r>
          </w:p>
        </w:tc>
        <w:tc>
          <w:tcPr>
            <w:tcW w:w="1287"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746.056.774,51 </w:t>
            </w:r>
          </w:p>
        </w:tc>
      </w:tr>
      <w:tr w:rsidR="00DB650C" w:rsidRPr="00DB650C" w:rsidTr="00DB650C">
        <w:trPr>
          <w:trHeight w:val="139"/>
        </w:trPr>
        <w:tc>
          <w:tcPr>
            <w:tcW w:w="4107" w:type="dxa"/>
            <w:tcBorders>
              <w:top w:val="nil"/>
              <w:left w:val="single" w:sz="4" w:space="0" w:color="auto"/>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169"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87"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76"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790"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40"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87"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r w:rsidR="00DB650C" w:rsidRPr="00DB650C" w:rsidTr="00DB650C">
        <w:trPr>
          <w:trHeight w:val="210"/>
        </w:trPr>
        <w:tc>
          <w:tcPr>
            <w:tcW w:w="4107" w:type="dxa"/>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I. Ajustes por cambios de criterio 2023.</w:t>
            </w:r>
          </w:p>
        </w:tc>
        <w:tc>
          <w:tcPr>
            <w:tcW w:w="1169"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76"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79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4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r>
      <w:tr w:rsidR="00DB650C" w:rsidRPr="00DB650C" w:rsidTr="00DB650C">
        <w:trPr>
          <w:trHeight w:val="210"/>
        </w:trPr>
        <w:tc>
          <w:tcPr>
            <w:tcW w:w="4107" w:type="dxa"/>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II. Ajustes por errores 2023.</w:t>
            </w:r>
          </w:p>
        </w:tc>
        <w:tc>
          <w:tcPr>
            <w:tcW w:w="1169"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w:t>
            </w:r>
          </w:p>
        </w:tc>
        <w:tc>
          <w:tcPr>
            <w:tcW w:w="1276"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(2.223.299,51) </w:t>
            </w:r>
          </w:p>
        </w:tc>
        <w:tc>
          <w:tcPr>
            <w:tcW w:w="79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4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(620.038,33)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(2.843.337,84) </w:t>
            </w:r>
          </w:p>
        </w:tc>
      </w:tr>
      <w:tr w:rsidR="00DB650C" w:rsidRPr="00DB650C" w:rsidTr="00DB650C">
        <w:trPr>
          <w:trHeight w:val="139"/>
        </w:trPr>
        <w:tc>
          <w:tcPr>
            <w:tcW w:w="4107" w:type="dxa"/>
            <w:tcBorders>
              <w:top w:val="nil"/>
              <w:left w:val="single" w:sz="4" w:space="0" w:color="auto"/>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169"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87"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76"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790"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40"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87"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r w:rsidR="00DB650C" w:rsidRPr="00DB650C" w:rsidTr="00DB650C">
        <w:trPr>
          <w:trHeight w:val="210"/>
        </w:trPr>
        <w:tc>
          <w:tcPr>
            <w:tcW w:w="4107" w:type="dxa"/>
            <w:tcBorders>
              <w:top w:val="nil"/>
              <w:left w:val="single" w:sz="4" w:space="0" w:color="auto"/>
              <w:bottom w:val="nil"/>
              <w:right w:val="single" w:sz="4" w:space="0" w:color="auto"/>
            </w:tcBorders>
            <w:shd w:val="clear" w:color="000000" w:fill="CCFFCC"/>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D. SALDO AJUSTADO, INICIO DEL AÑO 2024</w:t>
            </w:r>
          </w:p>
        </w:tc>
        <w:tc>
          <w:tcPr>
            <w:tcW w:w="1169"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212.397.594,47 </w:t>
            </w:r>
          </w:p>
        </w:tc>
        <w:tc>
          <w:tcPr>
            <w:tcW w:w="1287"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456.905.916,17 </w:t>
            </w:r>
          </w:p>
        </w:tc>
        <w:tc>
          <w:tcPr>
            <w:tcW w:w="1276"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44.788.807,51 </w:t>
            </w:r>
          </w:p>
        </w:tc>
        <w:tc>
          <w:tcPr>
            <w:tcW w:w="790"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(0,00) </w:t>
            </w:r>
          </w:p>
        </w:tc>
        <w:tc>
          <w:tcPr>
            <w:tcW w:w="1240"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29.121.118,52 </w:t>
            </w:r>
          </w:p>
        </w:tc>
        <w:tc>
          <w:tcPr>
            <w:tcW w:w="1287" w:type="dxa"/>
            <w:tcBorders>
              <w:top w:val="nil"/>
              <w:left w:val="nil"/>
              <w:bottom w:val="nil"/>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743.213.436,67 </w:t>
            </w:r>
          </w:p>
        </w:tc>
      </w:tr>
      <w:tr w:rsidR="00DB650C" w:rsidRPr="00DB650C" w:rsidTr="00DB650C">
        <w:trPr>
          <w:trHeight w:val="139"/>
        </w:trPr>
        <w:tc>
          <w:tcPr>
            <w:tcW w:w="4107" w:type="dxa"/>
            <w:tcBorders>
              <w:top w:val="nil"/>
              <w:left w:val="single" w:sz="4" w:space="0" w:color="auto"/>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169"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87"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76"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790"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40"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87"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r w:rsidR="00DB650C" w:rsidRPr="00DB650C" w:rsidTr="00DB650C">
        <w:trPr>
          <w:trHeight w:val="210"/>
        </w:trPr>
        <w:tc>
          <w:tcPr>
            <w:tcW w:w="4107" w:type="dxa"/>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I. Total ingresos y gastos reconocidos</w:t>
            </w:r>
          </w:p>
        </w:tc>
        <w:tc>
          <w:tcPr>
            <w:tcW w:w="1169"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76"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48.307.184,08 </w:t>
            </w:r>
          </w:p>
        </w:tc>
        <w:tc>
          <w:tcPr>
            <w:tcW w:w="79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4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12.040.372,87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60.347.556,95 </w:t>
            </w:r>
          </w:p>
        </w:tc>
      </w:tr>
      <w:tr w:rsidR="00DB650C" w:rsidRPr="00DB650C" w:rsidTr="00DB650C">
        <w:trPr>
          <w:trHeight w:val="210"/>
        </w:trPr>
        <w:tc>
          <w:tcPr>
            <w:tcW w:w="4107" w:type="dxa"/>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II. Operaciones con socios o propietarios (*)</w:t>
            </w:r>
          </w:p>
        </w:tc>
        <w:tc>
          <w:tcPr>
            <w:tcW w:w="1169"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76"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79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4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r>
      <w:tr w:rsidR="00DB650C" w:rsidRPr="00DB650C" w:rsidTr="00DB650C">
        <w:trPr>
          <w:trHeight w:val="210"/>
        </w:trPr>
        <w:tc>
          <w:tcPr>
            <w:tcW w:w="4107" w:type="dxa"/>
            <w:tcBorders>
              <w:top w:val="nil"/>
              <w:left w:val="single" w:sz="4" w:space="0" w:color="auto"/>
              <w:bottom w:val="nil"/>
              <w:right w:val="single" w:sz="4" w:space="0" w:color="auto"/>
            </w:tcBorders>
            <w:shd w:val="clear" w:color="000000" w:fill="FFFFFF"/>
            <w:noWrap/>
            <w:vAlign w:val="center"/>
            <w:hideMark/>
          </w:tcPr>
          <w:p w:rsidR="00DB650C" w:rsidRPr="00DB650C" w:rsidRDefault="00DB650C" w:rsidP="00DB650C">
            <w:pPr>
              <w:rPr>
                <w:rFonts w:ascii="Lucida Bright" w:hAnsi="Lucida Bright" w:cs="Calibri"/>
                <w:sz w:val="14"/>
                <w:szCs w:val="14"/>
                <w:lang w:val="es-ES"/>
              </w:rPr>
            </w:pPr>
            <w:r w:rsidRPr="00DB650C">
              <w:rPr>
                <w:rFonts w:ascii="Lucida Bright" w:hAnsi="Lucida Bright" w:cs="Calibri"/>
                <w:sz w:val="14"/>
                <w:szCs w:val="14"/>
                <w:lang w:val="es-ES"/>
              </w:rPr>
              <w:t xml:space="preserve">    III. Otras variaciones del patrimonio neto</w:t>
            </w:r>
          </w:p>
        </w:tc>
        <w:tc>
          <w:tcPr>
            <w:tcW w:w="1169"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44.788.807,51 </w:t>
            </w:r>
          </w:p>
        </w:tc>
        <w:tc>
          <w:tcPr>
            <w:tcW w:w="1276"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(44.788.807,51) </w:t>
            </w:r>
          </w:p>
        </w:tc>
        <w:tc>
          <w:tcPr>
            <w:tcW w:w="79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40"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c>
          <w:tcPr>
            <w:tcW w:w="1287" w:type="dxa"/>
            <w:tcBorders>
              <w:top w:val="nil"/>
              <w:left w:val="nil"/>
              <w:bottom w:val="nil"/>
              <w:right w:val="single" w:sz="4" w:space="0" w:color="auto"/>
            </w:tcBorders>
            <w:shd w:val="clear" w:color="000000" w:fill="FFFFFF"/>
            <w:noWrap/>
            <w:vAlign w:val="center"/>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xml:space="preserve">- </w:t>
            </w:r>
          </w:p>
        </w:tc>
      </w:tr>
      <w:tr w:rsidR="00DB650C" w:rsidRPr="00DB650C" w:rsidTr="00DB650C">
        <w:trPr>
          <w:trHeight w:val="139"/>
        </w:trPr>
        <w:tc>
          <w:tcPr>
            <w:tcW w:w="4107" w:type="dxa"/>
            <w:tcBorders>
              <w:top w:val="nil"/>
              <w:left w:val="single" w:sz="4" w:space="0" w:color="auto"/>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169"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87"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76"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790"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40"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c>
          <w:tcPr>
            <w:tcW w:w="1287" w:type="dxa"/>
            <w:tcBorders>
              <w:top w:val="nil"/>
              <w:left w:val="nil"/>
              <w:bottom w:val="nil"/>
              <w:right w:val="single" w:sz="4" w:space="0" w:color="auto"/>
            </w:tcBorders>
            <w:shd w:val="clear" w:color="000000" w:fill="FFFFFF"/>
            <w:noWrap/>
            <w:vAlign w:val="bottom"/>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w:t>
            </w:r>
          </w:p>
        </w:tc>
      </w:tr>
      <w:tr w:rsidR="00DB650C" w:rsidRPr="00DB650C" w:rsidTr="00DB650C">
        <w:trPr>
          <w:trHeight w:val="300"/>
        </w:trPr>
        <w:tc>
          <w:tcPr>
            <w:tcW w:w="410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B650C" w:rsidRPr="00DB650C" w:rsidRDefault="00DB650C" w:rsidP="00DB650C">
            <w:pPr>
              <w:rPr>
                <w:rFonts w:ascii="Lucida Bright" w:hAnsi="Lucida Bright" w:cs="Calibri"/>
                <w:b/>
                <w:bCs/>
                <w:sz w:val="14"/>
                <w:szCs w:val="14"/>
                <w:lang w:val="es-ES"/>
              </w:rPr>
            </w:pPr>
            <w:r w:rsidRPr="00DB650C">
              <w:rPr>
                <w:rFonts w:ascii="Lucida Bright" w:hAnsi="Lucida Bright" w:cs="Calibri"/>
                <w:b/>
                <w:bCs/>
                <w:sz w:val="14"/>
                <w:szCs w:val="14"/>
                <w:lang w:val="es-ES"/>
              </w:rPr>
              <w:t xml:space="preserve"> E. SALDO, FINAL DEL AÑO 2024</w:t>
            </w:r>
          </w:p>
        </w:tc>
        <w:tc>
          <w:tcPr>
            <w:tcW w:w="1169" w:type="dxa"/>
            <w:tcBorders>
              <w:top w:val="single" w:sz="4" w:space="0" w:color="auto"/>
              <w:left w:val="nil"/>
              <w:bottom w:val="single" w:sz="4" w:space="0" w:color="auto"/>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212.397.594,47 </w:t>
            </w:r>
          </w:p>
        </w:tc>
        <w:tc>
          <w:tcPr>
            <w:tcW w:w="1287" w:type="dxa"/>
            <w:tcBorders>
              <w:top w:val="single" w:sz="4" w:space="0" w:color="auto"/>
              <w:left w:val="nil"/>
              <w:bottom w:val="single" w:sz="4" w:space="0" w:color="auto"/>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501.694.723,68 </w:t>
            </w:r>
          </w:p>
        </w:tc>
        <w:tc>
          <w:tcPr>
            <w:tcW w:w="1276" w:type="dxa"/>
            <w:tcBorders>
              <w:top w:val="single" w:sz="4" w:space="0" w:color="auto"/>
              <w:left w:val="nil"/>
              <w:bottom w:val="single" w:sz="4" w:space="0" w:color="auto"/>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48.307.184,08 </w:t>
            </w:r>
          </w:p>
        </w:tc>
        <w:tc>
          <w:tcPr>
            <w:tcW w:w="790" w:type="dxa"/>
            <w:tcBorders>
              <w:top w:val="single" w:sz="4" w:space="0" w:color="auto"/>
              <w:left w:val="nil"/>
              <w:bottom w:val="single" w:sz="4" w:space="0" w:color="auto"/>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(0,00) </w:t>
            </w:r>
          </w:p>
        </w:tc>
        <w:tc>
          <w:tcPr>
            <w:tcW w:w="1240" w:type="dxa"/>
            <w:tcBorders>
              <w:top w:val="single" w:sz="4" w:space="0" w:color="auto"/>
              <w:left w:val="nil"/>
              <w:bottom w:val="single" w:sz="4" w:space="0" w:color="auto"/>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41.161.491,39 </w:t>
            </w:r>
          </w:p>
        </w:tc>
        <w:tc>
          <w:tcPr>
            <w:tcW w:w="1287" w:type="dxa"/>
            <w:tcBorders>
              <w:top w:val="single" w:sz="4" w:space="0" w:color="auto"/>
              <w:left w:val="nil"/>
              <w:bottom w:val="single" w:sz="4" w:space="0" w:color="auto"/>
              <w:right w:val="single" w:sz="4" w:space="0" w:color="auto"/>
            </w:tcBorders>
            <w:shd w:val="clear" w:color="000000" w:fill="CCFFCC"/>
            <w:noWrap/>
            <w:vAlign w:val="center"/>
            <w:hideMark/>
          </w:tcPr>
          <w:p w:rsidR="00DB650C" w:rsidRPr="00DB650C" w:rsidRDefault="00DB650C" w:rsidP="00DB650C">
            <w:pPr>
              <w:jc w:val="right"/>
              <w:rPr>
                <w:rFonts w:ascii="Lucida Bright" w:hAnsi="Lucida Bright" w:cs="Calibri"/>
                <w:b/>
                <w:bCs/>
                <w:sz w:val="14"/>
                <w:szCs w:val="14"/>
                <w:lang w:val="es-ES"/>
              </w:rPr>
            </w:pPr>
            <w:r w:rsidRPr="00DB650C">
              <w:rPr>
                <w:rFonts w:ascii="Lucida Bright" w:hAnsi="Lucida Bright" w:cs="Calibri"/>
                <w:b/>
                <w:bCs/>
                <w:sz w:val="14"/>
                <w:szCs w:val="14"/>
                <w:lang w:val="es-ES"/>
              </w:rPr>
              <w:t xml:space="preserve">803.560.993,62 </w:t>
            </w:r>
          </w:p>
        </w:tc>
      </w:tr>
      <w:tr w:rsidR="00DB650C" w:rsidRPr="00DB650C" w:rsidTr="00DB650C">
        <w:trPr>
          <w:trHeight w:val="300"/>
        </w:trPr>
        <w:tc>
          <w:tcPr>
            <w:tcW w:w="4107" w:type="dxa"/>
            <w:tcBorders>
              <w:top w:val="nil"/>
              <w:left w:val="nil"/>
              <w:bottom w:val="nil"/>
              <w:right w:val="nil"/>
            </w:tcBorders>
            <w:shd w:val="clear" w:color="000000" w:fill="FFFFFF"/>
            <w:noWrap/>
            <w:vAlign w:val="bottom"/>
            <w:hideMark/>
          </w:tcPr>
          <w:p w:rsidR="00DB650C" w:rsidRPr="00DB650C" w:rsidRDefault="00DB650C" w:rsidP="00DB650C">
            <w:pPr>
              <w:jc w:val="right"/>
              <w:rPr>
                <w:rFonts w:ascii="Lucida Bright" w:hAnsi="Lucida Bright" w:cs="Calibri"/>
                <w:sz w:val="14"/>
                <w:szCs w:val="14"/>
                <w:lang w:val="es-ES"/>
              </w:rPr>
            </w:pPr>
            <w:r w:rsidRPr="00DB650C">
              <w:rPr>
                <w:rFonts w:ascii="Lucida Bright" w:hAnsi="Lucida Bright" w:cs="Calibri"/>
                <w:sz w:val="14"/>
                <w:szCs w:val="14"/>
                <w:lang w:val="es-ES"/>
              </w:rPr>
              <w:t>(*) Adscripciones y desadscripciones patrimoniales</w:t>
            </w:r>
          </w:p>
        </w:tc>
        <w:tc>
          <w:tcPr>
            <w:tcW w:w="1169" w:type="dxa"/>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c>
          <w:tcPr>
            <w:tcW w:w="1287" w:type="dxa"/>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c>
          <w:tcPr>
            <w:tcW w:w="1276" w:type="dxa"/>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c>
          <w:tcPr>
            <w:tcW w:w="790" w:type="dxa"/>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c>
          <w:tcPr>
            <w:tcW w:w="1240" w:type="dxa"/>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c>
          <w:tcPr>
            <w:tcW w:w="1287" w:type="dxa"/>
            <w:tcBorders>
              <w:top w:val="nil"/>
              <w:left w:val="nil"/>
              <w:bottom w:val="nil"/>
              <w:right w:val="nil"/>
            </w:tcBorders>
            <w:shd w:val="clear" w:color="000000" w:fill="FFFFFF"/>
            <w:noWrap/>
            <w:vAlign w:val="bottom"/>
            <w:hideMark/>
          </w:tcPr>
          <w:p w:rsidR="00DB650C" w:rsidRPr="00DB650C" w:rsidRDefault="00DB650C" w:rsidP="00DB650C">
            <w:pPr>
              <w:rPr>
                <w:rFonts w:ascii="Tahoma" w:hAnsi="Tahoma" w:cs="Tahoma"/>
                <w:lang w:val="es-ES"/>
              </w:rPr>
            </w:pPr>
            <w:r w:rsidRPr="00DB650C">
              <w:rPr>
                <w:rFonts w:ascii="Tahoma" w:hAnsi="Tahoma" w:cs="Tahoma"/>
                <w:lang w:val="es-ES"/>
              </w:rPr>
              <w:t> </w:t>
            </w:r>
          </w:p>
        </w:tc>
      </w:tr>
    </w:tbl>
    <w:p w:rsidR="00B41599" w:rsidRDefault="00B41599" w:rsidP="00E13AD1">
      <w:pPr>
        <w:rPr>
          <w:rFonts w:ascii="Lucida Bright" w:hAnsi="Lucida Bright"/>
          <w:b/>
          <w:bCs/>
          <w:sz w:val="22"/>
          <w:szCs w:val="22"/>
        </w:rPr>
      </w:pPr>
    </w:p>
    <w:p w:rsidR="000927E0" w:rsidRDefault="000927E0" w:rsidP="00E13AD1">
      <w:pPr>
        <w:rPr>
          <w:rFonts w:ascii="Lucida Bright" w:hAnsi="Lucida Bright"/>
          <w:b/>
          <w:bCs/>
          <w:sz w:val="22"/>
          <w:szCs w:val="22"/>
        </w:rPr>
      </w:pPr>
    </w:p>
    <w:p w:rsidR="00CD3595" w:rsidRDefault="00CD3595" w:rsidP="00E13AD1">
      <w:pPr>
        <w:rPr>
          <w:rFonts w:ascii="Lucida Bright" w:hAnsi="Lucida Bright"/>
          <w:b/>
          <w:bCs/>
          <w:sz w:val="22"/>
          <w:szCs w:val="22"/>
        </w:rPr>
      </w:pPr>
    </w:p>
    <w:p w:rsidR="00790C4F" w:rsidRDefault="00790C4F" w:rsidP="00E13AD1">
      <w:pPr>
        <w:rPr>
          <w:rFonts w:ascii="Lucida Bright" w:hAnsi="Lucida Bright"/>
          <w:b/>
          <w:bCs/>
          <w:sz w:val="22"/>
          <w:szCs w:val="22"/>
        </w:rPr>
        <w:sectPr w:rsidR="00790C4F" w:rsidSect="00790C4F">
          <w:pgSz w:w="16840" w:h="11907" w:orient="landscape" w:code="9"/>
          <w:pgMar w:top="1985" w:right="1701" w:bottom="1418" w:left="1701" w:header="567" w:footer="397" w:gutter="0"/>
          <w:cols w:space="720"/>
          <w:docGrid w:linePitch="272"/>
        </w:sectPr>
      </w:pPr>
    </w:p>
    <w:tbl>
      <w:tblPr>
        <w:tblW w:w="10596" w:type="dxa"/>
        <w:tblInd w:w="-356" w:type="dxa"/>
        <w:tblCellMar>
          <w:left w:w="70" w:type="dxa"/>
          <w:right w:w="70" w:type="dxa"/>
        </w:tblCellMar>
        <w:tblLook w:val="04A0" w:firstRow="1" w:lastRow="0" w:firstColumn="1" w:lastColumn="0" w:noHBand="0" w:noVBand="1"/>
      </w:tblPr>
      <w:tblGrid>
        <w:gridCol w:w="7148"/>
        <w:gridCol w:w="1216"/>
        <w:gridCol w:w="1636"/>
        <w:gridCol w:w="596"/>
      </w:tblGrid>
      <w:tr w:rsidR="00492E39" w:rsidRPr="00492E39" w:rsidTr="00492E39">
        <w:trPr>
          <w:trHeight w:val="255"/>
        </w:trPr>
        <w:tc>
          <w:tcPr>
            <w:tcW w:w="8364" w:type="dxa"/>
            <w:gridSpan w:val="2"/>
            <w:tcBorders>
              <w:top w:val="nil"/>
              <w:left w:val="nil"/>
              <w:bottom w:val="nil"/>
              <w:right w:val="nil"/>
            </w:tcBorders>
            <w:shd w:val="clear" w:color="000000" w:fill="FFFFFF"/>
            <w:noWrap/>
            <w:vAlign w:val="center"/>
            <w:hideMark/>
          </w:tcPr>
          <w:p w:rsidR="00492E39" w:rsidRPr="00492E39" w:rsidRDefault="00492E39" w:rsidP="00492E39">
            <w:pPr>
              <w:rPr>
                <w:rFonts w:ascii="Lucida Bright" w:hAnsi="Lucida Bright" w:cs="Calibri"/>
                <w:b/>
                <w:bCs/>
                <w:lang w:val="es-ES"/>
              </w:rPr>
            </w:pPr>
            <w:r w:rsidRPr="00492E39">
              <w:rPr>
                <w:rFonts w:ascii="Lucida Bright" w:hAnsi="Lucida Bright" w:cs="Calibri"/>
                <w:b/>
                <w:bCs/>
                <w:lang w:val="es-ES"/>
              </w:rPr>
              <w:lastRenderedPageBreak/>
              <w:t>Estado de flujos de efectivo correspondiente al ejercicio terminado el 31-12-24</w:t>
            </w:r>
          </w:p>
        </w:tc>
        <w:tc>
          <w:tcPr>
            <w:tcW w:w="1636" w:type="dxa"/>
            <w:tcBorders>
              <w:top w:val="nil"/>
              <w:left w:val="nil"/>
              <w:bottom w:val="nil"/>
              <w:right w:val="nil"/>
            </w:tcBorders>
            <w:shd w:val="clear" w:color="000000" w:fill="FFFFFF"/>
            <w:noWrap/>
            <w:vAlign w:val="bottom"/>
            <w:hideMark/>
          </w:tcPr>
          <w:p w:rsidR="00492E39" w:rsidRPr="00492E39" w:rsidRDefault="00492E39" w:rsidP="00492E39">
            <w:pPr>
              <w:rPr>
                <w:rFonts w:ascii="Lucida Bright" w:hAnsi="Lucida Bright" w:cs="Calibri"/>
                <w:lang w:val="es-ES"/>
              </w:rPr>
            </w:pPr>
            <w:r w:rsidRPr="00492E39">
              <w:rPr>
                <w:rFonts w:ascii="Lucida Bright" w:hAnsi="Lucida Bright" w:cs="Calibri"/>
                <w:lang w:val="es-ES"/>
              </w:rPr>
              <w:t> </w:t>
            </w:r>
          </w:p>
        </w:tc>
        <w:tc>
          <w:tcPr>
            <w:tcW w:w="596" w:type="dxa"/>
            <w:tcBorders>
              <w:top w:val="nil"/>
              <w:left w:val="nil"/>
              <w:bottom w:val="nil"/>
              <w:right w:val="nil"/>
            </w:tcBorders>
            <w:shd w:val="clear" w:color="auto" w:fill="auto"/>
            <w:noWrap/>
            <w:vAlign w:val="bottom"/>
            <w:hideMark/>
          </w:tcPr>
          <w:p w:rsidR="00492E39" w:rsidRPr="00492E39" w:rsidRDefault="00492E39" w:rsidP="00492E39">
            <w:pPr>
              <w:rPr>
                <w:rFonts w:ascii="Lucida Bright" w:hAnsi="Lucida Bright" w:cs="Calibri"/>
                <w:color w:val="000000"/>
                <w:lang w:val="es-ES"/>
              </w:rPr>
            </w:pPr>
          </w:p>
        </w:tc>
      </w:tr>
      <w:tr w:rsidR="00492E39" w:rsidRPr="00492E39" w:rsidTr="00492E39">
        <w:trPr>
          <w:trHeight w:val="180"/>
        </w:trPr>
        <w:tc>
          <w:tcPr>
            <w:tcW w:w="7148" w:type="dxa"/>
            <w:tcBorders>
              <w:top w:val="nil"/>
              <w:left w:val="nil"/>
              <w:bottom w:val="nil"/>
              <w:right w:val="nil"/>
            </w:tcBorders>
            <w:shd w:val="clear" w:color="000000" w:fill="FFFFFF"/>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(en euros)</w:t>
            </w:r>
          </w:p>
        </w:tc>
        <w:tc>
          <w:tcPr>
            <w:tcW w:w="1216" w:type="dxa"/>
            <w:tcBorders>
              <w:top w:val="nil"/>
              <w:left w:val="nil"/>
              <w:bottom w:val="nil"/>
              <w:right w:val="nil"/>
            </w:tcBorders>
            <w:shd w:val="clear" w:color="000000" w:fill="FFFFFF"/>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w:t>
            </w:r>
          </w:p>
        </w:tc>
        <w:tc>
          <w:tcPr>
            <w:tcW w:w="1636" w:type="dxa"/>
            <w:tcBorders>
              <w:top w:val="nil"/>
              <w:left w:val="nil"/>
              <w:bottom w:val="nil"/>
              <w:right w:val="nil"/>
            </w:tcBorders>
            <w:shd w:val="clear" w:color="000000" w:fill="FFFFFF"/>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w:t>
            </w:r>
          </w:p>
        </w:tc>
        <w:tc>
          <w:tcPr>
            <w:tcW w:w="596" w:type="dxa"/>
            <w:tcBorders>
              <w:top w:val="nil"/>
              <w:left w:val="nil"/>
              <w:bottom w:val="nil"/>
              <w:right w:val="nil"/>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p>
        </w:tc>
      </w:tr>
      <w:tr w:rsidR="00492E39" w:rsidRPr="00492E39" w:rsidTr="00492E39">
        <w:trPr>
          <w:trHeight w:val="180"/>
        </w:trPr>
        <w:tc>
          <w:tcPr>
            <w:tcW w:w="7148" w:type="dxa"/>
            <w:tcBorders>
              <w:top w:val="single" w:sz="4" w:space="0" w:color="auto"/>
              <w:left w:val="single" w:sz="4" w:space="0" w:color="auto"/>
              <w:bottom w:val="single" w:sz="4" w:space="0" w:color="auto"/>
              <w:right w:val="nil"/>
            </w:tcBorders>
            <w:shd w:val="clear" w:color="000000" w:fill="CCFFCC"/>
            <w:noWrap/>
            <w:vAlign w:val="center"/>
            <w:hideMark/>
          </w:tcPr>
          <w:p w:rsidR="00492E39" w:rsidRPr="00492E39" w:rsidRDefault="00492E39" w:rsidP="00492E39">
            <w:pPr>
              <w:jc w:val="center"/>
              <w:rPr>
                <w:rFonts w:ascii="Lucida Bright" w:hAnsi="Lucida Bright" w:cs="Calibri"/>
                <w:b/>
                <w:bCs/>
                <w:sz w:val="14"/>
                <w:szCs w:val="14"/>
                <w:lang w:val="es-ES"/>
              </w:rPr>
            </w:pPr>
            <w:r w:rsidRPr="00492E39">
              <w:rPr>
                <w:rFonts w:ascii="Lucida Bright" w:hAnsi="Lucida Bright" w:cs="Calibri"/>
                <w:b/>
                <w:bCs/>
                <w:sz w:val="14"/>
                <w:szCs w:val="14"/>
                <w:lang w:val="es-ES"/>
              </w:rPr>
              <w:t>CONCEPTO</w:t>
            </w:r>
          </w:p>
        </w:tc>
        <w:tc>
          <w:tcPr>
            <w:tcW w:w="121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492E39" w:rsidRPr="00492E39" w:rsidRDefault="00492E39" w:rsidP="00492E39">
            <w:pPr>
              <w:jc w:val="center"/>
              <w:rPr>
                <w:rFonts w:ascii="Lucida Bright" w:hAnsi="Lucida Bright" w:cs="Calibri"/>
                <w:b/>
                <w:bCs/>
                <w:sz w:val="14"/>
                <w:szCs w:val="14"/>
                <w:lang w:val="es-ES"/>
              </w:rPr>
            </w:pPr>
            <w:r w:rsidRPr="00492E39">
              <w:rPr>
                <w:rFonts w:ascii="Lucida Bright" w:hAnsi="Lucida Bright" w:cs="Calibri"/>
                <w:b/>
                <w:bCs/>
                <w:sz w:val="14"/>
                <w:szCs w:val="14"/>
                <w:lang w:val="es-ES"/>
              </w:rPr>
              <w:t>2024</w:t>
            </w:r>
          </w:p>
        </w:tc>
        <w:tc>
          <w:tcPr>
            <w:tcW w:w="1636" w:type="dxa"/>
            <w:tcBorders>
              <w:top w:val="single" w:sz="4" w:space="0" w:color="auto"/>
              <w:left w:val="nil"/>
              <w:bottom w:val="single" w:sz="4" w:space="0" w:color="auto"/>
              <w:right w:val="single" w:sz="4" w:space="0" w:color="auto"/>
            </w:tcBorders>
            <w:shd w:val="clear" w:color="000000" w:fill="CCFFCC"/>
            <w:noWrap/>
            <w:vAlign w:val="center"/>
            <w:hideMark/>
          </w:tcPr>
          <w:p w:rsidR="00492E39" w:rsidRPr="00492E39" w:rsidRDefault="00492E39" w:rsidP="00492E39">
            <w:pPr>
              <w:jc w:val="center"/>
              <w:rPr>
                <w:rFonts w:ascii="Lucida Bright" w:hAnsi="Lucida Bright" w:cs="Calibri"/>
                <w:b/>
                <w:bCs/>
                <w:sz w:val="14"/>
                <w:szCs w:val="14"/>
                <w:lang w:val="es-ES"/>
              </w:rPr>
            </w:pPr>
            <w:r w:rsidRPr="00492E39">
              <w:rPr>
                <w:rFonts w:ascii="Lucida Bright" w:hAnsi="Lucida Bright" w:cs="Calibri"/>
                <w:b/>
                <w:bCs/>
                <w:sz w:val="14"/>
                <w:szCs w:val="14"/>
                <w:lang w:val="es-ES"/>
              </w:rPr>
              <w:t>2023</w:t>
            </w:r>
          </w:p>
        </w:tc>
        <w:tc>
          <w:tcPr>
            <w:tcW w:w="596" w:type="dxa"/>
            <w:tcBorders>
              <w:top w:val="single" w:sz="4" w:space="0" w:color="auto"/>
              <w:left w:val="nil"/>
              <w:bottom w:val="single" w:sz="4" w:space="0" w:color="auto"/>
              <w:right w:val="single" w:sz="4" w:space="0" w:color="auto"/>
            </w:tcBorders>
            <w:shd w:val="clear" w:color="000000" w:fill="CCFFCC"/>
            <w:noWrap/>
            <w:vAlign w:val="bottom"/>
            <w:hideMark/>
          </w:tcPr>
          <w:p w:rsidR="00492E39" w:rsidRPr="00492E39" w:rsidRDefault="00492E39" w:rsidP="00492E39">
            <w:pPr>
              <w:rPr>
                <w:rFonts w:ascii="Lucida Bright" w:hAnsi="Lucida Bright" w:cs="Calibri"/>
                <w:b/>
                <w:bCs/>
                <w:color w:val="000000"/>
                <w:sz w:val="14"/>
                <w:szCs w:val="14"/>
                <w:lang w:val="es-ES"/>
              </w:rPr>
            </w:pPr>
            <w:r w:rsidRPr="00492E39">
              <w:rPr>
                <w:rFonts w:ascii="Lucida Bright" w:hAnsi="Lucida Bright" w:cs="Calibri"/>
                <w:b/>
                <w:bCs/>
                <w:color w:val="000000"/>
                <w:sz w:val="14"/>
                <w:szCs w:val="14"/>
                <w:lang w:val="es-ES"/>
              </w:rPr>
              <w:t>Notas</w:t>
            </w:r>
          </w:p>
        </w:tc>
      </w:tr>
      <w:tr w:rsidR="00492E39" w:rsidRPr="00492E39" w:rsidTr="00492E39">
        <w:trPr>
          <w:trHeight w:val="180"/>
        </w:trPr>
        <w:tc>
          <w:tcPr>
            <w:tcW w:w="7148" w:type="dxa"/>
            <w:tcBorders>
              <w:top w:val="nil"/>
              <w:left w:val="single" w:sz="4" w:space="0" w:color="auto"/>
              <w:bottom w:val="nil"/>
              <w:right w:val="nil"/>
            </w:tcBorders>
            <w:shd w:val="clear" w:color="000000" w:fill="CCFFCC"/>
            <w:noWrap/>
            <w:vAlign w:val="center"/>
            <w:hideMark/>
          </w:tcPr>
          <w:p w:rsidR="00492E39" w:rsidRPr="00492E39" w:rsidRDefault="00492E39" w:rsidP="00492E39">
            <w:pPr>
              <w:rPr>
                <w:rFonts w:ascii="Lucida Bright" w:hAnsi="Lucida Bright" w:cs="Calibri"/>
                <w:b/>
                <w:bCs/>
                <w:sz w:val="14"/>
                <w:szCs w:val="14"/>
                <w:lang w:val="es-ES"/>
              </w:rPr>
            </w:pPr>
            <w:r w:rsidRPr="00492E39">
              <w:rPr>
                <w:rFonts w:ascii="Lucida Bright" w:hAnsi="Lucida Bright" w:cs="Calibri"/>
                <w:b/>
                <w:bCs/>
                <w:sz w:val="14"/>
                <w:szCs w:val="14"/>
                <w:lang w:val="es-ES"/>
              </w:rPr>
              <w:t xml:space="preserve"> A) FLUJOS DE EFECTIVO DE LAS ACTIVIDADES DE EXPLOTACIÓN (+/-1+/-2+/-3+/-4)</w:t>
            </w:r>
          </w:p>
        </w:tc>
        <w:tc>
          <w:tcPr>
            <w:tcW w:w="1216" w:type="dxa"/>
            <w:tcBorders>
              <w:top w:val="nil"/>
              <w:left w:val="single" w:sz="4" w:space="0" w:color="auto"/>
              <w:bottom w:val="nil"/>
              <w:right w:val="single" w:sz="4" w:space="0" w:color="auto"/>
            </w:tcBorders>
            <w:shd w:val="clear" w:color="000000" w:fill="CCFFCC"/>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68.841.815,69  </w:t>
            </w:r>
          </w:p>
        </w:tc>
        <w:tc>
          <w:tcPr>
            <w:tcW w:w="1636" w:type="dxa"/>
            <w:tcBorders>
              <w:top w:val="nil"/>
              <w:left w:val="nil"/>
              <w:bottom w:val="nil"/>
              <w:right w:val="single" w:sz="4" w:space="0" w:color="auto"/>
            </w:tcBorders>
            <w:shd w:val="clear" w:color="000000" w:fill="CCFFCC"/>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65.986.841,39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b/>
                <w:bCs/>
                <w:sz w:val="14"/>
                <w:szCs w:val="14"/>
                <w:lang w:val="es-ES"/>
              </w:rPr>
            </w:pPr>
            <w:r w:rsidRPr="00492E39">
              <w:rPr>
                <w:rFonts w:ascii="Lucida Bright" w:hAnsi="Lucida Bright" w:cs="Calibri"/>
                <w:b/>
                <w:bCs/>
                <w:sz w:val="14"/>
                <w:szCs w:val="14"/>
                <w:lang w:val="es-ES"/>
              </w:rPr>
              <w:t xml:space="preserve">      1. Resultado del ejercicio antes de impuestos</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45.329.044,96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44.827.075,67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b/>
                <w:bCs/>
                <w:sz w:val="14"/>
                <w:szCs w:val="14"/>
                <w:lang w:val="es-ES"/>
              </w:rPr>
            </w:pPr>
            <w:r w:rsidRPr="00492E39">
              <w:rPr>
                <w:rFonts w:ascii="Lucida Bright" w:hAnsi="Lucida Bright" w:cs="Calibri"/>
                <w:b/>
                <w:bCs/>
                <w:sz w:val="14"/>
                <w:szCs w:val="14"/>
                <w:lang w:val="es-ES"/>
              </w:rPr>
              <w:t xml:space="preserve">      2. Ajustes del resultado</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19.777.598,84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17.806.836,15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a) Amortización del inmovilizado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22.222.848,45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21.886.325,91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b) Correcciones valorativas por deterioro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9.713,29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c) Variación de provisiones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6.621.161,67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1.535.106,08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d) Imputación de subvenciones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(938.507,64)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(969.362,82)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e) Resultados por bajas y enajenaciones del inmovilizado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461.056,24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398.372,74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f) Resultados por bajas y enajenaciones de instrumentos financieros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g) Ingresos financieros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(8.092.213,85)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(4.996.788,79)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h) Gastos financieros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295.917,79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366.112,01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i) Variación de valor razonable en instrumentos financieros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j) Ingresos traspasados al resultado por concesiones revertidas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(1.161.389,38)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(741.632,54)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k) Imputación a resultados de anticipos recibidos por ventas o prestación de servicios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l) Otros ingresos y gastos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368.725,56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318.990,27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b/>
                <w:bCs/>
                <w:sz w:val="14"/>
                <w:szCs w:val="14"/>
                <w:lang w:val="es-ES"/>
              </w:rPr>
            </w:pPr>
            <w:r w:rsidRPr="00492E39">
              <w:rPr>
                <w:rFonts w:ascii="Lucida Bright" w:hAnsi="Lucida Bright" w:cs="Calibri"/>
                <w:b/>
                <w:bCs/>
                <w:sz w:val="14"/>
                <w:szCs w:val="14"/>
                <w:lang w:val="es-ES"/>
              </w:rPr>
              <w:t xml:space="preserve">      3. Cambios en el capital corriente</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1.471.393,11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1.525.235,20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a) Existencias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5.902,05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1.660,96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b) Deudores y otras cuentas a cobrar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3.599.978,72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(1.556.485,86)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c) Otros activos corrientes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1.248.738,35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d) Acreedores y otras cuentas a pagar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(1.649.076,37)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1.715.126,20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e) Otros pasivos corrientes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(1.260.014,43)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1.700.200,68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f) Otros activos y pasivos no corrientes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(474.135,21)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(335.266,78)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b/>
                <w:bCs/>
                <w:sz w:val="14"/>
                <w:szCs w:val="14"/>
                <w:lang w:val="es-ES"/>
              </w:rPr>
            </w:pPr>
            <w:r w:rsidRPr="00492E39">
              <w:rPr>
                <w:rFonts w:ascii="Lucida Bright" w:hAnsi="Lucida Bright" w:cs="Calibri"/>
                <w:b/>
                <w:bCs/>
                <w:sz w:val="14"/>
                <w:szCs w:val="14"/>
                <w:lang w:val="es-ES"/>
              </w:rPr>
              <w:t xml:space="preserve">      4. Otros flujos de efectivo de las actividades de explotación</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2.263.778,78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1.827.694,37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a) Pagos de intereses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(79,62)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(2.909,60)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b) Cobros de dividendos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c) Cobros de intereses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8.705.146,23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3.352.746,81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d) Pagos de principales e intereses de demora por litigios tarifarios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(3.420,97)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e) Cobros de OPPE para el pago de principales e intereses de demora por litigios tarif.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(10.788,81)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f) Cobros (pagos) por impuesto sobre beneficios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(3.805.705,10)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(1.296.554,03)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g) Otros pagos (cobros)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(2.632.161,76)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(214.800,00)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000000" w:fill="CCFFCC"/>
            <w:noWrap/>
            <w:vAlign w:val="center"/>
            <w:hideMark/>
          </w:tcPr>
          <w:p w:rsidR="00492E39" w:rsidRPr="00492E39" w:rsidRDefault="00492E39" w:rsidP="00492E39">
            <w:pPr>
              <w:rPr>
                <w:rFonts w:ascii="Lucida Bright" w:hAnsi="Lucida Bright" w:cs="Calibri"/>
                <w:b/>
                <w:bCs/>
                <w:sz w:val="14"/>
                <w:szCs w:val="14"/>
                <w:lang w:val="es-ES"/>
              </w:rPr>
            </w:pPr>
            <w:r w:rsidRPr="00492E39">
              <w:rPr>
                <w:rFonts w:ascii="Lucida Bright" w:hAnsi="Lucida Bright" w:cs="Calibri"/>
                <w:b/>
                <w:bCs/>
                <w:sz w:val="14"/>
                <w:szCs w:val="14"/>
                <w:lang w:val="es-ES"/>
              </w:rPr>
              <w:t xml:space="preserve"> B) FLUJOS DE EFECTIVO DE LAS ACTIVIDADES DE INVERSIÓN (7-6)</w:t>
            </w:r>
          </w:p>
        </w:tc>
        <w:tc>
          <w:tcPr>
            <w:tcW w:w="1216" w:type="dxa"/>
            <w:tcBorders>
              <w:top w:val="nil"/>
              <w:left w:val="single" w:sz="4" w:space="0" w:color="auto"/>
              <w:bottom w:val="nil"/>
              <w:right w:val="single" w:sz="4" w:space="0" w:color="auto"/>
            </w:tcBorders>
            <w:shd w:val="clear" w:color="000000" w:fill="CCFFCC"/>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(42.620.734,66)  </w:t>
            </w:r>
          </w:p>
        </w:tc>
        <w:tc>
          <w:tcPr>
            <w:tcW w:w="1636" w:type="dxa"/>
            <w:tcBorders>
              <w:top w:val="nil"/>
              <w:left w:val="nil"/>
              <w:bottom w:val="nil"/>
              <w:right w:val="single" w:sz="4" w:space="0" w:color="auto"/>
            </w:tcBorders>
            <w:shd w:val="clear" w:color="000000" w:fill="CCFFCC"/>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(91.202.459,95)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b/>
                <w:bCs/>
                <w:sz w:val="14"/>
                <w:szCs w:val="14"/>
                <w:lang w:val="es-ES"/>
              </w:rPr>
            </w:pPr>
            <w:r w:rsidRPr="00492E39">
              <w:rPr>
                <w:rFonts w:ascii="Lucida Bright" w:hAnsi="Lucida Bright" w:cs="Calibri"/>
                <w:b/>
                <w:bCs/>
                <w:sz w:val="14"/>
                <w:szCs w:val="14"/>
                <w:lang w:val="es-ES"/>
              </w:rPr>
              <w:t xml:space="preserve">      6. Pagos por inversiones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(46.242.649,57)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(91.230.342,31)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a) Empresas del grupo y asociadas</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b) Inmovilizado intangible</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c) Inmovilizado material</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(46.242.649,57)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(41.214.292,31)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d) Inversiones inmobiliarias</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e) Otros activos financieros</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(50.016.050,00)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f) Activos no corrientes mantenidos para la venta</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g) Otros activos</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b/>
                <w:bCs/>
                <w:sz w:val="14"/>
                <w:szCs w:val="14"/>
                <w:lang w:val="es-ES"/>
              </w:rPr>
            </w:pPr>
            <w:r w:rsidRPr="00492E39">
              <w:rPr>
                <w:rFonts w:ascii="Lucida Bright" w:hAnsi="Lucida Bright" w:cs="Calibri"/>
                <w:b/>
                <w:bCs/>
                <w:sz w:val="14"/>
                <w:szCs w:val="14"/>
                <w:lang w:val="es-ES"/>
              </w:rPr>
              <w:t xml:space="preserve">      7. Cobros por desinversiones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3.621.914,91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27.882,36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a) Empresas del grupo y asociadas</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101.000,01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27.882,36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b) Inmovilizado intangible</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c) Inmovilizado material</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20.914,90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d) Inversiones inmobiliarias</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e) Otros activos financieros</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3.500.000,00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f) Activos no corrientes mantenidos para la venta</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g) Otros activos</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000000" w:fill="CCFFCC"/>
            <w:noWrap/>
            <w:vAlign w:val="center"/>
            <w:hideMark/>
          </w:tcPr>
          <w:p w:rsidR="00492E39" w:rsidRPr="00492E39" w:rsidRDefault="00492E39" w:rsidP="00492E39">
            <w:pPr>
              <w:rPr>
                <w:rFonts w:ascii="Lucida Bright" w:hAnsi="Lucida Bright" w:cs="Calibri"/>
                <w:b/>
                <w:bCs/>
                <w:sz w:val="14"/>
                <w:szCs w:val="14"/>
                <w:lang w:val="es-ES"/>
              </w:rPr>
            </w:pPr>
            <w:r w:rsidRPr="00492E39">
              <w:rPr>
                <w:rFonts w:ascii="Lucida Bright" w:hAnsi="Lucida Bright" w:cs="Calibri"/>
                <w:b/>
                <w:bCs/>
                <w:sz w:val="14"/>
                <w:szCs w:val="14"/>
                <w:lang w:val="es-ES"/>
              </w:rPr>
              <w:t xml:space="preserve"> C) FLUJOS DE EFECTIVO DE LAS ACTIVIDADES DE FINANCIACIÓN (+/-9+/-10)</w:t>
            </w:r>
          </w:p>
        </w:tc>
        <w:tc>
          <w:tcPr>
            <w:tcW w:w="1216" w:type="dxa"/>
            <w:tcBorders>
              <w:top w:val="nil"/>
              <w:left w:val="single" w:sz="4" w:space="0" w:color="auto"/>
              <w:bottom w:val="nil"/>
              <w:right w:val="single" w:sz="4" w:space="0" w:color="auto"/>
            </w:tcBorders>
            <w:shd w:val="clear" w:color="000000" w:fill="CCFFCC"/>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2.264.538,54  </w:t>
            </w:r>
          </w:p>
        </w:tc>
        <w:tc>
          <w:tcPr>
            <w:tcW w:w="1636" w:type="dxa"/>
            <w:tcBorders>
              <w:top w:val="nil"/>
              <w:left w:val="nil"/>
              <w:bottom w:val="nil"/>
              <w:right w:val="single" w:sz="4" w:space="0" w:color="auto"/>
            </w:tcBorders>
            <w:shd w:val="clear" w:color="000000" w:fill="CCFFCC"/>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1.151.422,83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b/>
                <w:bCs/>
                <w:sz w:val="14"/>
                <w:szCs w:val="14"/>
                <w:lang w:val="es-ES"/>
              </w:rPr>
            </w:pPr>
            <w:r w:rsidRPr="00492E39">
              <w:rPr>
                <w:rFonts w:ascii="Lucida Bright" w:hAnsi="Lucida Bright" w:cs="Calibri"/>
                <w:b/>
                <w:bCs/>
                <w:sz w:val="14"/>
                <w:szCs w:val="14"/>
                <w:lang w:val="es-ES"/>
              </w:rPr>
              <w:t xml:space="preserve">      9. Cobros y pagos por instrumentos de patrimonio</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2.264.538,54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1.151.422,83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a) Subvenciones, donaciones y legados recibidos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2.264.538,54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1.151.422,83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b) Aumento/Disminución de Patrimonio (+/-)</w:t>
            </w:r>
          </w:p>
        </w:tc>
        <w:tc>
          <w:tcPr>
            <w:tcW w:w="1216" w:type="dxa"/>
            <w:tcBorders>
              <w:top w:val="nil"/>
              <w:left w:val="single" w:sz="4" w:space="0" w:color="auto"/>
              <w:bottom w:val="nil"/>
              <w:right w:val="single" w:sz="4" w:space="0" w:color="auto"/>
            </w:tcBorders>
            <w:shd w:val="clear" w:color="auto" w:fill="auto"/>
            <w:noWrap/>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b/>
                <w:bCs/>
                <w:sz w:val="14"/>
                <w:szCs w:val="14"/>
                <w:lang w:val="es-ES"/>
              </w:rPr>
            </w:pPr>
            <w:r w:rsidRPr="00492E39">
              <w:rPr>
                <w:rFonts w:ascii="Lucida Bright" w:hAnsi="Lucida Bright" w:cs="Calibri"/>
                <w:b/>
                <w:bCs/>
                <w:sz w:val="14"/>
                <w:szCs w:val="14"/>
                <w:lang w:val="es-ES"/>
              </w:rPr>
              <w:t xml:space="preserve">     10. Cobros y pagos por instrumentos de pasivo financiero</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a) Emisión</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1. Deudas con entidades de crédito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2. Deudas con empresas del grupo y asociadas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3. Otras deudas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b) Devolución y amortización de</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1. Deudas con entidades de crédito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2. Deudas con empresas del grupo y asociadas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3. Otras deudas (-)</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000000" w:fill="CCFFCC"/>
            <w:noWrap/>
            <w:vAlign w:val="center"/>
            <w:hideMark/>
          </w:tcPr>
          <w:p w:rsidR="00492E39" w:rsidRPr="00492E39" w:rsidRDefault="00492E39" w:rsidP="00492E39">
            <w:pPr>
              <w:rPr>
                <w:rFonts w:ascii="Lucida Bright" w:hAnsi="Lucida Bright" w:cs="Calibri"/>
                <w:b/>
                <w:bCs/>
                <w:sz w:val="14"/>
                <w:szCs w:val="14"/>
                <w:lang w:val="es-ES"/>
              </w:rPr>
            </w:pPr>
            <w:r w:rsidRPr="00492E39">
              <w:rPr>
                <w:rFonts w:ascii="Lucida Bright" w:hAnsi="Lucida Bright" w:cs="Calibri"/>
                <w:b/>
                <w:bCs/>
                <w:sz w:val="14"/>
                <w:szCs w:val="14"/>
                <w:lang w:val="es-ES"/>
              </w:rPr>
              <w:t xml:space="preserve"> E) AUMENTO/DISMINUCIÓN NETA DEL EFECTIVO O EQUIVALENTES (+/-A+/-B+/-C)</w:t>
            </w:r>
          </w:p>
        </w:tc>
        <w:tc>
          <w:tcPr>
            <w:tcW w:w="1216" w:type="dxa"/>
            <w:tcBorders>
              <w:top w:val="nil"/>
              <w:left w:val="single" w:sz="4" w:space="0" w:color="auto"/>
              <w:bottom w:val="nil"/>
              <w:right w:val="single" w:sz="4" w:space="0" w:color="auto"/>
            </w:tcBorders>
            <w:shd w:val="clear" w:color="000000" w:fill="CCFFCC"/>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28.485.619,57  </w:t>
            </w:r>
          </w:p>
        </w:tc>
        <w:tc>
          <w:tcPr>
            <w:tcW w:w="1636" w:type="dxa"/>
            <w:tcBorders>
              <w:top w:val="nil"/>
              <w:left w:val="nil"/>
              <w:bottom w:val="nil"/>
              <w:right w:val="single" w:sz="4" w:space="0" w:color="auto"/>
            </w:tcBorders>
            <w:shd w:val="clear" w:color="000000" w:fill="CCFFCC"/>
            <w:noWrap/>
            <w:vAlign w:val="center"/>
            <w:hideMark/>
          </w:tcPr>
          <w:p w:rsidR="00492E39" w:rsidRPr="00492E39" w:rsidRDefault="00492E39" w:rsidP="00492E39">
            <w:pPr>
              <w:jc w:val="right"/>
              <w:rPr>
                <w:rFonts w:ascii="Lucida Bright" w:hAnsi="Lucida Bright" w:cs="Calibri"/>
                <w:b/>
                <w:bCs/>
                <w:sz w:val="14"/>
                <w:szCs w:val="14"/>
                <w:lang w:val="es-ES"/>
              </w:rPr>
            </w:pPr>
            <w:r w:rsidRPr="00492E39">
              <w:rPr>
                <w:rFonts w:ascii="Lucida Bright" w:hAnsi="Lucida Bright" w:cs="Calibri"/>
                <w:b/>
                <w:bCs/>
                <w:sz w:val="14"/>
                <w:szCs w:val="14"/>
                <w:lang w:val="es-ES"/>
              </w:rPr>
              <w:t xml:space="preserve">(24.064.195,73)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nil"/>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Efectivo o equivalentes al comienzo del ejercicio</w:t>
            </w:r>
          </w:p>
        </w:tc>
        <w:tc>
          <w:tcPr>
            <w:tcW w:w="1216" w:type="dxa"/>
            <w:tcBorders>
              <w:top w:val="nil"/>
              <w:left w:val="single" w:sz="4" w:space="0" w:color="auto"/>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138.944.143,58  </w:t>
            </w:r>
          </w:p>
        </w:tc>
        <w:tc>
          <w:tcPr>
            <w:tcW w:w="1636" w:type="dxa"/>
            <w:tcBorders>
              <w:top w:val="nil"/>
              <w:left w:val="nil"/>
              <w:bottom w:val="nil"/>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163.008.339,31  </w:t>
            </w:r>
          </w:p>
        </w:tc>
        <w:tc>
          <w:tcPr>
            <w:tcW w:w="596" w:type="dxa"/>
            <w:tcBorders>
              <w:top w:val="nil"/>
              <w:left w:val="single" w:sz="4" w:space="0" w:color="auto"/>
              <w:bottom w:val="nil"/>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r w:rsidR="00492E39" w:rsidRPr="00492E39" w:rsidTr="00492E39">
        <w:trPr>
          <w:trHeight w:val="180"/>
        </w:trPr>
        <w:tc>
          <w:tcPr>
            <w:tcW w:w="7148" w:type="dxa"/>
            <w:tcBorders>
              <w:top w:val="nil"/>
              <w:left w:val="single" w:sz="4" w:space="0" w:color="auto"/>
              <w:bottom w:val="single" w:sz="4" w:space="0" w:color="auto"/>
              <w:right w:val="nil"/>
            </w:tcBorders>
            <w:shd w:val="clear" w:color="auto" w:fill="auto"/>
            <w:noWrap/>
            <w:vAlign w:val="center"/>
            <w:hideMark/>
          </w:tcPr>
          <w:p w:rsidR="00492E39" w:rsidRPr="00492E39" w:rsidRDefault="00492E39" w:rsidP="00492E39">
            <w:pPr>
              <w:rPr>
                <w:rFonts w:ascii="Lucida Bright" w:hAnsi="Lucida Bright" w:cs="Calibri"/>
                <w:sz w:val="14"/>
                <w:szCs w:val="14"/>
                <w:lang w:val="es-ES"/>
              </w:rPr>
            </w:pPr>
            <w:r w:rsidRPr="00492E39">
              <w:rPr>
                <w:rFonts w:ascii="Lucida Bright" w:hAnsi="Lucida Bright" w:cs="Calibri"/>
                <w:sz w:val="14"/>
                <w:szCs w:val="14"/>
                <w:lang w:val="es-ES"/>
              </w:rPr>
              <w:t xml:space="preserve">         Efectivo o equivalentes al final del ejercicio</w:t>
            </w:r>
          </w:p>
        </w:tc>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167.429.763,15  </w:t>
            </w:r>
          </w:p>
        </w:tc>
        <w:tc>
          <w:tcPr>
            <w:tcW w:w="1636" w:type="dxa"/>
            <w:tcBorders>
              <w:top w:val="nil"/>
              <w:left w:val="nil"/>
              <w:bottom w:val="single" w:sz="4" w:space="0" w:color="auto"/>
              <w:right w:val="single" w:sz="4" w:space="0" w:color="auto"/>
            </w:tcBorders>
            <w:shd w:val="clear" w:color="auto" w:fill="auto"/>
            <w:noWrap/>
            <w:vAlign w:val="center"/>
            <w:hideMark/>
          </w:tcPr>
          <w:p w:rsidR="00492E39" w:rsidRPr="00492E39" w:rsidRDefault="00492E39" w:rsidP="00492E39">
            <w:pPr>
              <w:jc w:val="right"/>
              <w:rPr>
                <w:rFonts w:ascii="Lucida Bright" w:hAnsi="Lucida Bright" w:cs="Calibri"/>
                <w:sz w:val="14"/>
                <w:szCs w:val="14"/>
                <w:lang w:val="es-ES"/>
              </w:rPr>
            </w:pPr>
            <w:r w:rsidRPr="00492E39">
              <w:rPr>
                <w:rFonts w:ascii="Lucida Bright" w:hAnsi="Lucida Bright" w:cs="Calibri"/>
                <w:sz w:val="14"/>
                <w:szCs w:val="14"/>
                <w:lang w:val="es-ES"/>
              </w:rPr>
              <w:t xml:space="preserve">138.944.143,58  </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492E39" w:rsidRPr="00492E39" w:rsidRDefault="00492E39" w:rsidP="00492E39">
            <w:pPr>
              <w:rPr>
                <w:rFonts w:ascii="Lucida Bright" w:hAnsi="Lucida Bright" w:cs="Calibri"/>
                <w:color w:val="000000"/>
                <w:sz w:val="14"/>
                <w:szCs w:val="14"/>
                <w:lang w:val="es-ES"/>
              </w:rPr>
            </w:pPr>
            <w:r w:rsidRPr="00492E39">
              <w:rPr>
                <w:rFonts w:ascii="Lucida Bright" w:hAnsi="Lucida Bright" w:cs="Calibri"/>
                <w:color w:val="000000"/>
                <w:sz w:val="14"/>
                <w:szCs w:val="14"/>
                <w:lang w:val="es-ES"/>
              </w:rPr>
              <w:t> </w:t>
            </w:r>
          </w:p>
        </w:tc>
      </w:tr>
    </w:tbl>
    <w:p w:rsidR="005E54C0" w:rsidRDefault="005E54C0" w:rsidP="00492E39">
      <w:pPr>
        <w:shd w:val="clear" w:color="auto" w:fill="FFFFFF"/>
        <w:ind w:right="330" w:hanging="284"/>
        <w:rPr>
          <w:rFonts w:ascii="Lucida Bright" w:eastAsia="Lucida Bright" w:hAnsi="Lucida Bright" w:cs="Lucida Bright"/>
          <w:b/>
          <w:bCs/>
          <w:color w:val="000000"/>
          <w:sz w:val="19"/>
          <w:highlight w:val="white"/>
        </w:rPr>
      </w:pPr>
    </w:p>
    <w:p w:rsidR="000A2AAF" w:rsidRDefault="000A2AAF" w:rsidP="00106204">
      <w:pPr>
        <w:shd w:val="clear" w:color="auto" w:fill="FFFFFF"/>
        <w:ind w:right="330"/>
        <w:rPr>
          <w:lang w:val="es-ES"/>
        </w:rPr>
      </w:pPr>
      <w:r>
        <w:rPr>
          <w:rFonts w:eastAsia="Lucida Bright"/>
          <w:highlight w:val="white"/>
        </w:rPr>
        <w:fldChar w:fldCharType="begin"/>
      </w:r>
      <w:r>
        <w:rPr>
          <w:rFonts w:eastAsia="Lucida Bright"/>
          <w:highlight w:val="white"/>
        </w:rPr>
        <w:instrText xml:space="preserve"> LINK </w:instrText>
      </w:r>
      <w:r w:rsidR="00D24A8A">
        <w:rPr>
          <w:rFonts w:eastAsia="Lucida Bright"/>
          <w:highlight w:val="white"/>
        </w:rPr>
        <w:instrText xml:space="preserve">Excel.Sheet.12 "C:\\Users\\rnavarro\\Desktop\\MARGA POMAR\\CUENTAS ANUALES 2021\\_02. ANUALES__c. Estado de Flujos de Efectivo (FY21, BALEARES).xlsx" "Table 2!F1C1:F48C3" </w:instrText>
      </w:r>
      <w:r>
        <w:rPr>
          <w:rFonts w:eastAsia="Lucida Bright"/>
          <w:highlight w:val="white"/>
        </w:rPr>
        <w:instrText xml:space="preserve">\a \f 4 \h  \* MERGEFORMAT </w:instrText>
      </w:r>
      <w:r>
        <w:rPr>
          <w:rFonts w:eastAsia="Lucida Bright"/>
          <w:highlight w:val="white"/>
        </w:rPr>
        <w:fldChar w:fldCharType="separate"/>
      </w:r>
    </w:p>
    <w:p w:rsidR="00EE5732" w:rsidRDefault="000A2AAF" w:rsidP="00842F38">
      <w:pPr>
        <w:shd w:val="clear" w:color="auto" w:fill="FFFFFF"/>
        <w:ind w:right="330"/>
        <w:rPr>
          <w:rFonts w:ascii="Lucida Bright" w:eastAsia="Lucida Bright" w:hAnsi="Lucida Bright" w:cs="Lucida Bright"/>
          <w:b/>
          <w:bCs/>
          <w:color w:val="000000"/>
          <w:sz w:val="19"/>
          <w:highlight w:val="white"/>
        </w:rPr>
      </w:pPr>
      <w:r>
        <w:rPr>
          <w:rFonts w:ascii="Lucida Bright" w:eastAsia="Lucida Bright" w:hAnsi="Lucida Bright" w:cs="Lucida Bright"/>
          <w:b/>
          <w:bCs/>
          <w:color w:val="000000"/>
          <w:sz w:val="19"/>
          <w:highlight w:val="white"/>
        </w:rPr>
        <w:fldChar w:fldCharType="end"/>
      </w:r>
    </w:p>
    <w:p w:rsidR="001C4AD5" w:rsidRDefault="001C4AD5" w:rsidP="00842F38">
      <w:pPr>
        <w:shd w:val="clear" w:color="auto" w:fill="FFFFFF"/>
        <w:ind w:right="330"/>
        <w:rPr>
          <w:rFonts w:ascii="Lucida Bright" w:eastAsia="Lucida Bright" w:hAnsi="Lucida Bright" w:cs="Lucida Bright"/>
          <w:b/>
          <w:bCs/>
          <w:color w:val="000000"/>
          <w:sz w:val="19"/>
          <w:highlight w:val="white"/>
        </w:rPr>
      </w:pPr>
    </w:p>
    <w:p w:rsidR="001C4AD5" w:rsidRDefault="001C4AD5" w:rsidP="00842F38">
      <w:pPr>
        <w:shd w:val="clear" w:color="auto" w:fill="FFFFFF"/>
        <w:ind w:right="330"/>
        <w:rPr>
          <w:rFonts w:ascii="Lucida Bright" w:eastAsia="Lucida Bright" w:hAnsi="Lucida Bright" w:cs="Lucida Bright"/>
          <w:b/>
          <w:bCs/>
          <w:color w:val="000000"/>
          <w:sz w:val="19"/>
          <w:highlight w:val="white"/>
        </w:rPr>
      </w:pPr>
    </w:p>
    <w:p w:rsidR="001C4AD5" w:rsidRDefault="001C4AD5" w:rsidP="00842F38">
      <w:pPr>
        <w:shd w:val="clear" w:color="auto" w:fill="FFFFFF"/>
        <w:ind w:right="330"/>
        <w:rPr>
          <w:rFonts w:ascii="Lucida Bright" w:eastAsia="Lucida Bright" w:hAnsi="Lucida Bright" w:cs="Lucida Bright"/>
          <w:b/>
          <w:bCs/>
          <w:color w:val="000000"/>
          <w:sz w:val="19"/>
          <w:highlight w:val="white"/>
        </w:rPr>
      </w:pPr>
    </w:p>
    <w:p w:rsidR="001C4AD5" w:rsidRDefault="001C4AD5" w:rsidP="00842F38">
      <w:pPr>
        <w:shd w:val="clear" w:color="auto" w:fill="FFFFFF"/>
        <w:ind w:right="330"/>
        <w:rPr>
          <w:rFonts w:ascii="Lucida Bright" w:eastAsia="Lucida Bright" w:hAnsi="Lucida Bright" w:cs="Lucida Bright"/>
          <w:b/>
          <w:bCs/>
          <w:color w:val="000000"/>
          <w:sz w:val="19"/>
          <w:highlight w:val="white"/>
        </w:rPr>
      </w:pPr>
    </w:p>
    <w:p w:rsidR="001C4AD5" w:rsidRDefault="001C4AD5" w:rsidP="00842F38">
      <w:pPr>
        <w:shd w:val="clear" w:color="auto" w:fill="FFFFFF"/>
        <w:ind w:right="330"/>
        <w:rPr>
          <w:rFonts w:ascii="Lucida Bright" w:eastAsia="Lucida Bright" w:hAnsi="Lucida Bright" w:cs="Lucida Bright"/>
          <w:b/>
          <w:bCs/>
          <w:color w:val="000000"/>
          <w:sz w:val="19"/>
          <w:highlight w:val="white"/>
        </w:rPr>
      </w:pPr>
    </w:p>
    <w:p w:rsidR="00052B62" w:rsidRDefault="00052B62" w:rsidP="00E13AD1">
      <w:pPr>
        <w:rPr>
          <w:b/>
          <w:bCs/>
          <w:sz w:val="22"/>
          <w:szCs w:val="22"/>
        </w:rPr>
      </w:pPr>
    </w:p>
    <w:p w:rsidR="00052B62" w:rsidRDefault="00052B62" w:rsidP="00E13AD1">
      <w:pPr>
        <w:rPr>
          <w:b/>
          <w:bCs/>
          <w:sz w:val="22"/>
          <w:szCs w:val="22"/>
        </w:rPr>
      </w:pPr>
    </w:p>
    <w:p w:rsidR="00052B62" w:rsidRDefault="00052B62" w:rsidP="00E13AD1">
      <w:pPr>
        <w:rPr>
          <w:b/>
          <w:bCs/>
          <w:sz w:val="22"/>
          <w:szCs w:val="22"/>
        </w:rPr>
      </w:pPr>
    </w:p>
    <w:p w:rsidR="00052B62" w:rsidRDefault="00052B62" w:rsidP="00E13AD1">
      <w:pPr>
        <w:rPr>
          <w:b/>
          <w:bCs/>
          <w:sz w:val="22"/>
          <w:szCs w:val="22"/>
        </w:rPr>
      </w:pPr>
    </w:p>
    <w:p w:rsidR="00052B62" w:rsidRDefault="00052B62" w:rsidP="00E13AD1">
      <w:pPr>
        <w:rPr>
          <w:b/>
          <w:bCs/>
          <w:sz w:val="22"/>
          <w:szCs w:val="22"/>
        </w:rPr>
      </w:pPr>
    </w:p>
    <w:p w:rsidR="00052B62" w:rsidRDefault="00052B62" w:rsidP="00E13AD1">
      <w:pPr>
        <w:rPr>
          <w:b/>
          <w:bCs/>
          <w:sz w:val="22"/>
          <w:szCs w:val="22"/>
        </w:rPr>
      </w:pPr>
    </w:p>
    <w:p w:rsidR="00052B62" w:rsidRDefault="00052B62" w:rsidP="00E13AD1">
      <w:pPr>
        <w:rPr>
          <w:b/>
          <w:bCs/>
          <w:sz w:val="22"/>
          <w:szCs w:val="22"/>
        </w:rPr>
      </w:pPr>
    </w:p>
    <w:p w:rsidR="00052B62" w:rsidRDefault="00052B62" w:rsidP="00E13AD1">
      <w:pPr>
        <w:rPr>
          <w:b/>
          <w:bCs/>
          <w:sz w:val="22"/>
          <w:szCs w:val="22"/>
        </w:rPr>
      </w:pPr>
    </w:p>
    <w:p w:rsidR="00052B62" w:rsidRDefault="00052B62" w:rsidP="00E13AD1">
      <w:pPr>
        <w:rPr>
          <w:b/>
          <w:bCs/>
          <w:sz w:val="22"/>
          <w:szCs w:val="22"/>
        </w:rPr>
      </w:pPr>
    </w:p>
    <w:p w:rsidR="00052B62" w:rsidRDefault="00052B62" w:rsidP="00E13AD1">
      <w:pPr>
        <w:rPr>
          <w:b/>
          <w:bCs/>
          <w:sz w:val="22"/>
          <w:szCs w:val="22"/>
        </w:rPr>
      </w:pPr>
    </w:p>
    <w:p w:rsidR="00052B62" w:rsidRDefault="00052B62" w:rsidP="00E13AD1">
      <w:pPr>
        <w:rPr>
          <w:b/>
          <w:bCs/>
          <w:sz w:val="22"/>
          <w:szCs w:val="22"/>
        </w:rPr>
      </w:pPr>
    </w:p>
    <w:p w:rsidR="001C4AD5" w:rsidRDefault="001C4AD5" w:rsidP="00DD4D9A">
      <w:pPr>
        <w:pStyle w:val="ListParagraph1"/>
        <w:ind w:left="0"/>
        <w:jc w:val="center"/>
        <w:rPr>
          <w:b/>
          <w:sz w:val="52"/>
          <w:szCs w:val="52"/>
        </w:rPr>
      </w:pPr>
    </w:p>
    <w:p w:rsidR="001C4AD5" w:rsidRDefault="001C4AD5" w:rsidP="00DD4D9A">
      <w:pPr>
        <w:pStyle w:val="ListParagraph1"/>
        <w:ind w:left="0"/>
        <w:jc w:val="center"/>
        <w:rPr>
          <w:b/>
          <w:sz w:val="52"/>
          <w:szCs w:val="52"/>
        </w:rPr>
      </w:pPr>
    </w:p>
    <w:p w:rsidR="001C4AD5" w:rsidRDefault="001C4AD5" w:rsidP="00DD4D9A">
      <w:pPr>
        <w:pStyle w:val="ListParagraph1"/>
        <w:ind w:left="0"/>
        <w:jc w:val="center"/>
        <w:rPr>
          <w:b/>
          <w:sz w:val="52"/>
          <w:szCs w:val="52"/>
        </w:rPr>
      </w:pPr>
    </w:p>
    <w:p w:rsidR="00240624" w:rsidRPr="00240624" w:rsidRDefault="00240624" w:rsidP="00240624">
      <w:pPr>
        <w:pStyle w:val="ListParagraph1"/>
        <w:ind w:left="0"/>
        <w:jc w:val="center"/>
        <w:rPr>
          <w:rStyle w:val="Textoennegrita"/>
          <w:rFonts w:ascii="Frutiger" w:hAnsi="Frutiger"/>
          <w:sz w:val="52"/>
          <w:szCs w:val="52"/>
        </w:rPr>
      </w:pPr>
      <w:r w:rsidRPr="00240624">
        <w:rPr>
          <w:rFonts w:ascii="Frutiger" w:hAnsi="Frutiger"/>
          <w:b/>
          <w:sz w:val="52"/>
          <w:szCs w:val="52"/>
        </w:rPr>
        <w:t xml:space="preserve">MEMORIA </w:t>
      </w:r>
    </w:p>
    <w:p w:rsidR="001C4AD5" w:rsidRDefault="001C4AD5" w:rsidP="00DD4D9A">
      <w:pPr>
        <w:pStyle w:val="ListParagraph1"/>
        <w:ind w:left="0"/>
        <w:jc w:val="center"/>
        <w:rPr>
          <w:b/>
          <w:sz w:val="52"/>
          <w:szCs w:val="52"/>
        </w:rPr>
      </w:pPr>
    </w:p>
    <w:p w:rsidR="00204019" w:rsidRDefault="00204019" w:rsidP="00DD4D9A">
      <w:pPr>
        <w:pStyle w:val="ListParagraph1"/>
        <w:ind w:left="0"/>
        <w:jc w:val="center"/>
        <w:rPr>
          <w:b/>
          <w:sz w:val="52"/>
          <w:szCs w:val="52"/>
        </w:rPr>
      </w:pPr>
    </w:p>
    <w:p w:rsidR="00204019" w:rsidRDefault="00204019" w:rsidP="00DD4D9A">
      <w:pPr>
        <w:pStyle w:val="ListParagraph1"/>
        <w:ind w:left="0"/>
        <w:jc w:val="center"/>
        <w:rPr>
          <w:b/>
          <w:sz w:val="52"/>
          <w:szCs w:val="52"/>
        </w:rPr>
      </w:pPr>
    </w:p>
    <w:p w:rsidR="001C4AD5" w:rsidRDefault="001C4AD5" w:rsidP="00DD4D9A">
      <w:pPr>
        <w:pStyle w:val="ListParagraph1"/>
        <w:ind w:left="0"/>
        <w:jc w:val="center"/>
        <w:rPr>
          <w:b/>
          <w:sz w:val="52"/>
          <w:szCs w:val="52"/>
        </w:rPr>
      </w:pPr>
    </w:p>
    <w:p w:rsidR="00DD4D9A" w:rsidRDefault="00DD4D9A" w:rsidP="00DD4D9A">
      <w:pPr>
        <w:pStyle w:val="ListParagraph1"/>
        <w:ind w:left="0"/>
        <w:jc w:val="center"/>
        <w:rPr>
          <w:b/>
          <w:sz w:val="52"/>
          <w:szCs w:val="52"/>
        </w:rPr>
      </w:pPr>
    </w:p>
    <w:p w:rsidR="002C4355" w:rsidRPr="006434D6" w:rsidRDefault="003B33B5" w:rsidP="008D4ADA">
      <w:pPr>
        <w:pStyle w:val="ListParagraph1"/>
        <w:ind w:left="0"/>
        <w:rPr>
          <w:rFonts w:ascii="NewBaskerville" w:hAnsi="NewBaskerville"/>
          <w:b/>
          <w:sz w:val="24"/>
          <w:szCs w:val="24"/>
        </w:rPr>
      </w:pPr>
      <w:r>
        <w:rPr>
          <w:b/>
          <w:sz w:val="52"/>
          <w:szCs w:val="52"/>
        </w:rPr>
        <w:br w:type="page"/>
      </w:r>
      <w:r w:rsidR="00385F74" w:rsidRPr="006434D6">
        <w:rPr>
          <w:rFonts w:ascii="NewBaskerville" w:hAnsi="NewBaskerville"/>
          <w:b/>
          <w:bCs/>
          <w:sz w:val="24"/>
          <w:szCs w:val="24"/>
        </w:rPr>
        <w:lastRenderedPageBreak/>
        <w:t xml:space="preserve">1. </w:t>
      </w:r>
      <w:r w:rsidR="002C4355" w:rsidRPr="006434D6">
        <w:rPr>
          <w:rFonts w:ascii="NewBaskerville" w:hAnsi="NewBaskerville"/>
          <w:b/>
          <w:bCs/>
          <w:sz w:val="24"/>
          <w:szCs w:val="24"/>
        </w:rPr>
        <w:t>Actividad de la entidad</w:t>
      </w:r>
    </w:p>
    <w:p w:rsidR="002C4355" w:rsidRPr="00D31592" w:rsidRDefault="002C4355">
      <w:pPr>
        <w:jc w:val="both"/>
        <w:rPr>
          <w:b/>
        </w:rPr>
      </w:pPr>
    </w:p>
    <w:p w:rsidR="002C4355" w:rsidRPr="006434D6" w:rsidRDefault="00441BF1" w:rsidP="006434D6">
      <w:pPr>
        <w:ind w:firstLine="567"/>
        <w:jc w:val="both"/>
        <w:rPr>
          <w:rFonts w:ascii="NewBaskerville" w:hAnsi="NewBaskerville"/>
        </w:rPr>
      </w:pPr>
      <w:r w:rsidRPr="006434D6">
        <w:rPr>
          <w:rFonts w:ascii="NewBaskerville" w:hAnsi="NewBaskerville"/>
        </w:rPr>
        <w:t>La Autoridad</w:t>
      </w:r>
      <w:r w:rsidR="00E104CB" w:rsidRPr="006434D6">
        <w:rPr>
          <w:rFonts w:ascii="NewBaskerville" w:hAnsi="NewBaskerville"/>
        </w:rPr>
        <w:t xml:space="preserve"> Portuaria</w:t>
      </w:r>
      <w:r w:rsidRPr="006434D6">
        <w:rPr>
          <w:rFonts w:ascii="NewBaskerville" w:hAnsi="NewBaskerville"/>
        </w:rPr>
        <w:t xml:space="preserve"> de Baleares</w:t>
      </w:r>
      <w:r w:rsidR="00E36D30">
        <w:rPr>
          <w:rFonts w:ascii="NewBaskerville" w:hAnsi="NewBaskerville"/>
        </w:rPr>
        <w:t xml:space="preserve"> (en adelante</w:t>
      </w:r>
      <w:r w:rsidR="005E2AA8">
        <w:rPr>
          <w:rFonts w:ascii="NewBaskerville" w:hAnsi="NewBaskerville"/>
        </w:rPr>
        <w:t xml:space="preserve"> la Autoridad Portuaria, la</w:t>
      </w:r>
      <w:r w:rsidR="00E36D30">
        <w:rPr>
          <w:rFonts w:ascii="NewBaskerville" w:hAnsi="NewBaskerville"/>
        </w:rPr>
        <w:t xml:space="preserve"> APB o la Entidad)</w:t>
      </w:r>
      <w:r w:rsidRPr="006434D6">
        <w:rPr>
          <w:rFonts w:ascii="NewBaskerville" w:hAnsi="NewBaskerville"/>
        </w:rPr>
        <w:t xml:space="preserve"> es un organismo</w:t>
      </w:r>
      <w:r w:rsidR="00E104CB" w:rsidRPr="006434D6">
        <w:rPr>
          <w:rFonts w:ascii="NewBaskerville" w:hAnsi="NewBaskerville"/>
        </w:rPr>
        <w:t xml:space="preserve"> público</w:t>
      </w:r>
      <w:r w:rsidRPr="006434D6">
        <w:rPr>
          <w:rFonts w:ascii="NewBaskerville" w:hAnsi="NewBaskerville"/>
        </w:rPr>
        <w:t xml:space="preserve"> de los previstos en la letra i) del apartado 2</w:t>
      </w:r>
      <w:r w:rsidR="00E104CB" w:rsidRPr="006434D6">
        <w:rPr>
          <w:rFonts w:ascii="NewBaskerville" w:hAnsi="NewBaskerville"/>
        </w:rPr>
        <w:t xml:space="preserve"> del artículo 2 de la Ley General Presupuestaria, con personalidad jurídica y patrimonio propios, así como plena capacidad de obrar; de</w:t>
      </w:r>
      <w:r w:rsidRPr="006434D6">
        <w:rPr>
          <w:rFonts w:ascii="NewBaskerville" w:hAnsi="NewBaskerville"/>
        </w:rPr>
        <w:t>pende del Ministerio de Transportes</w:t>
      </w:r>
      <w:r w:rsidR="0018037A">
        <w:rPr>
          <w:rFonts w:ascii="NewBaskerville" w:hAnsi="NewBaskerville"/>
        </w:rPr>
        <w:t xml:space="preserve"> y</w:t>
      </w:r>
      <w:r w:rsidRPr="006434D6">
        <w:rPr>
          <w:rFonts w:ascii="NewBaskerville" w:hAnsi="NewBaskerville"/>
        </w:rPr>
        <w:t xml:space="preserve"> Movilidad</w:t>
      </w:r>
      <w:r w:rsidR="0018037A">
        <w:rPr>
          <w:rFonts w:ascii="NewBaskerville" w:hAnsi="NewBaskerville"/>
        </w:rPr>
        <w:t xml:space="preserve"> Sostenible</w:t>
      </w:r>
      <w:r w:rsidR="00E104CB" w:rsidRPr="006434D6">
        <w:rPr>
          <w:rFonts w:ascii="NewBaskerville" w:hAnsi="NewBaskerville"/>
        </w:rPr>
        <w:t xml:space="preserve"> a través d</w:t>
      </w:r>
      <w:r w:rsidR="00B237A6" w:rsidRPr="006434D6">
        <w:rPr>
          <w:rFonts w:ascii="NewBaskerville" w:hAnsi="NewBaskerville"/>
        </w:rPr>
        <w:t>e Puertos del Estado; y se rige</w:t>
      </w:r>
      <w:r w:rsidR="00E104CB" w:rsidRPr="006434D6">
        <w:rPr>
          <w:rFonts w:ascii="NewBaskerville" w:hAnsi="NewBaskerville"/>
        </w:rPr>
        <w:t xml:space="preserve"> por su legislación específica, por las disposiciones de la Ley General Presupuestaria que les sea de aplicación y, supletoriamente, por la Ley 40/2015, de 1 de octubre, de Régimen Jurídico del Sector Público</w:t>
      </w:r>
      <w:r w:rsidR="005E2AA8">
        <w:rPr>
          <w:rFonts w:ascii="NewBaskerville" w:hAnsi="NewBaskerville"/>
        </w:rPr>
        <w:t xml:space="preserve"> </w:t>
      </w:r>
      <w:r w:rsidR="00094725" w:rsidRPr="006434D6">
        <w:rPr>
          <w:rFonts w:ascii="NewBaskerville" w:hAnsi="NewBaskerville"/>
        </w:rPr>
        <w:t>y por la Ley 39/2015, de 1 de octubre del Procedimiento Administrativo Común de las Administraciones Públicas</w:t>
      </w:r>
      <w:r w:rsidR="00E104CB" w:rsidRPr="006434D6">
        <w:rPr>
          <w:rFonts w:ascii="NewBaskerville" w:hAnsi="NewBaskerville"/>
        </w:rPr>
        <w:t>.</w:t>
      </w:r>
    </w:p>
    <w:p w:rsidR="002C4355" w:rsidRPr="006434D6" w:rsidRDefault="002C4355" w:rsidP="006434D6">
      <w:pPr>
        <w:ind w:firstLine="568"/>
        <w:jc w:val="both"/>
        <w:rPr>
          <w:rFonts w:ascii="NewBaskerville" w:hAnsi="NewBaskerville"/>
        </w:rPr>
      </w:pPr>
    </w:p>
    <w:p w:rsidR="002C4355" w:rsidRPr="006434D6" w:rsidRDefault="002C4355" w:rsidP="006434D6">
      <w:pPr>
        <w:ind w:firstLine="568"/>
        <w:jc w:val="both"/>
        <w:rPr>
          <w:rFonts w:ascii="NewBaskerville" w:hAnsi="NewBaskerville"/>
        </w:rPr>
      </w:pPr>
      <w:r w:rsidRPr="006434D6">
        <w:rPr>
          <w:rFonts w:ascii="NewBaskerville" w:hAnsi="NewBaskerville"/>
        </w:rPr>
        <w:t>Desarrolla las funciones que</w:t>
      </w:r>
      <w:r w:rsidR="00441BF1" w:rsidRPr="006434D6">
        <w:rPr>
          <w:rFonts w:ascii="NewBaskerville" w:hAnsi="NewBaskerville"/>
        </w:rPr>
        <w:t xml:space="preserve"> </w:t>
      </w:r>
      <w:r w:rsidR="00B237A6" w:rsidRPr="006434D6">
        <w:rPr>
          <w:rFonts w:ascii="NewBaskerville" w:hAnsi="NewBaskerville"/>
        </w:rPr>
        <w:t xml:space="preserve">le asigna </w:t>
      </w:r>
      <w:r w:rsidR="00441BF1" w:rsidRPr="006434D6">
        <w:rPr>
          <w:rFonts w:ascii="NewBaskerville" w:hAnsi="NewBaskerville"/>
        </w:rPr>
        <w:t>el Texto Refu</w:t>
      </w:r>
      <w:r w:rsidR="00557CEE" w:rsidRPr="006434D6">
        <w:rPr>
          <w:rFonts w:ascii="NewBaskerville" w:hAnsi="NewBaskerville"/>
        </w:rPr>
        <w:t>ndido de la Ley de Puertos del E</w:t>
      </w:r>
      <w:r w:rsidR="00B237A6" w:rsidRPr="006434D6">
        <w:rPr>
          <w:rFonts w:ascii="NewBaskerville" w:hAnsi="NewBaskerville"/>
        </w:rPr>
        <w:t>stado y de la Marina Mercante (en adelante TRLPEMM)</w:t>
      </w:r>
      <w:r w:rsidR="00441BF1" w:rsidRPr="006434D6">
        <w:rPr>
          <w:rFonts w:ascii="NewBaskerville" w:hAnsi="NewBaskerville"/>
        </w:rPr>
        <w:t xml:space="preserve"> aprobado por el Real Decreto Legislativo</w:t>
      </w:r>
      <w:r w:rsidR="0024168D" w:rsidRPr="006434D6">
        <w:rPr>
          <w:rFonts w:ascii="NewBaskerville" w:hAnsi="NewBaskerville"/>
        </w:rPr>
        <w:t xml:space="preserve"> 2/2011, de 5 de setiembre, </w:t>
      </w:r>
      <w:r w:rsidRPr="006434D6">
        <w:rPr>
          <w:rFonts w:ascii="NewBaskerville" w:hAnsi="NewBaskerville"/>
        </w:rPr>
        <w:t>bajo el principio general de autonomía funcional y de gestión.</w:t>
      </w:r>
    </w:p>
    <w:p w:rsidR="002C4355" w:rsidRPr="006434D6" w:rsidRDefault="002C4355" w:rsidP="006434D6">
      <w:pPr>
        <w:ind w:firstLine="568"/>
        <w:jc w:val="both"/>
        <w:rPr>
          <w:rFonts w:ascii="NewBaskerville" w:hAnsi="NewBaskerville"/>
        </w:rPr>
      </w:pPr>
    </w:p>
    <w:p w:rsidR="002C4355" w:rsidRPr="006434D6" w:rsidRDefault="002C4355" w:rsidP="006434D6">
      <w:pPr>
        <w:ind w:firstLine="568"/>
        <w:jc w:val="both"/>
        <w:rPr>
          <w:rFonts w:ascii="NewBaskerville" w:hAnsi="NewBaskerville"/>
        </w:rPr>
      </w:pPr>
      <w:r w:rsidRPr="006434D6">
        <w:rPr>
          <w:rFonts w:ascii="NewBaskerville" w:hAnsi="NewBaskerville"/>
        </w:rPr>
        <w:t xml:space="preserve">La Autoridad Portuaria tiene </w:t>
      </w:r>
      <w:r w:rsidR="00933882">
        <w:rPr>
          <w:rFonts w:ascii="NewBaskerville" w:hAnsi="NewBaskerville"/>
        </w:rPr>
        <w:t>las siguientes competencias</w:t>
      </w:r>
      <w:r w:rsidRPr="006434D6">
        <w:rPr>
          <w:rFonts w:ascii="NewBaskerville" w:hAnsi="NewBaskerville"/>
        </w:rPr>
        <w:t>:</w:t>
      </w:r>
    </w:p>
    <w:p w:rsidR="002C4355" w:rsidRPr="006434D6" w:rsidRDefault="006C4F76" w:rsidP="006434D6">
      <w:pPr>
        <w:numPr>
          <w:ilvl w:val="0"/>
          <w:numId w:val="1"/>
        </w:numPr>
        <w:ind w:left="851" w:hanging="284"/>
        <w:jc w:val="both"/>
        <w:rPr>
          <w:rFonts w:ascii="NewBaskerville" w:hAnsi="NewBaskerville"/>
        </w:rPr>
      </w:pPr>
      <w:r>
        <w:rPr>
          <w:rFonts w:ascii="NewBaskerville" w:hAnsi="NewBaskerville"/>
        </w:rPr>
        <w:t>La prestación de los servicios generales, así como la gestión y control de los servicios portuarios para lograr que se desarrollen en condiciones óptimas de eficacia, economía, productividad y seguridad, sin perjuicio de la competencia de otros organismos.</w:t>
      </w:r>
    </w:p>
    <w:p w:rsidR="002C4355" w:rsidRPr="006434D6" w:rsidRDefault="002C4355" w:rsidP="006434D6">
      <w:pPr>
        <w:numPr>
          <w:ilvl w:val="0"/>
          <w:numId w:val="1"/>
        </w:numPr>
        <w:ind w:left="851" w:hanging="284"/>
        <w:jc w:val="both"/>
        <w:rPr>
          <w:rFonts w:ascii="NewBaskerville" w:hAnsi="NewBaskerville"/>
        </w:rPr>
      </w:pPr>
      <w:r w:rsidRPr="006434D6">
        <w:rPr>
          <w:rFonts w:ascii="NewBaskerville" w:hAnsi="NewBaskerville"/>
        </w:rPr>
        <w:t xml:space="preserve">La ordenación de la zona de servicio del puerto y de los usos portuarios, en coordinación con las Administraciones </w:t>
      </w:r>
      <w:r w:rsidR="003F24D6" w:rsidRPr="006434D6">
        <w:rPr>
          <w:rFonts w:ascii="NewBaskerville" w:hAnsi="NewBaskerville"/>
        </w:rPr>
        <w:t>competentes</w:t>
      </w:r>
      <w:r w:rsidR="003F24D6">
        <w:rPr>
          <w:rFonts w:ascii="NewBaskerville" w:hAnsi="NewBaskerville"/>
        </w:rPr>
        <w:t xml:space="preserve"> en</w:t>
      </w:r>
      <w:r w:rsidR="001807BF">
        <w:rPr>
          <w:rFonts w:ascii="NewBaskerville" w:hAnsi="NewBaskerville"/>
        </w:rPr>
        <w:t xml:space="preserve"> materia de ordenación de</w:t>
      </w:r>
      <w:r w:rsidR="00CA0A4C">
        <w:rPr>
          <w:rFonts w:ascii="NewBaskerville" w:hAnsi="NewBaskerville"/>
        </w:rPr>
        <w:t>l</w:t>
      </w:r>
      <w:r w:rsidR="001807BF">
        <w:rPr>
          <w:rFonts w:ascii="NewBaskerville" w:hAnsi="NewBaskerville"/>
        </w:rPr>
        <w:t xml:space="preserve"> territorio y urbanismo</w:t>
      </w:r>
      <w:r w:rsidRPr="006434D6">
        <w:rPr>
          <w:rFonts w:ascii="NewBaskerville" w:hAnsi="NewBaskerville"/>
        </w:rPr>
        <w:t>.</w:t>
      </w:r>
    </w:p>
    <w:p w:rsidR="002C4355" w:rsidRPr="006434D6" w:rsidRDefault="002C4355" w:rsidP="006434D6">
      <w:pPr>
        <w:numPr>
          <w:ilvl w:val="0"/>
          <w:numId w:val="1"/>
        </w:numPr>
        <w:ind w:left="851" w:hanging="284"/>
        <w:jc w:val="both"/>
        <w:rPr>
          <w:rFonts w:ascii="NewBaskerville" w:hAnsi="NewBaskerville"/>
        </w:rPr>
      </w:pPr>
      <w:r w:rsidRPr="006434D6">
        <w:rPr>
          <w:rFonts w:ascii="NewBaskerville" w:hAnsi="NewBaskerville"/>
        </w:rPr>
        <w:t xml:space="preserve">La planificación, proyecto, construcción, conservación y explotación de las obras y servicios del puerto y de las </w:t>
      </w:r>
      <w:r w:rsidR="00072E45" w:rsidRPr="006434D6">
        <w:rPr>
          <w:rFonts w:ascii="NewBaskerville" w:hAnsi="NewBaskerville"/>
        </w:rPr>
        <w:t>s</w:t>
      </w:r>
      <w:r w:rsidRPr="006434D6">
        <w:rPr>
          <w:rFonts w:ascii="NewBaskerville" w:hAnsi="NewBaskerville"/>
        </w:rPr>
        <w:t xml:space="preserve">eñales </w:t>
      </w:r>
      <w:r w:rsidR="00072E45" w:rsidRPr="006434D6">
        <w:rPr>
          <w:rFonts w:ascii="NewBaskerville" w:hAnsi="NewBaskerville"/>
        </w:rPr>
        <w:t>m</w:t>
      </w:r>
      <w:r w:rsidRPr="006434D6">
        <w:rPr>
          <w:rFonts w:ascii="NewBaskerville" w:hAnsi="NewBaskerville"/>
        </w:rPr>
        <w:t>a</w:t>
      </w:r>
      <w:r w:rsidR="00CA0A4C">
        <w:rPr>
          <w:rFonts w:ascii="NewBaskerville" w:hAnsi="NewBaskerville"/>
        </w:rPr>
        <w:t>rítimas que tenga encomendadas, con sujeción a lo establecido en el TRLPEMM.</w:t>
      </w:r>
    </w:p>
    <w:p w:rsidR="002C4355" w:rsidRPr="006434D6" w:rsidRDefault="002C4355" w:rsidP="006434D6">
      <w:pPr>
        <w:numPr>
          <w:ilvl w:val="0"/>
          <w:numId w:val="1"/>
        </w:numPr>
        <w:ind w:left="851" w:hanging="284"/>
        <w:jc w:val="both"/>
        <w:rPr>
          <w:rFonts w:ascii="NewBaskerville" w:hAnsi="NewBaskerville"/>
        </w:rPr>
      </w:pPr>
      <w:r w:rsidRPr="006434D6">
        <w:rPr>
          <w:rFonts w:ascii="NewBaskerville" w:hAnsi="NewBaskerville"/>
        </w:rPr>
        <w:t xml:space="preserve">La gestión del dominio público portuario y </w:t>
      </w:r>
      <w:r w:rsidR="00CA0A4C">
        <w:rPr>
          <w:rFonts w:ascii="NewBaskerville" w:hAnsi="NewBaskerville"/>
        </w:rPr>
        <w:t>de señales marítimas que le sea</w:t>
      </w:r>
      <w:r w:rsidRPr="006434D6">
        <w:rPr>
          <w:rFonts w:ascii="NewBaskerville" w:hAnsi="NewBaskerville"/>
        </w:rPr>
        <w:t xml:space="preserve"> adscrit</w:t>
      </w:r>
      <w:r w:rsidR="00CA0A4C">
        <w:rPr>
          <w:rFonts w:ascii="NewBaskerville" w:hAnsi="NewBaskerville"/>
        </w:rPr>
        <w:t>o</w:t>
      </w:r>
      <w:r w:rsidRPr="006434D6">
        <w:rPr>
          <w:rFonts w:ascii="NewBaskerville" w:hAnsi="NewBaskerville"/>
        </w:rPr>
        <w:t>.</w:t>
      </w:r>
    </w:p>
    <w:p w:rsidR="002C4355" w:rsidRPr="006434D6" w:rsidRDefault="002C4355" w:rsidP="006434D6">
      <w:pPr>
        <w:numPr>
          <w:ilvl w:val="0"/>
          <w:numId w:val="1"/>
        </w:numPr>
        <w:ind w:left="851" w:hanging="284"/>
        <w:jc w:val="both"/>
        <w:rPr>
          <w:rFonts w:ascii="NewBaskerville" w:hAnsi="NewBaskerville"/>
        </w:rPr>
      </w:pPr>
      <w:r w:rsidRPr="006434D6">
        <w:rPr>
          <w:rFonts w:ascii="NewBaskerville" w:hAnsi="NewBaskerville"/>
        </w:rPr>
        <w:t>La optimización de la gestión económica y la rentabilización del patrimonio y de los recursos que tenga asignados.</w:t>
      </w:r>
    </w:p>
    <w:p w:rsidR="002C4355" w:rsidRPr="006434D6" w:rsidRDefault="002C4355" w:rsidP="006434D6">
      <w:pPr>
        <w:numPr>
          <w:ilvl w:val="0"/>
          <w:numId w:val="1"/>
        </w:numPr>
        <w:ind w:left="851" w:hanging="284"/>
        <w:jc w:val="both"/>
        <w:rPr>
          <w:rFonts w:ascii="NewBaskerville" w:hAnsi="NewBaskerville"/>
        </w:rPr>
      </w:pPr>
      <w:r w:rsidRPr="006434D6">
        <w:rPr>
          <w:rFonts w:ascii="NewBaskerville" w:hAnsi="NewBaskerville"/>
        </w:rPr>
        <w:t>El fomento de las actividades industriales y comerciales relacionadas con el tráfico marítimo o portuario.</w:t>
      </w:r>
    </w:p>
    <w:p w:rsidR="002C4355" w:rsidRDefault="002C4355" w:rsidP="006434D6">
      <w:pPr>
        <w:numPr>
          <w:ilvl w:val="0"/>
          <w:numId w:val="1"/>
        </w:numPr>
        <w:ind w:left="851" w:hanging="284"/>
        <w:jc w:val="both"/>
        <w:rPr>
          <w:rFonts w:ascii="NewBaskerville" w:hAnsi="NewBaskerville"/>
        </w:rPr>
      </w:pPr>
      <w:r w:rsidRPr="006434D6">
        <w:rPr>
          <w:rFonts w:ascii="NewBaskerville" w:hAnsi="NewBaskerville"/>
        </w:rPr>
        <w:t>La coordinación de las operaciones de los distintos modos de transporte en el espacio portuario.</w:t>
      </w:r>
    </w:p>
    <w:p w:rsidR="006C4F76" w:rsidRPr="006434D6" w:rsidRDefault="006C4F76" w:rsidP="006434D6">
      <w:pPr>
        <w:numPr>
          <w:ilvl w:val="0"/>
          <w:numId w:val="1"/>
        </w:numPr>
        <w:ind w:left="851" w:hanging="284"/>
        <w:jc w:val="both"/>
        <w:rPr>
          <w:rFonts w:ascii="NewBaskerville" w:hAnsi="NewBaskerville"/>
        </w:rPr>
      </w:pPr>
      <w:r>
        <w:rPr>
          <w:rFonts w:ascii="NewBaskerville" w:hAnsi="NewBaskerville"/>
        </w:rPr>
        <w:t>La ordenación y coordinación del tráfico portuario, tanto marítimo como terrestre.</w:t>
      </w:r>
    </w:p>
    <w:p w:rsidR="00385F74" w:rsidRPr="006434D6" w:rsidRDefault="00385F74" w:rsidP="006434D6">
      <w:pPr>
        <w:ind w:firstLine="567"/>
        <w:jc w:val="both"/>
        <w:rPr>
          <w:rFonts w:ascii="NewBaskerville" w:hAnsi="NewBaskerville"/>
        </w:rPr>
      </w:pPr>
    </w:p>
    <w:p w:rsidR="002C4355" w:rsidRPr="006434D6" w:rsidRDefault="002C4355" w:rsidP="006434D6">
      <w:pPr>
        <w:ind w:firstLine="567"/>
        <w:jc w:val="both"/>
        <w:rPr>
          <w:rFonts w:ascii="NewBaskerville" w:hAnsi="NewBaskerville"/>
        </w:rPr>
      </w:pPr>
      <w:r w:rsidRPr="006434D6">
        <w:rPr>
          <w:rFonts w:ascii="NewBaskerville" w:hAnsi="NewBaskerville"/>
        </w:rPr>
        <w:t xml:space="preserve">La Autoridad Portuaria está regida por un Consejo de Administración cuyas competencias y composición están establecidas en el artículo </w:t>
      </w:r>
      <w:r w:rsidR="00B237A6" w:rsidRPr="006434D6">
        <w:rPr>
          <w:rFonts w:ascii="NewBaskerville" w:hAnsi="NewBaskerville"/>
        </w:rPr>
        <w:t>30 del T</w:t>
      </w:r>
      <w:r w:rsidR="00DF4480" w:rsidRPr="006434D6">
        <w:rPr>
          <w:rFonts w:ascii="NewBaskerville" w:hAnsi="NewBaskerville"/>
        </w:rPr>
        <w:t>R</w:t>
      </w:r>
      <w:r w:rsidR="0052117A" w:rsidRPr="006434D6">
        <w:rPr>
          <w:rFonts w:ascii="NewBaskerville" w:hAnsi="NewBaskerville"/>
        </w:rPr>
        <w:t>LPE</w:t>
      </w:r>
      <w:r w:rsidR="00072E45" w:rsidRPr="006434D6">
        <w:rPr>
          <w:rFonts w:ascii="NewBaskerville" w:hAnsi="NewBaskerville"/>
        </w:rPr>
        <w:t>MM</w:t>
      </w:r>
      <w:r w:rsidRPr="006434D6">
        <w:rPr>
          <w:rFonts w:ascii="NewBaskerville" w:hAnsi="NewBaskerville"/>
        </w:rPr>
        <w:t>.</w:t>
      </w:r>
    </w:p>
    <w:p w:rsidR="002C4355" w:rsidRPr="006434D6" w:rsidRDefault="002C4355" w:rsidP="006434D6">
      <w:pPr>
        <w:ind w:firstLine="567"/>
        <w:jc w:val="both"/>
        <w:rPr>
          <w:rFonts w:ascii="NewBaskerville" w:hAnsi="NewBaskerville"/>
        </w:rPr>
      </w:pPr>
    </w:p>
    <w:p w:rsidR="002C4355" w:rsidRPr="006434D6" w:rsidRDefault="002C4355" w:rsidP="006434D6">
      <w:pPr>
        <w:ind w:firstLine="567"/>
        <w:jc w:val="both"/>
        <w:rPr>
          <w:rFonts w:ascii="NewBaskerville" w:hAnsi="NewBaskerville"/>
        </w:rPr>
      </w:pPr>
      <w:r w:rsidRPr="006434D6">
        <w:rPr>
          <w:rFonts w:ascii="NewBaskerville" w:hAnsi="NewBaskerville"/>
        </w:rPr>
        <w:t xml:space="preserve">La APB comprende los puertos de Palma, </w:t>
      </w:r>
      <w:r w:rsidR="00866F3D">
        <w:rPr>
          <w:rFonts w:ascii="NewBaskerville" w:hAnsi="NewBaskerville"/>
        </w:rPr>
        <w:t>Maó-</w:t>
      </w:r>
      <w:r w:rsidRPr="006434D6">
        <w:rPr>
          <w:rFonts w:ascii="NewBaskerville" w:hAnsi="NewBaskerville"/>
        </w:rPr>
        <w:t>Mahón,</w:t>
      </w:r>
      <w:r w:rsidR="00866F3D">
        <w:rPr>
          <w:rFonts w:ascii="NewBaskerville" w:hAnsi="NewBaskerville"/>
        </w:rPr>
        <w:t xml:space="preserve"> Eivissa-</w:t>
      </w:r>
      <w:r w:rsidRPr="006434D6">
        <w:rPr>
          <w:rFonts w:ascii="NewBaskerville" w:hAnsi="NewBaskerville"/>
        </w:rPr>
        <w:t>Ibi</w:t>
      </w:r>
      <w:r w:rsidR="00866F3D">
        <w:rPr>
          <w:rFonts w:ascii="NewBaskerville" w:hAnsi="NewBaskerville"/>
        </w:rPr>
        <w:t>za, la Savina y Alcú</w:t>
      </w:r>
      <w:r w:rsidRPr="006434D6">
        <w:rPr>
          <w:rFonts w:ascii="NewBaskerville" w:hAnsi="NewBaskerville"/>
        </w:rPr>
        <w:t>dia.</w:t>
      </w:r>
    </w:p>
    <w:p w:rsidR="002C4355" w:rsidRPr="006434D6" w:rsidRDefault="002C4355" w:rsidP="006434D6">
      <w:pPr>
        <w:ind w:firstLine="567"/>
        <w:jc w:val="both"/>
        <w:rPr>
          <w:rFonts w:ascii="NewBaskerville" w:hAnsi="NewBaskerville"/>
        </w:rPr>
      </w:pPr>
    </w:p>
    <w:p w:rsidR="007B0DE7" w:rsidRDefault="002C4355" w:rsidP="006434D6">
      <w:pPr>
        <w:pStyle w:val="Sangradetextonormal"/>
        <w:tabs>
          <w:tab w:val="clear" w:pos="8364"/>
        </w:tabs>
        <w:overflowPunct/>
        <w:autoSpaceDE/>
        <w:autoSpaceDN/>
        <w:adjustRightInd/>
        <w:textAlignment w:val="auto"/>
        <w:rPr>
          <w:rFonts w:ascii="NewBaskerville" w:hAnsi="NewBaskerville"/>
          <w:sz w:val="20"/>
        </w:rPr>
      </w:pPr>
      <w:r w:rsidRPr="006434D6">
        <w:rPr>
          <w:rFonts w:ascii="NewBaskerville" w:hAnsi="NewBaskerville"/>
          <w:sz w:val="20"/>
        </w:rPr>
        <w:t xml:space="preserve">Identifica su ejercicio económico con el año natural según lo establecido en </w:t>
      </w:r>
      <w:r w:rsidR="00020B55" w:rsidRPr="006434D6">
        <w:rPr>
          <w:rFonts w:ascii="NewBaskerville" w:hAnsi="NewBaskerville"/>
          <w:sz w:val="20"/>
        </w:rPr>
        <w:t>el artículo 39 del T</w:t>
      </w:r>
      <w:r w:rsidR="00CA0A4C">
        <w:rPr>
          <w:rFonts w:ascii="NewBaskerville" w:hAnsi="NewBaskerville"/>
          <w:sz w:val="20"/>
        </w:rPr>
        <w:t>R</w:t>
      </w:r>
      <w:r w:rsidR="00020B55" w:rsidRPr="006434D6">
        <w:rPr>
          <w:rFonts w:ascii="NewBaskerville" w:hAnsi="NewBaskerville"/>
          <w:sz w:val="20"/>
        </w:rPr>
        <w:t>LPEM</w:t>
      </w:r>
      <w:r w:rsidR="00CA0A4C">
        <w:rPr>
          <w:rFonts w:ascii="NewBaskerville" w:hAnsi="NewBaskerville"/>
          <w:sz w:val="20"/>
        </w:rPr>
        <w:t>M</w:t>
      </w:r>
      <w:r w:rsidR="00020B55" w:rsidRPr="006434D6">
        <w:rPr>
          <w:rFonts w:ascii="NewBaskerville" w:hAnsi="NewBaskerville"/>
          <w:sz w:val="20"/>
        </w:rPr>
        <w:t>.</w:t>
      </w:r>
    </w:p>
    <w:p w:rsidR="006A0154" w:rsidRDefault="006A0154" w:rsidP="006434D6">
      <w:pPr>
        <w:pStyle w:val="Sangradetextonormal"/>
        <w:tabs>
          <w:tab w:val="clear" w:pos="8364"/>
        </w:tabs>
        <w:overflowPunct/>
        <w:autoSpaceDE/>
        <w:autoSpaceDN/>
        <w:adjustRightInd/>
        <w:textAlignment w:val="auto"/>
        <w:rPr>
          <w:rFonts w:ascii="NewBaskerville" w:hAnsi="NewBaskerville"/>
          <w:sz w:val="20"/>
        </w:rPr>
      </w:pPr>
    </w:p>
    <w:p w:rsidR="006A0154" w:rsidRPr="006434D6" w:rsidRDefault="006A0154" w:rsidP="006434D6">
      <w:pPr>
        <w:pStyle w:val="Sangradetextonormal"/>
        <w:tabs>
          <w:tab w:val="clear" w:pos="8364"/>
        </w:tabs>
        <w:overflowPunct/>
        <w:autoSpaceDE/>
        <w:autoSpaceDN/>
        <w:adjustRightInd/>
        <w:textAlignment w:val="auto"/>
        <w:rPr>
          <w:rFonts w:ascii="NewBaskerville" w:hAnsi="NewBaskerville"/>
          <w:sz w:val="20"/>
        </w:rPr>
      </w:pPr>
      <w:r>
        <w:rPr>
          <w:rFonts w:ascii="NewBaskerville" w:hAnsi="NewBaskerville"/>
          <w:sz w:val="20"/>
        </w:rPr>
        <w:t>El domicilio social de la APB se encuentra en la calle Moll Vell, 3 – 5, 07012 Palma Illes Balears - España.</w:t>
      </w:r>
    </w:p>
    <w:p w:rsidR="003E004A" w:rsidRPr="00072D1A" w:rsidRDefault="003E004A" w:rsidP="007B0DE7">
      <w:pPr>
        <w:pStyle w:val="Sangradetextonormal"/>
        <w:tabs>
          <w:tab w:val="clear" w:pos="8364"/>
        </w:tabs>
        <w:overflowPunct/>
        <w:autoSpaceDE/>
        <w:autoSpaceDN/>
        <w:adjustRightInd/>
        <w:ind w:firstLine="0"/>
        <w:textAlignment w:val="auto"/>
      </w:pPr>
    </w:p>
    <w:p w:rsidR="00396608" w:rsidRDefault="007B0DE7" w:rsidP="00385F74">
      <w:pPr>
        <w:pStyle w:val="ListParagraph1"/>
        <w:ind w:left="0"/>
        <w:rPr>
          <w:b/>
          <w:bCs/>
          <w:sz w:val="24"/>
          <w:szCs w:val="24"/>
        </w:rPr>
      </w:pPr>
      <w:r>
        <w:rPr>
          <w:b/>
          <w:bCs/>
          <w:sz w:val="24"/>
          <w:szCs w:val="24"/>
        </w:rPr>
        <w:br w:type="page"/>
      </w:r>
    </w:p>
    <w:p w:rsidR="00396608" w:rsidRDefault="00396608" w:rsidP="00385F74">
      <w:pPr>
        <w:pStyle w:val="ListParagraph1"/>
        <w:ind w:left="0"/>
        <w:rPr>
          <w:b/>
          <w:bCs/>
          <w:sz w:val="24"/>
          <w:szCs w:val="24"/>
        </w:rPr>
      </w:pPr>
    </w:p>
    <w:p w:rsidR="002C4355" w:rsidRPr="006434D6" w:rsidRDefault="00385F74" w:rsidP="00385F74">
      <w:pPr>
        <w:pStyle w:val="ListParagraph1"/>
        <w:ind w:left="0"/>
        <w:rPr>
          <w:rFonts w:ascii="NewBaskerville" w:hAnsi="NewBaskerville"/>
          <w:b/>
          <w:bCs/>
          <w:sz w:val="24"/>
          <w:szCs w:val="24"/>
        </w:rPr>
      </w:pPr>
      <w:r w:rsidRPr="006434D6">
        <w:rPr>
          <w:rFonts w:ascii="NewBaskerville" w:hAnsi="NewBaskerville"/>
          <w:b/>
          <w:bCs/>
          <w:sz w:val="24"/>
          <w:szCs w:val="24"/>
        </w:rPr>
        <w:t xml:space="preserve">2. </w:t>
      </w:r>
      <w:r w:rsidR="002C4355" w:rsidRPr="006434D6">
        <w:rPr>
          <w:rFonts w:ascii="NewBaskerville" w:hAnsi="NewBaskerville"/>
          <w:b/>
          <w:bCs/>
          <w:sz w:val="24"/>
          <w:szCs w:val="24"/>
        </w:rPr>
        <w:t>Bases de presentación de las cuentas anuales</w:t>
      </w:r>
    </w:p>
    <w:p w:rsidR="002C4355" w:rsidRDefault="002C4355">
      <w:pPr>
        <w:ind w:firstLine="567"/>
        <w:jc w:val="both"/>
      </w:pPr>
    </w:p>
    <w:p w:rsidR="002C4355" w:rsidRPr="006434D6" w:rsidRDefault="00CA0A4C">
      <w:pPr>
        <w:ind w:firstLine="567"/>
        <w:jc w:val="both"/>
        <w:rPr>
          <w:rFonts w:ascii="NewBaskerville" w:hAnsi="NewBaskerville"/>
          <w:b/>
          <w:u w:val="single"/>
        </w:rPr>
      </w:pPr>
      <w:r>
        <w:rPr>
          <w:rFonts w:ascii="NewBaskerville" w:hAnsi="NewBaskerville"/>
        </w:rPr>
        <w:t>En aplicación del</w:t>
      </w:r>
      <w:r w:rsidR="002C4355" w:rsidRPr="006434D6">
        <w:rPr>
          <w:rFonts w:ascii="NewBaskerville" w:hAnsi="NewBaskerville"/>
        </w:rPr>
        <w:t xml:space="preserve"> artículo </w:t>
      </w:r>
      <w:r w:rsidR="00557CEE" w:rsidRPr="006434D6">
        <w:rPr>
          <w:rFonts w:ascii="NewBaskerville" w:hAnsi="NewBaskerville"/>
        </w:rPr>
        <w:t xml:space="preserve">39 del </w:t>
      </w:r>
      <w:r w:rsidR="006F0FC2" w:rsidRPr="006434D6">
        <w:rPr>
          <w:rFonts w:ascii="NewBaskerville" w:hAnsi="NewBaskerville"/>
        </w:rPr>
        <w:t>TRLPEMM</w:t>
      </w:r>
      <w:r w:rsidR="00AC51DF" w:rsidRPr="006434D6">
        <w:rPr>
          <w:rFonts w:ascii="NewBaskerville" w:hAnsi="NewBaskerville"/>
        </w:rPr>
        <w:t xml:space="preserve">,  </w:t>
      </w:r>
      <w:r>
        <w:rPr>
          <w:rFonts w:ascii="NewBaskerville" w:hAnsi="NewBaskerville"/>
        </w:rPr>
        <w:t>la AP</w:t>
      </w:r>
      <w:r w:rsidR="00E36D30">
        <w:rPr>
          <w:rFonts w:ascii="NewBaskerville" w:hAnsi="NewBaskerville"/>
        </w:rPr>
        <w:t>B</w:t>
      </w:r>
      <w:r>
        <w:rPr>
          <w:rFonts w:ascii="NewBaskerville" w:hAnsi="NewBaskerville"/>
        </w:rPr>
        <w:t xml:space="preserve"> ajusta</w:t>
      </w:r>
      <w:r w:rsidR="002C4355" w:rsidRPr="006434D6">
        <w:rPr>
          <w:rFonts w:ascii="NewBaskerville" w:hAnsi="NewBaskerville"/>
        </w:rPr>
        <w:t xml:space="preserve"> su contabilidad a las disposiciones del Código de Comercio, a las del Plan General de Contabilidad y a las demás que sean de aplicación.</w:t>
      </w:r>
    </w:p>
    <w:p w:rsidR="002C4355" w:rsidRPr="00072D1A" w:rsidRDefault="002C4355" w:rsidP="00072D1A">
      <w:pPr>
        <w:ind w:firstLine="567"/>
        <w:jc w:val="both"/>
      </w:pPr>
    </w:p>
    <w:p w:rsidR="002C4355" w:rsidRPr="00A33E43" w:rsidRDefault="002C4355" w:rsidP="00A33E43">
      <w:pPr>
        <w:pStyle w:val="Prrafodelista"/>
        <w:numPr>
          <w:ilvl w:val="0"/>
          <w:numId w:val="44"/>
        </w:numPr>
        <w:jc w:val="both"/>
        <w:rPr>
          <w:rFonts w:ascii="NewBaskerville" w:hAnsi="NewBaskerville"/>
          <w:bCs/>
          <w:u w:val="single"/>
        </w:rPr>
      </w:pPr>
      <w:r w:rsidRPr="00A33E43">
        <w:rPr>
          <w:rFonts w:ascii="NewBaskerville" w:hAnsi="NewBaskerville"/>
          <w:bCs/>
          <w:u w:val="single"/>
        </w:rPr>
        <w:t>Imagen fiel</w:t>
      </w:r>
    </w:p>
    <w:p w:rsidR="002C4355" w:rsidRPr="006434D6" w:rsidRDefault="002C4355" w:rsidP="002C3CB4">
      <w:pPr>
        <w:spacing w:before="100"/>
        <w:ind w:firstLine="568"/>
        <w:jc w:val="both"/>
        <w:rPr>
          <w:rFonts w:ascii="NewBaskerville" w:hAnsi="NewBaskerville"/>
        </w:rPr>
      </w:pPr>
      <w:r w:rsidRPr="006434D6">
        <w:rPr>
          <w:rFonts w:ascii="NewBaskerville" w:hAnsi="NewBaskerville"/>
        </w:rPr>
        <w:t>Las cuentas a</w:t>
      </w:r>
      <w:r w:rsidR="00094725" w:rsidRPr="006434D6">
        <w:rPr>
          <w:rFonts w:ascii="NewBaskerville" w:hAnsi="NewBaskerville"/>
        </w:rPr>
        <w:t>nuales adjuntas se han formulado</w:t>
      </w:r>
      <w:r w:rsidRPr="006434D6">
        <w:rPr>
          <w:rFonts w:ascii="NewBaskerville" w:hAnsi="NewBaskerville"/>
        </w:rPr>
        <w:t xml:space="preserve"> a partir de los registros contables de</w:t>
      </w:r>
      <w:r w:rsidR="00E36D30">
        <w:rPr>
          <w:rFonts w:ascii="NewBaskerville" w:hAnsi="NewBaskerville"/>
        </w:rPr>
        <w:t xml:space="preserve"> </w:t>
      </w:r>
      <w:r w:rsidRPr="006434D6">
        <w:rPr>
          <w:rFonts w:ascii="NewBaskerville" w:hAnsi="NewBaskerville"/>
        </w:rPr>
        <w:t>l</w:t>
      </w:r>
      <w:r w:rsidR="00E36D30">
        <w:rPr>
          <w:rFonts w:ascii="NewBaskerville" w:hAnsi="NewBaskerville"/>
        </w:rPr>
        <w:t>a Entidad</w:t>
      </w:r>
      <w:r w:rsidRPr="006434D6">
        <w:rPr>
          <w:rFonts w:ascii="NewBaskerville" w:hAnsi="NewBaskerville"/>
        </w:rPr>
        <w:t xml:space="preserve"> c</w:t>
      </w:r>
      <w:r w:rsidR="004D36F7" w:rsidRPr="006434D6">
        <w:rPr>
          <w:rFonts w:ascii="NewBaskerville" w:hAnsi="NewBaskerville"/>
        </w:rPr>
        <w:t>errados a 31 d</w:t>
      </w:r>
      <w:r w:rsidR="0020324A" w:rsidRPr="006434D6">
        <w:rPr>
          <w:rFonts w:ascii="NewBaskerville" w:hAnsi="NewBaskerville"/>
        </w:rPr>
        <w:t xml:space="preserve">e </w:t>
      </w:r>
      <w:r w:rsidR="006434D6" w:rsidRPr="006434D6">
        <w:rPr>
          <w:rFonts w:ascii="NewBaskerville" w:hAnsi="NewBaskerville"/>
        </w:rPr>
        <w:t>diciembre de 202</w:t>
      </w:r>
      <w:r w:rsidR="007369F8">
        <w:rPr>
          <w:rFonts w:ascii="NewBaskerville" w:hAnsi="NewBaskerville"/>
        </w:rPr>
        <w:t>4</w:t>
      </w:r>
      <w:r w:rsidRPr="006434D6">
        <w:rPr>
          <w:rFonts w:ascii="NewBaskerville" w:hAnsi="NewBaskerville"/>
        </w:rPr>
        <w:t>, llevados conforme a las disposiciones legales vigentes en materia contable y a las instrucciones dictadas por Puertos del Estado mostrando la imagen fiel del patrimonio, de la situación financiera y de los resultados, así como de la veracidad de los flujos incorporados en el estado de flujos de efectivo.</w:t>
      </w:r>
    </w:p>
    <w:p w:rsidR="007D09F3" w:rsidRPr="006434D6" w:rsidRDefault="007D09F3">
      <w:pPr>
        <w:ind w:firstLine="568"/>
        <w:jc w:val="both"/>
        <w:rPr>
          <w:rFonts w:ascii="NewBaskerville" w:hAnsi="NewBaskerville"/>
        </w:rPr>
      </w:pPr>
    </w:p>
    <w:p w:rsidR="002C4355" w:rsidRPr="006434D6" w:rsidRDefault="002C4355">
      <w:pPr>
        <w:ind w:firstLine="568"/>
        <w:jc w:val="both"/>
        <w:rPr>
          <w:rFonts w:ascii="NewBaskerville" w:hAnsi="NewBaskerville"/>
        </w:rPr>
      </w:pPr>
      <w:r w:rsidRPr="006434D6">
        <w:rPr>
          <w:rFonts w:ascii="NewBaskerville" w:hAnsi="NewBaskerville"/>
        </w:rPr>
        <w:t xml:space="preserve">Las cifras del balance, la cuenta de pérdidas y ganancias, </w:t>
      </w:r>
      <w:r w:rsidR="00866F3D">
        <w:rPr>
          <w:rFonts w:ascii="NewBaskerville" w:hAnsi="NewBaskerville"/>
        </w:rPr>
        <w:t xml:space="preserve">el </w:t>
      </w:r>
      <w:r w:rsidRPr="006434D6">
        <w:rPr>
          <w:rFonts w:ascii="NewBaskerville" w:hAnsi="NewBaskerville"/>
        </w:rPr>
        <w:t xml:space="preserve">estado de cambios en el patrimonio neto, </w:t>
      </w:r>
      <w:r w:rsidR="00866F3D">
        <w:rPr>
          <w:rFonts w:ascii="NewBaskerville" w:hAnsi="NewBaskerville"/>
        </w:rPr>
        <w:t xml:space="preserve">el </w:t>
      </w:r>
      <w:r w:rsidRPr="006434D6">
        <w:rPr>
          <w:rFonts w:ascii="NewBaskerville" w:hAnsi="NewBaskerville"/>
        </w:rPr>
        <w:t>estado de flujos de efectivo y la memoria, se expresan en euros.</w:t>
      </w:r>
    </w:p>
    <w:p w:rsidR="002C4355" w:rsidRPr="006434D6" w:rsidRDefault="002C4355">
      <w:pPr>
        <w:ind w:firstLine="568"/>
        <w:jc w:val="both"/>
        <w:rPr>
          <w:rFonts w:ascii="NewBaskerville" w:hAnsi="NewBaskerville"/>
        </w:rPr>
      </w:pPr>
    </w:p>
    <w:p w:rsidR="002C4355" w:rsidRPr="006434D6" w:rsidRDefault="002C4355">
      <w:pPr>
        <w:ind w:firstLine="568"/>
        <w:jc w:val="both"/>
        <w:rPr>
          <w:rFonts w:ascii="NewBaskerville" w:hAnsi="NewBaskerville"/>
        </w:rPr>
      </w:pPr>
      <w:r w:rsidRPr="006434D6">
        <w:rPr>
          <w:rFonts w:ascii="NewBaskerville" w:hAnsi="NewBaskerville"/>
        </w:rPr>
        <w:t>Estas cuentas anuales han sido formuladas por el Presidente de la Autoridad Portuaria, para su sometimiento a la aprobación del Consejo de Administración, estimándose que serán aprobadas sin ninguna modificación. El estado de flujos de efectivo se ha preparado con el fin de informar verazmente sobre el origen y la utilización de los activos monetarios representativos de efectivo y otros activos líquidos equivalentes de la Entidad.</w:t>
      </w:r>
    </w:p>
    <w:p w:rsidR="002C4355" w:rsidRPr="00817044" w:rsidRDefault="002C4355">
      <w:pPr>
        <w:jc w:val="both"/>
      </w:pPr>
    </w:p>
    <w:p w:rsidR="002C4355" w:rsidRPr="00A33E43" w:rsidRDefault="002C4355" w:rsidP="00A33E43">
      <w:pPr>
        <w:pStyle w:val="Prrafodelista"/>
        <w:numPr>
          <w:ilvl w:val="0"/>
          <w:numId w:val="44"/>
        </w:numPr>
        <w:jc w:val="both"/>
        <w:rPr>
          <w:rFonts w:ascii="NewBaskerville" w:hAnsi="NewBaskerville"/>
          <w:bCs/>
          <w:u w:val="single"/>
        </w:rPr>
      </w:pPr>
      <w:r w:rsidRPr="00A33E43">
        <w:rPr>
          <w:rFonts w:ascii="NewBaskerville" w:hAnsi="NewBaskerville"/>
          <w:bCs/>
          <w:u w:val="single"/>
        </w:rPr>
        <w:t>Principios contables</w:t>
      </w:r>
    </w:p>
    <w:p w:rsidR="002C4355" w:rsidRDefault="002C4355" w:rsidP="002C3CB4">
      <w:pPr>
        <w:spacing w:before="100"/>
        <w:ind w:firstLine="568"/>
        <w:jc w:val="both"/>
        <w:rPr>
          <w:rFonts w:ascii="NewBaskerville" w:hAnsi="NewBaskerville"/>
        </w:rPr>
      </w:pPr>
      <w:r w:rsidRPr="00A33E43">
        <w:rPr>
          <w:rFonts w:ascii="NewBaskerville" w:hAnsi="NewBaskerville"/>
        </w:rPr>
        <w:t>Las c</w:t>
      </w:r>
      <w:r w:rsidR="004D36F7" w:rsidRPr="00A33E43">
        <w:rPr>
          <w:rFonts w:ascii="NewBaskerville" w:hAnsi="NewBaskerville"/>
        </w:rPr>
        <w:t>u</w:t>
      </w:r>
      <w:r w:rsidR="00102226" w:rsidRPr="00A33E43">
        <w:rPr>
          <w:rFonts w:ascii="NewBaskerville" w:hAnsi="NewBaskerville"/>
        </w:rPr>
        <w:t>entas anuales del ejercicio 202</w:t>
      </w:r>
      <w:r w:rsidR="007369F8">
        <w:rPr>
          <w:rFonts w:ascii="NewBaskerville" w:hAnsi="NewBaskerville"/>
        </w:rPr>
        <w:t>4</w:t>
      </w:r>
      <w:r w:rsidR="00FA5F3E" w:rsidRPr="00A33E43">
        <w:rPr>
          <w:rFonts w:ascii="NewBaskerville" w:hAnsi="NewBaskerville"/>
        </w:rPr>
        <w:t xml:space="preserve"> </w:t>
      </w:r>
      <w:r w:rsidRPr="00A33E43">
        <w:rPr>
          <w:rFonts w:ascii="NewBaskerville" w:hAnsi="NewBaskerville"/>
        </w:rPr>
        <w:t>se formulan aplicando el Plan General de Contabilidad aprobado por el Real Decreto 1514/2007, de 16 de noviembre,</w:t>
      </w:r>
      <w:r w:rsidR="006F0FC2" w:rsidRPr="00A33E43">
        <w:rPr>
          <w:rFonts w:ascii="NewBaskerville" w:hAnsi="NewBaskerville"/>
        </w:rPr>
        <w:t xml:space="preserve"> y</w:t>
      </w:r>
      <w:r w:rsidRPr="00A33E43">
        <w:rPr>
          <w:rFonts w:ascii="NewBaskerville" w:hAnsi="NewBaskerville"/>
        </w:rPr>
        <w:t xml:space="preserve"> los </w:t>
      </w:r>
      <w:r w:rsidR="00575642" w:rsidRPr="00A33E43">
        <w:rPr>
          <w:rFonts w:ascii="NewBaskerville" w:hAnsi="NewBaskerville"/>
        </w:rPr>
        <w:t>p</w:t>
      </w:r>
      <w:r w:rsidRPr="00A33E43">
        <w:rPr>
          <w:rFonts w:ascii="NewBaskerville" w:hAnsi="NewBaskerville"/>
        </w:rPr>
        <w:t xml:space="preserve">rincipios </w:t>
      </w:r>
      <w:r w:rsidR="00575642" w:rsidRPr="00A33E43">
        <w:rPr>
          <w:rFonts w:ascii="NewBaskerville" w:hAnsi="NewBaskerville"/>
        </w:rPr>
        <w:t>c</w:t>
      </w:r>
      <w:r w:rsidRPr="00A33E43">
        <w:rPr>
          <w:rFonts w:ascii="NewBaskerville" w:hAnsi="NewBaskerville"/>
        </w:rPr>
        <w:t>ontables obliga</w:t>
      </w:r>
      <w:r w:rsidR="00E07063" w:rsidRPr="00A33E43">
        <w:rPr>
          <w:rFonts w:ascii="NewBaskerville" w:hAnsi="NewBaskerville"/>
        </w:rPr>
        <w:t>torios que en él se establecen</w:t>
      </w:r>
      <w:r w:rsidR="007369F8">
        <w:rPr>
          <w:rFonts w:ascii="NewBaskerville" w:hAnsi="NewBaskerville"/>
        </w:rPr>
        <w:t>,</w:t>
      </w:r>
      <w:r w:rsidR="00E07063" w:rsidRPr="00A33E43">
        <w:rPr>
          <w:rFonts w:ascii="NewBaskerville" w:hAnsi="NewBaskerville"/>
        </w:rPr>
        <w:t xml:space="preserve"> y las directrices emitidas por el Ente Público Puertos del Estado.</w:t>
      </w:r>
    </w:p>
    <w:p w:rsidR="00A33E43" w:rsidRPr="00A33E43" w:rsidRDefault="00A33E43" w:rsidP="006010B3">
      <w:pPr>
        <w:ind w:firstLine="568"/>
        <w:jc w:val="both"/>
        <w:rPr>
          <w:rFonts w:ascii="NewBaskerville" w:hAnsi="NewBaskerville"/>
        </w:rPr>
      </w:pPr>
    </w:p>
    <w:p w:rsidR="00A33E43" w:rsidRPr="00DC4334" w:rsidRDefault="00A33E43" w:rsidP="00DC4334">
      <w:pPr>
        <w:pStyle w:val="Prrafodelista"/>
        <w:numPr>
          <w:ilvl w:val="0"/>
          <w:numId w:val="44"/>
        </w:numPr>
        <w:jc w:val="both"/>
        <w:rPr>
          <w:rFonts w:ascii="NewBaskerville" w:hAnsi="NewBaskerville"/>
          <w:bCs/>
        </w:rPr>
      </w:pPr>
      <w:r w:rsidRPr="00DC4334">
        <w:rPr>
          <w:rFonts w:ascii="NewBaskerville" w:hAnsi="NewBaskerville"/>
          <w:bCs/>
          <w:u w:val="single"/>
        </w:rPr>
        <w:t>Aspectos críticos de la valoración y estimación de la incertidumbre</w:t>
      </w:r>
    </w:p>
    <w:p w:rsidR="00A33E43" w:rsidRDefault="00A33E43" w:rsidP="002C3CB4">
      <w:pPr>
        <w:spacing w:before="100"/>
        <w:ind w:firstLine="568"/>
        <w:jc w:val="both"/>
        <w:rPr>
          <w:rFonts w:ascii="NewBaskerville" w:hAnsi="NewBaskerville"/>
        </w:rPr>
      </w:pPr>
      <w:r w:rsidRPr="00A33E43">
        <w:rPr>
          <w:rFonts w:ascii="NewBaskerville" w:hAnsi="NewBaskerville"/>
        </w:rPr>
        <w:t>En la preparación de las cuentas anuales de</w:t>
      </w:r>
      <w:r w:rsidR="00E36D30">
        <w:rPr>
          <w:rFonts w:ascii="NewBaskerville" w:hAnsi="NewBaskerville"/>
        </w:rPr>
        <w:t xml:space="preserve"> </w:t>
      </w:r>
      <w:r>
        <w:rPr>
          <w:rFonts w:ascii="NewBaskerville" w:hAnsi="NewBaskerville"/>
        </w:rPr>
        <w:t>l</w:t>
      </w:r>
      <w:r w:rsidR="00E36D30">
        <w:rPr>
          <w:rFonts w:ascii="NewBaskerville" w:hAnsi="NewBaskerville"/>
        </w:rPr>
        <w:t>a</w:t>
      </w:r>
      <w:r>
        <w:rPr>
          <w:rFonts w:ascii="NewBaskerville" w:hAnsi="NewBaskerville"/>
        </w:rPr>
        <w:t xml:space="preserve"> </w:t>
      </w:r>
      <w:r w:rsidR="00E36D30">
        <w:rPr>
          <w:rFonts w:ascii="NewBaskerville" w:hAnsi="NewBaskerville"/>
        </w:rPr>
        <w:t>Entidad</w:t>
      </w:r>
      <w:r w:rsidRPr="00A33E43">
        <w:rPr>
          <w:rFonts w:ascii="NewBaskerville" w:hAnsi="NewBaskerville"/>
        </w:rPr>
        <w:t xml:space="preserve">, se han realizado estimaciones que están basadas en la experiencia histórica y en otros factores que se consideran razonables de acuerdo con las circunstancias actuales y que constituyen la base para establecer el valor contable de los activos y pasivos cuyo valor no es fácilmente determinable mediante otras fuentes. </w:t>
      </w:r>
      <w:r w:rsidR="00E36D30">
        <w:rPr>
          <w:rFonts w:ascii="NewBaskerville" w:hAnsi="NewBaskerville"/>
        </w:rPr>
        <w:t xml:space="preserve">La </w:t>
      </w:r>
      <w:r w:rsidR="003F24D6">
        <w:rPr>
          <w:rFonts w:ascii="NewBaskerville" w:hAnsi="NewBaskerville"/>
        </w:rPr>
        <w:t>Entidad</w:t>
      </w:r>
      <w:r w:rsidRPr="00A33E43">
        <w:rPr>
          <w:rFonts w:ascii="NewBaskerville" w:hAnsi="NewBaskerville"/>
        </w:rPr>
        <w:t xml:space="preserve"> revisa sus estimaciones de forma continua. Las principales estimaciones llevadas a cabo se realizan en los siguientes ámbitos:</w:t>
      </w:r>
    </w:p>
    <w:p w:rsidR="00A33E43" w:rsidRPr="00A33E43" w:rsidRDefault="00A33E43" w:rsidP="00A33E43">
      <w:pPr>
        <w:ind w:firstLine="568"/>
        <w:jc w:val="both"/>
        <w:rPr>
          <w:rFonts w:ascii="NewBaskerville" w:hAnsi="NewBaskerville"/>
        </w:rPr>
      </w:pPr>
    </w:p>
    <w:p w:rsidR="00A33E43" w:rsidRDefault="00A33E43" w:rsidP="00A131D1">
      <w:pPr>
        <w:pStyle w:val="Prrafodelista"/>
        <w:numPr>
          <w:ilvl w:val="0"/>
          <w:numId w:val="43"/>
        </w:numPr>
        <w:jc w:val="both"/>
        <w:rPr>
          <w:rFonts w:ascii="NewBaskerville" w:hAnsi="NewBaskerville"/>
        </w:rPr>
      </w:pPr>
      <w:r w:rsidRPr="00A33E43">
        <w:rPr>
          <w:rFonts w:ascii="NewBaskerville" w:hAnsi="NewBaskerville"/>
        </w:rPr>
        <w:t>Deterioro de activos no financieros</w:t>
      </w:r>
    </w:p>
    <w:p w:rsidR="00A33E43" w:rsidRDefault="00E709C6" w:rsidP="002C3CB4">
      <w:pPr>
        <w:spacing w:before="100"/>
        <w:ind w:firstLine="568"/>
        <w:jc w:val="both"/>
        <w:rPr>
          <w:rFonts w:ascii="NewBaskerville" w:hAnsi="NewBaskerville"/>
        </w:rPr>
      </w:pPr>
      <w:r>
        <w:rPr>
          <w:rFonts w:ascii="NewBaskerville" w:hAnsi="NewBaskerville"/>
        </w:rPr>
        <w:t xml:space="preserve">Se </w:t>
      </w:r>
      <w:r w:rsidR="00A33E43" w:rsidRPr="00A33E43">
        <w:rPr>
          <w:rFonts w:ascii="NewBaskerville" w:hAnsi="NewBaskerville"/>
        </w:rPr>
        <w:t>analiza anualmente si existen indi</w:t>
      </w:r>
      <w:r w:rsidR="0018037A">
        <w:rPr>
          <w:rFonts w:ascii="NewBaskerville" w:hAnsi="NewBaskerville"/>
        </w:rPr>
        <w:t>cios</w:t>
      </w:r>
      <w:r w:rsidR="00A33E43" w:rsidRPr="00A33E43">
        <w:rPr>
          <w:rFonts w:ascii="NewBaskerville" w:hAnsi="NewBaskerville"/>
        </w:rPr>
        <w:t xml:space="preserve"> de deterioro para los activos no financieros. Estos activos no financieros se someten a la prueba de deterioro de valor cuando existen indicadores de su deterioro. </w:t>
      </w:r>
    </w:p>
    <w:p w:rsidR="00A33E43" w:rsidRPr="00A33E43" w:rsidRDefault="00A33E43" w:rsidP="00A33E43">
      <w:pPr>
        <w:ind w:firstLine="568"/>
        <w:jc w:val="both"/>
        <w:rPr>
          <w:rFonts w:ascii="NewBaskerville" w:hAnsi="NewBaskerville"/>
        </w:rPr>
      </w:pPr>
    </w:p>
    <w:p w:rsidR="00A33E43" w:rsidRDefault="00A33E43" w:rsidP="00A33E43">
      <w:pPr>
        <w:pStyle w:val="Prrafodelista"/>
        <w:numPr>
          <w:ilvl w:val="0"/>
          <w:numId w:val="43"/>
        </w:numPr>
        <w:jc w:val="both"/>
        <w:rPr>
          <w:rFonts w:ascii="NewBaskerville" w:hAnsi="NewBaskerville"/>
        </w:rPr>
      </w:pPr>
      <w:r w:rsidRPr="00A33E43">
        <w:rPr>
          <w:rFonts w:ascii="NewBaskerville" w:hAnsi="NewBaskerville"/>
        </w:rPr>
        <w:t>Provisiones</w:t>
      </w:r>
    </w:p>
    <w:p w:rsidR="00A33E43" w:rsidRDefault="00E709C6" w:rsidP="002C3CB4">
      <w:pPr>
        <w:spacing w:before="100"/>
        <w:ind w:firstLine="568"/>
        <w:jc w:val="both"/>
        <w:rPr>
          <w:rFonts w:ascii="NewBaskerville" w:hAnsi="NewBaskerville"/>
          <w:color w:val="000000"/>
          <w:lang w:eastAsia="en-US"/>
        </w:rPr>
      </w:pPr>
      <w:r>
        <w:rPr>
          <w:rFonts w:ascii="NewBaskerville" w:hAnsi="NewBaskerville"/>
          <w:color w:val="000000"/>
          <w:lang w:eastAsia="en-US"/>
        </w:rPr>
        <w:t>Se</w:t>
      </w:r>
      <w:r w:rsidR="00A33E43" w:rsidRPr="00A33E43">
        <w:rPr>
          <w:rFonts w:ascii="NewBaskerville" w:hAnsi="NewBaskerville"/>
          <w:color w:val="000000"/>
          <w:lang w:eastAsia="en-US"/>
        </w:rPr>
        <w:t xml:space="preserve"> reconoce</w:t>
      </w:r>
      <w:r>
        <w:rPr>
          <w:rFonts w:ascii="NewBaskerville" w:hAnsi="NewBaskerville"/>
          <w:color w:val="000000"/>
          <w:lang w:eastAsia="en-US"/>
        </w:rPr>
        <w:t>n</w:t>
      </w:r>
      <w:r w:rsidR="00A33E43" w:rsidRPr="00A33E43">
        <w:rPr>
          <w:rFonts w:ascii="NewBaskerville" w:hAnsi="NewBaskerville"/>
          <w:color w:val="000000"/>
          <w:lang w:eastAsia="en-US"/>
        </w:rPr>
        <w:t xml:space="preserve"> provisiones sobre riesgos, de acuerdo con la política contable indicada en </w:t>
      </w:r>
      <w:r w:rsidR="0018037A">
        <w:rPr>
          <w:rFonts w:ascii="NewBaskerville" w:hAnsi="NewBaskerville"/>
          <w:color w:val="000000"/>
          <w:lang w:eastAsia="en-US"/>
        </w:rPr>
        <w:t>la nota</w:t>
      </w:r>
      <w:r w:rsidR="00A33E43" w:rsidRPr="00A33E43">
        <w:rPr>
          <w:rFonts w:ascii="NewBaskerville" w:hAnsi="NewBaskerville"/>
          <w:color w:val="000000"/>
          <w:lang w:eastAsia="en-US"/>
        </w:rPr>
        <w:t xml:space="preserve"> </w:t>
      </w:r>
      <w:r w:rsidR="004323C0">
        <w:rPr>
          <w:rFonts w:ascii="NewBaskerville" w:hAnsi="NewBaskerville"/>
          <w:color w:val="000000"/>
          <w:lang w:eastAsia="en-US"/>
        </w:rPr>
        <w:t>4</w:t>
      </w:r>
      <w:r w:rsidR="00A33E43" w:rsidRPr="00A33E43">
        <w:rPr>
          <w:rFonts w:ascii="NewBaskerville" w:hAnsi="NewBaskerville"/>
          <w:color w:val="000000"/>
          <w:lang w:eastAsia="en-US"/>
        </w:rPr>
        <w:t xml:space="preserve"> de esta memoria. </w:t>
      </w:r>
      <w:r w:rsidR="002C3CB4">
        <w:rPr>
          <w:rFonts w:ascii="NewBaskerville" w:hAnsi="NewBaskerville"/>
          <w:color w:val="000000"/>
          <w:lang w:eastAsia="en-US"/>
        </w:rPr>
        <w:t>Se</w:t>
      </w:r>
      <w:r w:rsidR="00A33E43" w:rsidRPr="00A33E43">
        <w:rPr>
          <w:rFonts w:ascii="NewBaskerville" w:hAnsi="NewBaskerville"/>
          <w:color w:val="000000"/>
          <w:lang w:eastAsia="en-US"/>
        </w:rPr>
        <w:t xml:space="preserve"> ha</w:t>
      </w:r>
      <w:r w:rsidR="002C3CB4">
        <w:rPr>
          <w:rFonts w:ascii="NewBaskerville" w:hAnsi="NewBaskerville"/>
          <w:color w:val="000000"/>
          <w:lang w:eastAsia="en-US"/>
        </w:rPr>
        <w:t>n</w:t>
      </w:r>
      <w:r w:rsidR="00A33E43" w:rsidRPr="00A33E43">
        <w:rPr>
          <w:rFonts w:ascii="NewBaskerville" w:hAnsi="NewBaskerville"/>
          <w:color w:val="000000"/>
          <w:lang w:eastAsia="en-US"/>
        </w:rPr>
        <w:t xml:space="preserve"> realizado juicios y estimaciones en relación con la probabilidad de ocurrencia de dichos riesgos, así como la cuantía de los mismos, y</w:t>
      </w:r>
      <w:r>
        <w:rPr>
          <w:rFonts w:ascii="NewBaskerville" w:hAnsi="NewBaskerville"/>
          <w:color w:val="000000"/>
          <w:lang w:eastAsia="en-US"/>
        </w:rPr>
        <w:t xml:space="preserve"> se</w:t>
      </w:r>
      <w:r w:rsidR="00A33E43" w:rsidRPr="00A33E43">
        <w:rPr>
          <w:rFonts w:ascii="NewBaskerville" w:hAnsi="NewBaskerville"/>
          <w:color w:val="000000"/>
          <w:lang w:eastAsia="en-US"/>
        </w:rPr>
        <w:t xml:space="preserve"> ha registrado una provisión cuando el riesgo ha sido considerado como probable, estimando el coste que le originaría dicha obligación. </w:t>
      </w:r>
    </w:p>
    <w:p w:rsidR="002C3CB4" w:rsidRDefault="002C3CB4" w:rsidP="002C3CB4">
      <w:pPr>
        <w:ind w:firstLine="568"/>
        <w:jc w:val="both"/>
        <w:rPr>
          <w:rFonts w:ascii="NewBaskerville" w:hAnsi="NewBaskerville"/>
          <w:color w:val="000000"/>
          <w:lang w:eastAsia="en-US"/>
        </w:rPr>
      </w:pPr>
    </w:p>
    <w:p w:rsidR="002C3CB4" w:rsidRDefault="002C3CB4" w:rsidP="002C3CB4">
      <w:pPr>
        <w:pStyle w:val="Prrafodelista"/>
        <w:numPr>
          <w:ilvl w:val="0"/>
          <w:numId w:val="43"/>
        </w:numPr>
        <w:jc w:val="both"/>
        <w:rPr>
          <w:rFonts w:ascii="NewBaskerville" w:hAnsi="NewBaskerville"/>
          <w:color w:val="000000"/>
          <w:lang w:eastAsia="en-US"/>
        </w:rPr>
      </w:pPr>
      <w:r>
        <w:rPr>
          <w:rFonts w:ascii="NewBaskerville" w:hAnsi="NewBaskerville"/>
          <w:color w:val="000000"/>
          <w:lang w:eastAsia="en-US"/>
        </w:rPr>
        <w:t>Deterioro de v</w:t>
      </w:r>
      <w:r w:rsidR="00F3645B">
        <w:rPr>
          <w:rFonts w:ascii="NewBaskerville" w:hAnsi="NewBaskerville"/>
          <w:color w:val="000000"/>
          <w:lang w:eastAsia="en-US"/>
        </w:rPr>
        <w:t>alor de operaciones comerciales</w:t>
      </w:r>
      <w:r w:rsidR="00714F3A">
        <w:rPr>
          <w:rFonts w:ascii="NewBaskerville" w:hAnsi="NewBaskerville"/>
          <w:color w:val="000000"/>
          <w:lang w:eastAsia="en-US"/>
        </w:rPr>
        <w:t>,</w:t>
      </w:r>
      <w:r w:rsidR="00F55771">
        <w:rPr>
          <w:rFonts w:ascii="NewBaskerville" w:hAnsi="NewBaskerville"/>
          <w:color w:val="000000"/>
          <w:lang w:eastAsia="en-US"/>
        </w:rPr>
        <w:t xml:space="preserve"> deudores</w:t>
      </w:r>
      <w:r w:rsidR="00714F3A">
        <w:rPr>
          <w:rFonts w:ascii="NewBaskerville" w:hAnsi="NewBaskerville"/>
          <w:color w:val="000000"/>
          <w:lang w:eastAsia="en-US"/>
        </w:rPr>
        <w:t xml:space="preserve"> y créditos a terceros.</w:t>
      </w:r>
    </w:p>
    <w:p w:rsidR="002C3CB4" w:rsidRDefault="00603A0A" w:rsidP="00E96B8F">
      <w:pPr>
        <w:spacing w:before="100"/>
        <w:ind w:firstLine="567"/>
        <w:jc w:val="both"/>
        <w:rPr>
          <w:rFonts w:ascii="NewBaskerville" w:hAnsi="NewBaskerville"/>
          <w:color w:val="000000"/>
          <w:lang w:eastAsia="en-US"/>
        </w:rPr>
      </w:pPr>
      <w:r w:rsidRPr="00603A0A">
        <w:rPr>
          <w:rFonts w:ascii="NewBaskerville" w:hAnsi="NewBaskerville"/>
          <w:color w:val="000000"/>
          <w:lang w:eastAsia="en-US"/>
        </w:rPr>
        <w:t xml:space="preserve">Se someten a análisis </w:t>
      </w:r>
      <w:r>
        <w:rPr>
          <w:rFonts w:ascii="NewBaskerville" w:hAnsi="NewBaskerville"/>
          <w:color w:val="000000"/>
          <w:lang w:eastAsia="en-US"/>
        </w:rPr>
        <w:t>las evidencias objetivas de uno o más eventos ocurrid</w:t>
      </w:r>
      <w:r w:rsidR="006F03BA">
        <w:rPr>
          <w:rFonts w:ascii="NewBaskerville" w:hAnsi="NewBaskerville"/>
          <w:color w:val="000000"/>
          <w:lang w:eastAsia="en-US"/>
        </w:rPr>
        <w:t>os que pueden ocasionar una reducción o retraso de los flujos estimados futuros, que pueden venir motivados por la insolvencia del deudor.</w:t>
      </w:r>
    </w:p>
    <w:p w:rsidR="00A131D1" w:rsidRDefault="00A131D1" w:rsidP="00A131D1">
      <w:pPr>
        <w:ind w:left="568"/>
        <w:jc w:val="both"/>
        <w:rPr>
          <w:rFonts w:ascii="NewBaskerville" w:hAnsi="NewBaskerville"/>
          <w:color w:val="000000"/>
          <w:lang w:eastAsia="en-US"/>
        </w:rPr>
      </w:pPr>
    </w:p>
    <w:p w:rsidR="00A131D1" w:rsidRDefault="00A131D1" w:rsidP="00A131D1">
      <w:pPr>
        <w:pStyle w:val="Prrafodelista"/>
        <w:numPr>
          <w:ilvl w:val="0"/>
          <w:numId w:val="43"/>
        </w:numPr>
        <w:jc w:val="both"/>
        <w:rPr>
          <w:rFonts w:ascii="NewBaskerville" w:hAnsi="NewBaskerville"/>
          <w:color w:val="000000"/>
          <w:lang w:eastAsia="en-US"/>
        </w:rPr>
      </w:pPr>
      <w:r>
        <w:rPr>
          <w:rFonts w:ascii="NewBaskerville" w:hAnsi="NewBaskerville"/>
          <w:color w:val="000000"/>
          <w:lang w:eastAsia="en-US"/>
        </w:rPr>
        <w:t>Vida</w:t>
      </w:r>
      <w:r w:rsidR="00F3645B">
        <w:rPr>
          <w:rFonts w:ascii="NewBaskerville" w:hAnsi="NewBaskerville"/>
          <w:color w:val="000000"/>
          <w:lang w:eastAsia="en-US"/>
        </w:rPr>
        <w:t xml:space="preserve"> útil de activos no financieros</w:t>
      </w:r>
    </w:p>
    <w:p w:rsidR="00A131D1" w:rsidRDefault="00F3645B" w:rsidP="00E96B8F">
      <w:pPr>
        <w:spacing w:before="100"/>
        <w:ind w:firstLine="568"/>
        <w:jc w:val="both"/>
        <w:rPr>
          <w:rFonts w:ascii="NewBaskerville" w:hAnsi="NewBaskerville"/>
          <w:color w:val="000000"/>
          <w:lang w:eastAsia="en-US"/>
        </w:rPr>
      </w:pPr>
      <w:r>
        <w:rPr>
          <w:rFonts w:ascii="NewBaskerville" w:hAnsi="NewBaskerville"/>
          <w:color w:val="000000"/>
          <w:lang w:eastAsia="en-US"/>
        </w:rPr>
        <w:lastRenderedPageBreak/>
        <w:t>Se examina la depreciación que normalmente sufren por su funcionamiento, uso y disfrute, sin perjuicio de considerar también la obsolescencia técnica que pudiera afectarlos.</w:t>
      </w:r>
    </w:p>
    <w:p w:rsidR="00F3645B" w:rsidRDefault="00F3645B" w:rsidP="00F3645B">
      <w:pPr>
        <w:ind w:left="568"/>
        <w:jc w:val="both"/>
        <w:rPr>
          <w:rFonts w:ascii="NewBaskerville" w:hAnsi="NewBaskerville"/>
          <w:color w:val="000000"/>
          <w:lang w:eastAsia="en-US"/>
        </w:rPr>
      </w:pPr>
    </w:p>
    <w:p w:rsidR="00F3645B" w:rsidRPr="00F3645B" w:rsidRDefault="00F3645B" w:rsidP="00F3645B">
      <w:pPr>
        <w:pStyle w:val="Prrafodelista"/>
        <w:numPr>
          <w:ilvl w:val="0"/>
          <w:numId w:val="43"/>
        </w:numPr>
        <w:jc w:val="both"/>
        <w:rPr>
          <w:rFonts w:ascii="NewBaskerville" w:hAnsi="NewBaskerville"/>
          <w:color w:val="000000"/>
          <w:lang w:eastAsia="en-US"/>
        </w:rPr>
      </w:pPr>
      <w:r>
        <w:rPr>
          <w:rFonts w:ascii="NewBaskerville" w:hAnsi="NewBaskerville"/>
          <w:color w:val="000000"/>
          <w:lang w:eastAsia="en-US"/>
        </w:rPr>
        <w:t>Activos por impuesto sobre beneficios diferido.</w:t>
      </w:r>
    </w:p>
    <w:p w:rsidR="00F3645B" w:rsidRDefault="00F3645B" w:rsidP="00E96B8F">
      <w:pPr>
        <w:spacing w:before="100"/>
        <w:ind w:firstLine="568"/>
        <w:jc w:val="both"/>
        <w:rPr>
          <w:rFonts w:ascii="NewBaskerville" w:hAnsi="NewBaskerville"/>
          <w:color w:val="000000"/>
          <w:lang w:eastAsia="en-US"/>
        </w:rPr>
      </w:pPr>
      <w:r>
        <w:rPr>
          <w:rFonts w:ascii="NewBaskerville" w:hAnsi="NewBaskerville"/>
          <w:color w:val="000000"/>
          <w:lang w:eastAsia="en-US"/>
        </w:rPr>
        <w:t xml:space="preserve">Se </w:t>
      </w:r>
      <w:r w:rsidR="003F24D6">
        <w:rPr>
          <w:rFonts w:ascii="NewBaskerville" w:hAnsi="NewBaskerville"/>
          <w:color w:val="000000"/>
          <w:lang w:eastAsia="en-US"/>
        </w:rPr>
        <w:t>evalúa</w:t>
      </w:r>
      <w:r>
        <w:rPr>
          <w:rFonts w:ascii="NewBaskerville" w:hAnsi="NewBaskerville"/>
          <w:color w:val="000000"/>
          <w:lang w:eastAsia="en-US"/>
        </w:rPr>
        <w:t xml:space="preserve"> la probabilidad que </w:t>
      </w:r>
      <w:r w:rsidR="00E36D30">
        <w:rPr>
          <w:rFonts w:ascii="NewBaskerville" w:hAnsi="NewBaskerville"/>
          <w:color w:val="000000"/>
          <w:lang w:eastAsia="en-US"/>
        </w:rPr>
        <w:t>la Entidad</w:t>
      </w:r>
      <w:r>
        <w:rPr>
          <w:rFonts w:ascii="NewBaskerville" w:hAnsi="NewBaskerville"/>
          <w:color w:val="000000"/>
          <w:lang w:eastAsia="en-US"/>
        </w:rPr>
        <w:t xml:space="preserve"> disponga de ganancias futuras que permitan la aplicación de estos activos.</w:t>
      </w:r>
    </w:p>
    <w:p w:rsidR="00E96B8F" w:rsidRDefault="00E96B8F" w:rsidP="00E96B8F">
      <w:pPr>
        <w:jc w:val="both"/>
        <w:rPr>
          <w:rFonts w:ascii="NewBaskerville" w:hAnsi="NewBaskerville"/>
          <w:color w:val="000000"/>
          <w:lang w:eastAsia="en-US"/>
        </w:rPr>
      </w:pPr>
    </w:p>
    <w:p w:rsidR="00E96B8F" w:rsidRDefault="00E96B8F" w:rsidP="00E96B8F">
      <w:pPr>
        <w:ind w:firstLine="567"/>
        <w:jc w:val="both"/>
        <w:rPr>
          <w:rFonts w:ascii="NewBaskerville" w:hAnsi="NewBaskerville"/>
          <w:color w:val="000000"/>
          <w:lang w:eastAsia="en-US"/>
        </w:rPr>
      </w:pPr>
      <w:r>
        <w:rPr>
          <w:rFonts w:ascii="NewBaskerville" w:hAnsi="NewBaskerville"/>
          <w:color w:val="000000"/>
          <w:lang w:eastAsia="en-US"/>
        </w:rPr>
        <w:t>Los cambios de estimaciones contables se aplicarán de forma prospectiva.</w:t>
      </w:r>
    </w:p>
    <w:p w:rsidR="006010B3" w:rsidRDefault="006010B3" w:rsidP="006010B3">
      <w:pPr>
        <w:ind w:firstLine="568"/>
        <w:jc w:val="both"/>
        <w:rPr>
          <w:sz w:val="24"/>
        </w:rPr>
      </w:pPr>
    </w:p>
    <w:p w:rsidR="00E96B8F" w:rsidRPr="00172314" w:rsidRDefault="00172314" w:rsidP="00E96B8F">
      <w:pPr>
        <w:pStyle w:val="Prrafodelista"/>
        <w:numPr>
          <w:ilvl w:val="0"/>
          <w:numId w:val="44"/>
        </w:numPr>
        <w:jc w:val="both"/>
        <w:rPr>
          <w:sz w:val="24"/>
          <w:u w:val="single"/>
        </w:rPr>
      </w:pPr>
      <w:r w:rsidRPr="00172314">
        <w:rPr>
          <w:rFonts w:ascii="NewBaskerville" w:hAnsi="NewBaskerville"/>
          <w:u w:val="single"/>
        </w:rPr>
        <w:t>Comparación de la información</w:t>
      </w:r>
    </w:p>
    <w:p w:rsidR="002C4355" w:rsidRPr="0018037A" w:rsidRDefault="00575642" w:rsidP="00E96B8F">
      <w:pPr>
        <w:spacing w:before="100"/>
        <w:ind w:firstLine="568"/>
        <w:jc w:val="both"/>
        <w:rPr>
          <w:rFonts w:ascii="NewBaskerville" w:hAnsi="NewBaskerville"/>
          <w:b/>
        </w:rPr>
      </w:pPr>
      <w:r w:rsidRPr="00E96B8F">
        <w:rPr>
          <w:rFonts w:ascii="NewBaskerville" w:hAnsi="NewBaskerville"/>
        </w:rPr>
        <w:t>Se</w:t>
      </w:r>
      <w:r w:rsidR="002C4355" w:rsidRPr="00E96B8F">
        <w:rPr>
          <w:rFonts w:ascii="NewBaskerville" w:hAnsi="NewBaskerville"/>
        </w:rPr>
        <w:t xml:space="preserve"> presenta</w:t>
      </w:r>
      <w:r w:rsidRPr="00E96B8F">
        <w:rPr>
          <w:rFonts w:ascii="NewBaskerville" w:hAnsi="NewBaskerville"/>
        </w:rPr>
        <w:t>n</w:t>
      </w:r>
      <w:r w:rsidR="002C4355" w:rsidRPr="00E96B8F">
        <w:rPr>
          <w:rFonts w:ascii="NewBaskerville" w:hAnsi="NewBaskerville"/>
        </w:rPr>
        <w:t xml:space="preserve"> cifras comparativas con el ejercicio 20</w:t>
      </w:r>
      <w:r w:rsidR="00B364F4" w:rsidRPr="00E96B8F">
        <w:rPr>
          <w:rFonts w:ascii="NewBaskerville" w:hAnsi="NewBaskerville"/>
        </w:rPr>
        <w:t>2</w:t>
      </w:r>
      <w:r w:rsidR="005F1915">
        <w:rPr>
          <w:rFonts w:ascii="NewBaskerville" w:hAnsi="NewBaskerville"/>
        </w:rPr>
        <w:t>3</w:t>
      </w:r>
      <w:r w:rsidR="002C4355" w:rsidRPr="00E96B8F">
        <w:rPr>
          <w:rFonts w:ascii="NewBaskerville" w:hAnsi="NewBaskerville"/>
        </w:rPr>
        <w:t>.</w:t>
      </w:r>
    </w:p>
    <w:p w:rsidR="007124E5" w:rsidRDefault="007124E5" w:rsidP="00E96B8F">
      <w:pPr>
        <w:spacing w:before="100"/>
        <w:ind w:firstLine="568"/>
        <w:jc w:val="both"/>
        <w:rPr>
          <w:rFonts w:ascii="NewBaskerville" w:hAnsi="NewBaskerville"/>
        </w:rPr>
      </w:pPr>
      <w:r>
        <w:rPr>
          <w:rFonts w:ascii="NewBaskerville" w:hAnsi="NewBaskerville"/>
        </w:rPr>
        <w:t>A raíz de</w:t>
      </w:r>
      <w:r w:rsidR="00994DDB">
        <w:rPr>
          <w:rFonts w:ascii="NewBaskerville" w:hAnsi="NewBaskerville"/>
        </w:rPr>
        <w:t xml:space="preserve"> </w:t>
      </w:r>
      <w:r>
        <w:rPr>
          <w:rFonts w:ascii="NewBaskerville" w:hAnsi="NewBaskerville"/>
        </w:rPr>
        <w:t>l</w:t>
      </w:r>
      <w:r w:rsidR="00994DDB">
        <w:rPr>
          <w:rFonts w:ascii="NewBaskerville" w:hAnsi="NewBaskerville"/>
        </w:rPr>
        <w:t>a corrección de errores contables</w:t>
      </w:r>
      <w:r>
        <w:rPr>
          <w:rFonts w:ascii="NewBaskerville" w:hAnsi="NewBaskerville"/>
        </w:rPr>
        <w:t xml:space="preserve"> detallado</w:t>
      </w:r>
      <w:r w:rsidR="00994DDB">
        <w:rPr>
          <w:rFonts w:ascii="NewBaskerville" w:hAnsi="NewBaskerville"/>
        </w:rPr>
        <w:t>s</w:t>
      </w:r>
      <w:r>
        <w:rPr>
          <w:rFonts w:ascii="NewBaskerville" w:hAnsi="NewBaskerville"/>
        </w:rPr>
        <w:t xml:space="preserve"> en los apartados siguientes, se han adaptado los importes en Bala</w:t>
      </w:r>
      <w:r w:rsidR="00994DDB">
        <w:rPr>
          <w:rFonts w:ascii="NewBaskerville" w:hAnsi="NewBaskerville"/>
        </w:rPr>
        <w:t>nce</w:t>
      </w:r>
      <w:r w:rsidR="008A39CD">
        <w:rPr>
          <w:rFonts w:ascii="NewBaskerville" w:hAnsi="NewBaskerville"/>
        </w:rPr>
        <w:t xml:space="preserve">, Cuenta de Pérdidas y Ganancias, Estado de Flujos de Efectivo </w:t>
      </w:r>
      <w:r w:rsidR="00994DDB">
        <w:rPr>
          <w:rFonts w:ascii="NewBaskerville" w:hAnsi="NewBaskerville"/>
        </w:rPr>
        <w:t xml:space="preserve"> del ejercicio anterior (202</w:t>
      </w:r>
      <w:r w:rsidR="007369F8">
        <w:rPr>
          <w:rFonts w:ascii="NewBaskerville" w:hAnsi="NewBaskerville"/>
        </w:rPr>
        <w:t>3</w:t>
      </w:r>
      <w:r>
        <w:rPr>
          <w:rFonts w:ascii="NewBaskerville" w:hAnsi="NewBaskerville"/>
        </w:rPr>
        <w:t>) para facilitar su comparación. Dicha adaptación se describe en el cuadro siguiente:</w:t>
      </w:r>
    </w:p>
    <w:p w:rsidR="008A4965" w:rsidRDefault="008A4965" w:rsidP="00E96B8F">
      <w:pPr>
        <w:spacing w:before="100"/>
        <w:ind w:firstLine="568"/>
        <w:jc w:val="both"/>
        <w:rPr>
          <w:rFonts w:ascii="NewBaskerville" w:hAnsi="NewBaskerville"/>
        </w:rPr>
      </w:pPr>
    </w:p>
    <w:p w:rsidR="008A4965" w:rsidRDefault="008A4965" w:rsidP="00E96B8F">
      <w:pPr>
        <w:spacing w:before="100"/>
        <w:ind w:firstLine="568"/>
        <w:jc w:val="both"/>
        <w:rPr>
          <w:rFonts w:ascii="NewBaskerville" w:hAnsi="NewBaskerville"/>
        </w:rPr>
      </w:pPr>
    </w:p>
    <w:tbl>
      <w:tblPr>
        <w:tblW w:w="5000" w:type="pct"/>
        <w:tblCellMar>
          <w:left w:w="70" w:type="dxa"/>
          <w:right w:w="70" w:type="dxa"/>
        </w:tblCellMar>
        <w:tblLook w:val="04A0" w:firstRow="1" w:lastRow="0" w:firstColumn="1" w:lastColumn="0" w:noHBand="0" w:noVBand="1"/>
      </w:tblPr>
      <w:tblGrid>
        <w:gridCol w:w="5372"/>
        <w:gridCol w:w="1994"/>
        <w:gridCol w:w="1987"/>
      </w:tblGrid>
      <w:tr w:rsidR="00394F55" w:rsidRPr="00394F55" w:rsidTr="00F56B43">
        <w:trPr>
          <w:trHeight w:val="300"/>
        </w:trPr>
        <w:tc>
          <w:tcPr>
            <w:tcW w:w="3938" w:type="pct"/>
            <w:gridSpan w:val="2"/>
            <w:tcBorders>
              <w:top w:val="nil"/>
              <w:left w:val="nil"/>
              <w:bottom w:val="nil"/>
              <w:right w:val="nil"/>
            </w:tcBorders>
            <w:shd w:val="clear" w:color="000000" w:fill="FFFFFF"/>
            <w:noWrap/>
            <w:vAlign w:val="bottom"/>
            <w:hideMark/>
          </w:tcPr>
          <w:p w:rsidR="00394F55" w:rsidRPr="00394F55" w:rsidRDefault="00394F55" w:rsidP="00394F55">
            <w:pPr>
              <w:rPr>
                <w:rFonts w:ascii="Lucida Bright" w:hAnsi="Lucida Bright" w:cs="Calibri"/>
                <w:b/>
                <w:bCs/>
                <w:sz w:val="18"/>
                <w:szCs w:val="18"/>
                <w:lang w:val="es-ES"/>
              </w:rPr>
            </w:pPr>
            <w:r w:rsidRPr="00394F55">
              <w:rPr>
                <w:rFonts w:ascii="Lucida Bright" w:hAnsi="Lucida Bright" w:cs="Calibri"/>
                <w:b/>
                <w:bCs/>
                <w:sz w:val="18"/>
                <w:szCs w:val="18"/>
                <w:lang w:val="es-ES"/>
              </w:rPr>
              <w:t>Balance al cierre del ejercicio 2024 (cifras comparativas 2023)</w:t>
            </w:r>
          </w:p>
        </w:tc>
        <w:tc>
          <w:tcPr>
            <w:tcW w:w="1062" w:type="pct"/>
            <w:tcBorders>
              <w:top w:val="nil"/>
              <w:left w:val="nil"/>
              <w:bottom w:val="nil"/>
              <w:right w:val="nil"/>
            </w:tcBorders>
            <w:shd w:val="clear" w:color="000000" w:fill="FFFFFF"/>
            <w:noWrap/>
            <w:vAlign w:val="center"/>
            <w:hideMark/>
          </w:tcPr>
          <w:p w:rsidR="00394F55" w:rsidRPr="00394F55" w:rsidRDefault="00394F55" w:rsidP="00394F55">
            <w:pPr>
              <w:rPr>
                <w:rFonts w:ascii="Lucida Bright" w:hAnsi="Lucida Bright" w:cs="Calibri"/>
                <w:sz w:val="18"/>
                <w:szCs w:val="18"/>
                <w:lang w:val="es-ES"/>
              </w:rPr>
            </w:pPr>
            <w:r w:rsidRPr="00394F55">
              <w:rPr>
                <w:rFonts w:ascii="Lucida Bright" w:hAnsi="Lucida Bright" w:cs="Calibri"/>
                <w:sz w:val="18"/>
                <w:szCs w:val="18"/>
                <w:lang w:val="es-ES"/>
              </w:rPr>
              <w:t>(en euros)</w:t>
            </w:r>
          </w:p>
        </w:tc>
      </w:tr>
      <w:tr w:rsidR="00394F55" w:rsidRPr="00394F55" w:rsidTr="00F56B43">
        <w:trPr>
          <w:trHeight w:val="720"/>
        </w:trPr>
        <w:tc>
          <w:tcPr>
            <w:tcW w:w="2872"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94F55" w:rsidRPr="00394F55" w:rsidRDefault="00394F55" w:rsidP="00394F55">
            <w:pPr>
              <w:jc w:val="center"/>
              <w:rPr>
                <w:rFonts w:ascii="Lucida Bright" w:hAnsi="Lucida Bright" w:cs="Calibri"/>
                <w:b/>
                <w:bCs/>
                <w:sz w:val="18"/>
                <w:szCs w:val="18"/>
                <w:lang w:val="es-ES"/>
              </w:rPr>
            </w:pPr>
            <w:r w:rsidRPr="00394F55">
              <w:rPr>
                <w:rFonts w:ascii="Lucida Bright" w:hAnsi="Lucida Bright" w:cs="Calibri"/>
                <w:b/>
                <w:bCs/>
                <w:sz w:val="18"/>
                <w:szCs w:val="18"/>
                <w:lang w:val="es-ES"/>
              </w:rPr>
              <w:t>ACTIVO</w:t>
            </w:r>
          </w:p>
        </w:tc>
        <w:tc>
          <w:tcPr>
            <w:tcW w:w="1066" w:type="pct"/>
            <w:tcBorders>
              <w:top w:val="single" w:sz="4" w:space="0" w:color="auto"/>
              <w:left w:val="nil"/>
              <w:bottom w:val="single" w:sz="4" w:space="0" w:color="auto"/>
              <w:right w:val="single" w:sz="4" w:space="0" w:color="auto"/>
            </w:tcBorders>
            <w:shd w:val="clear" w:color="000000" w:fill="CCFFCC"/>
            <w:vAlign w:val="center"/>
            <w:hideMark/>
          </w:tcPr>
          <w:p w:rsidR="00394F55" w:rsidRPr="00394F55" w:rsidRDefault="00394F55" w:rsidP="00394F55">
            <w:pPr>
              <w:jc w:val="center"/>
              <w:rPr>
                <w:rFonts w:ascii="Lucida Bright" w:hAnsi="Lucida Bright" w:cs="Calibri"/>
                <w:b/>
                <w:bCs/>
                <w:sz w:val="18"/>
                <w:szCs w:val="18"/>
                <w:lang w:val="es-ES"/>
              </w:rPr>
            </w:pPr>
            <w:r w:rsidRPr="00394F55">
              <w:rPr>
                <w:rFonts w:ascii="Lucida Bright" w:hAnsi="Lucida Bright" w:cs="Calibri"/>
                <w:b/>
                <w:bCs/>
                <w:sz w:val="18"/>
                <w:szCs w:val="18"/>
                <w:lang w:val="es-ES"/>
              </w:rPr>
              <w:t>2023 (Balance formulado en 2024)</w:t>
            </w:r>
          </w:p>
        </w:tc>
        <w:tc>
          <w:tcPr>
            <w:tcW w:w="1062" w:type="pct"/>
            <w:tcBorders>
              <w:top w:val="single" w:sz="4" w:space="0" w:color="auto"/>
              <w:left w:val="nil"/>
              <w:bottom w:val="single" w:sz="4" w:space="0" w:color="auto"/>
              <w:right w:val="single" w:sz="4" w:space="0" w:color="auto"/>
            </w:tcBorders>
            <w:shd w:val="clear" w:color="000000" w:fill="CCFFCC"/>
            <w:vAlign w:val="center"/>
            <w:hideMark/>
          </w:tcPr>
          <w:p w:rsidR="00394F55" w:rsidRPr="00394F55" w:rsidRDefault="00394F55" w:rsidP="00394F55">
            <w:pPr>
              <w:jc w:val="center"/>
              <w:rPr>
                <w:rFonts w:ascii="Lucida Bright" w:hAnsi="Lucida Bright" w:cs="Calibri"/>
                <w:b/>
                <w:bCs/>
                <w:sz w:val="18"/>
                <w:szCs w:val="18"/>
                <w:lang w:val="es-ES"/>
              </w:rPr>
            </w:pPr>
            <w:r w:rsidRPr="00394F55">
              <w:rPr>
                <w:rFonts w:ascii="Lucida Bright" w:hAnsi="Lucida Bright" w:cs="Calibri"/>
                <w:b/>
                <w:bCs/>
                <w:sz w:val="18"/>
                <w:szCs w:val="18"/>
                <w:lang w:val="es-ES"/>
              </w:rPr>
              <w:t>2023 (Balance formulado</w:t>
            </w:r>
            <w:r w:rsidR="00F56B43">
              <w:rPr>
                <w:rFonts w:ascii="Lucida Bright" w:hAnsi="Lucida Bright" w:cs="Calibri"/>
                <w:b/>
                <w:bCs/>
                <w:sz w:val="18"/>
                <w:szCs w:val="18"/>
                <w:lang w:val="es-ES"/>
              </w:rPr>
              <w:t xml:space="preserve"> en</w:t>
            </w:r>
            <w:r w:rsidRPr="00394F55">
              <w:rPr>
                <w:rFonts w:ascii="Lucida Bright" w:hAnsi="Lucida Bright" w:cs="Calibri"/>
                <w:b/>
                <w:bCs/>
                <w:sz w:val="18"/>
                <w:szCs w:val="18"/>
                <w:lang w:val="es-ES"/>
              </w:rPr>
              <w:t xml:space="preserve"> 2023)</w:t>
            </w:r>
          </w:p>
        </w:tc>
      </w:tr>
      <w:tr w:rsidR="00394F55" w:rsidRPr="00394F55" w:rsidTr="00F56B43">
        <w:trPr>
          <w:trHeight w:val="139"/>
        </w:trPr>
        <w:tc>
          <w:tcPr>
            <w:tcW w:w="2872" w:type="pct"/>
            <w:tcBorders>
              <w:top w:val="nil"/>
              <w:left w:val="single" w:sz="4" w:space="0" w:color="auto"/>
              <w:bottom w:val="nil"/>
              <w:right w:val="single" w:sz="4" w:space="0" w:color="auto"/>
            </w:tcBorders>
            <w:shd w:val="clear" w:color="auto" w:fill="auto"/>
            <w:noWrap/>
            <w:vAlign w:val="bottom"/>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w:t>
            </w:r>
          </w:p>
        </w:tc>
        <w:tc>
          <w:tcPr>
            <w:tcW w:w="1066" w:type="pct"/>
            <w:tcBorders>
              <w:top w:val="nil"/>
              <w:left w:val="nil"/>
              <w:bottom w:val="nil"/>
              <w:right w:val="single" w:sz="4" w:space="0" w:color="auto"/>
            </w:tcBorders>
            <w:shd w:val="clear" w:color="auto" w:fill="auto"/>
            <w:noWrap/>
            <w:vAlign w:val="bottom"/>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w:t>
            </w:r>
          </w:p>
        </w:tc>
        <w:tc>
          <w:tcPr>
            <w:tcW w:w="1062" w:type="pct"/>
            <w:tcBorders>
              <w:top w:val="nil"/>
              <w:left w:val="nil"/>
              <w:bottom w:val="nil"/>
              <w:right w:val="single" w:sz="4" w:space="0" w:color="auto"/>
            </w:tcBorders>
            <w:shd w:val="clear" w:color="auto" w:fill="auto"/>
            <w:noWrap/>
            <w:vAlign w:val="bottom"/>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w:t>
            </w:r>
          </w:p>
        </w:tc>
      </w:tr>
      <w:tr w:rsidR="00394F55" w:rsidRPr="00394F55" w:rsidTr="00F56B43">
        <w:trPr>
          <w:trHeight w:val="210"/>
        </w:trPr>
        <w:tc>
          <w:tcPr>
            <w:tcW w:w="2872" w:type="pct"/>
            <w:tcBorders>
              <w:top w:val="nil"/>
              <w:left w:val="single" w:sz="4" w:space="0" w:color="auto"/>
              <w:bottom w:val="nil"/>
              <w:right w:val="single" w:sz="4" w:space="0" w:color="auto"/>
            </w:tcBorders>
            <w:shd w:val="clear" w:color="000000" w:fill="CCFFCC"/>
            <w:noWrap/>
            <w:vAlign w:val="center"/>
            <w:hideMark/>
          </w:tcPr>
          <w:p w:rsidR="00394F55" w:rsidRPr="00394F55" w:rsidRDefault="00394F55" w:rsidP="00394F55">
            <w:pPr>
              <w:rPr>
                <w:rFonts w:ascii="Lucida Bright" w:hAnsi="Lucida Bright" w:cs="Calibri"/>
                <w:b/>
                <w:bCs/>
                <w:sz w:val="14"/>
                <w:szCs w:val="14"/>
                <w:lang w:val="es-ES"/>
              </w:rPr>
            </w:pPr>
            <w:r w:rsidRPr="00394F55">
              <w:rPr>
                <w:rFonts w:ascii="Lucida Bright" w:hAnsi="Lucida Bright" w:cs="Calibri"/>
                <w:b/>
                <w:bCs/>
                <w:sz w:val="14"/>
                <w:szCs w:val="14"/>
                <w:lang w:val="es-ES"/>
              </w:rPr>
              <w:t xml:space="preserve"> A) ACTIVO NO CORRIENTE</w:t>
            </w:r>
          </w:p>
        </w:tc>
        <w:tc>
          <w:tcPr>
            <w:tcW w:w="1066" w:type="pct"/>
            <w:tcBorders>
              <w:top w:val="nil"/>
              <w:left w:val="nil"/>
              <w:bottom w:val="nil"/>
              <w:right w:val="single" w:sz="4" w:space="0" w:color="auto"/>
            </w:tcBorders>
            <w:shd w:val="clear" w:color="000000" w:fill="CCFFCC"/>
            <w:noWrap/>
            <w:vAlign w:val="center"/>
            <w:hideMark/>
          </w:tcPr>
          <w:p w:rsidR="00394F55" w:rsidRPr="00394F55" w:rsidRDefault="00394F55" w:rsidP="00394F55">
            <w:pPr>
              <w:jc w:val="right"/>
              <w:rPr>
                <w:rFonts w:ascii="Lucida Bright" w:hAnsi="Lucida Bright" w:cs="Calibri"/>
                <w:b/>
                <w:bCs/>
                <w:sz w:val="14"/>
                <w:szCs w:val="14"/>
                <w:lang w:val="es-ES"/>
              </w:rPr>
            </w:pPr>
            <w:r w:rsidRPr="00394F55">
              <w:rPr>
                <w:rFonts w:ascii="Lucida Bright" w:hAnsi="Lucida Bright" w:cs="Calibri"/>
                <w:b/>
                <w:bCs/>
                <w:sz w:val="14"/>
                <w:szCs w:val="14"/>
                <w:lang w:val="es-ES"/>
              </w:rPr>
              <w:t xml:space="preserve">493.660.375,61 </w:t>
            </w:r>
          </w:p>
        </w:tc>
        <w:tc>
          <w:tcPr>
            <w:tcW w:w="1062" w:type="pct"/>
            <w:tcBorders>
              <w:top w:val="nil"/>
              <w:left w:val="nil"/>
              <w:bottom w:val="nil"/>
              <w:right w:val="single" w:sz="4" w:space="0" w:color="auto"/>
            </w:tcBorders>
            <w:shd w:val="clear" w:color="000000" w:fill="CCFFCC"/>
            <w:noWrap/>
            <w:vAlign w:val="center"/>
            <w:hideMark/>
          </w:tcPr>
          <w:p w:rsidR="00394F55" w:rsidRPr="00394F55" w:rsidRDefault="00394F55" w:rsidP="00394F55">
            <w:pPr>
              <w:jc w:val="right"/>
              <w:rPr>
                <w:rFonts w:ascii="Lucida Bright" w:hAnsi="Lucida Bright" w:cs="Calibri"/>
                <w:b/>
                <w:bCs/>
                <w:sz w:val="14"/>
                <w:szCs w:val="14"/>
                <w:lang w:val="es-ES"/>
              </w:rPr>
            </w:pPr>
            <w:r w:rsidRPr="00394F55">
              <w:rPr>
                <w:rFonts w:ascii="Lucida Bright" w:hAnsi="Lucida Bright" w:cs="Calibri"/>
                <w:b/>
                <w:bCs/>
                <w:sz w:val="14"/>
                <w:szCs w:val="14"/>
                <w:lang w:val="es-ES"/>
              </w:rPr>
              <w:t xml:space="preserve">493.509.931,34 </w:t>
            </w:r>
          </w:p>
        </w:tc>
      </w:tr>
      <w:tr w:rsidR="00394F55" w:rsidRPr="00394F55" w:rsidTr="00F56B43">
        <w:trPr>
          <w:trHeight w:val="139"/>
        </w:trPr>
        <w:tc>
          <w:tcPr>
            <w:tcW w:w="2872" w:type="pct"/>
            <w:tcBorders>
              <w:top w:val="nil"/>
              <w:left w:val="single" w:sz="4" w:space="0" w:color="auto"/>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w:t>
            </w:r>
          </w:p>
        </w:tc>
        <w:tc>
          <w:tcPr>
            <w:tcW w:w="1066" w:type="pct"/>
            <w:tcBorders>
              <w:top w:val="nil"/>
              <w:left w:val="nil"/>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w:t>
            </w:r>
          </w:p>
        </w:tc>
        <w:tc>
          <w:tcPr>
            <w:tcW w:w="1062" w:type="pct"/>
            <w:tcBorders>
              <w:top w:val="nil"/>
              <w:left w:val="nil"/>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w:t>
            </w:r>
          </w:p>
        </w:tc>
      </w:tr>
      <w:tr w:rsidR="00394F55" w:rsidRPr="00394F55" w:rsidTr="00F56B43">
        <w:trPr>
          <w:trHeight w:val="210"/>
        </w:trPr>
        <w:tc>
          <w:tcPr>
            <w:tcW w:w="2872" w:type="pct"/>
            <w:tcBorders>
              <w:top w:val="nil"/>
              <w:left w:val="single" w:sz="4" w:space="0" w:color="auto"/>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b/>
                <w:bCs/>
                <w:sz w:val="14"/>
                <w:szCs w:val="14"/>
                <w:lang w:val="es-ES"/>
              </w:rPr>
            </w:pPr>
            <w:r w:rsidRPr="00394F55">
              <w:rPr>
                <w:rFonts w:ascii="Lucida Bright" w:hAnsi="Lucida Bright" w:cs="Calibri"/>
                <w:b/>
                <w:bCs/>
                <w:sz w:val="14"/>
                <w:szCs w:val="14"/>
                <w:lang w:val="es-ES"/>
              </w:rPr>
              <w:t xml:space="preserve">    I. Inmovilizado intangible</w:t>
            </w:r>
          </w:p>
        </w:tc>
        <w:tc>
          <w:tcPr>
            <w:tcW w:w="1066"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b/>
                <w:bCs/>
                <w:sz w:val="14"/>
                <w:szCs w:val="14"/>
                <w:lang w:val="es-ES"/>
              </w:rPr>
            </w:pPr>
            <w:r w:rsidRPr="00394F55">
              <w:rPr>
                <w:rFonts w:ascii="Lucida Bright" w:hAnsi="Lucida Bright" w:cs="Calibri"/>
                <w:b/>
                <w:bCs/>
                <w:sz w:val="14"/>
                <w:szCs w:val="14"/>
                <w:lang w:val="es-ES"/>
              </w:rPr>
              <w:t xml:space="preserve">4.132.277,94 </w:t>
            </w:r>
          </w:p>
        </w:tc>
        <w:tc>
          <w:tcPr>
            <w:tcW w:w="1062"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b/>
                <w:bCs/>
                <w:sz w:val="14"/>
                <w:szCs w:val="14"/>
                <w:lang w:val="es-ES"/>
              </w:rPr>
            </w:pPr>
            <w:r w:rsidRPr="00394F55">
              <w:rPr>
                <w:rFonts w:ascii="Lucida Bright" w:hAnsi="Lucida Bright" w:cs="Calibri"/>
                <w:b/>
                <w:bCs/>
                <w:sz w:val="14"/>
                <w:szCs w:val="14"/>
                <w:lang w:val="es-ES"/>
              </w:rPr>
              <w:t xml:space="preserve">732.614,73 </w:t>
            </w:r>
          </w:p>
        </w:tc>
      </w:tr>
      <w:tr w:rsidR="00394F55" w:rsidRPr="00394F55" w:rsidTr="00F56B43">
        <w:trPr>
          <w:trHeight w:val="210"/>
        </w:trPr>
        <w:tc>
          <w:tcPr>
            <w:tcW w:w="2872" w:type="pct"/>
            <w:tcBorders>
              <w:top w:val="nil"/>
              <w:left w:val="single" w:sz="4" w:space="0" w:color="auto"/>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xml:space="preserve">       1. Propiedad industrial y otro inmovilizado intangible</w:t>
            </w:r>
          </w:p>
        </w:tc>
        <w:tc>
          <w:tcPr>
            <w:tcW w:w="1066"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 </w:t>
            </w:r>
          </w:p>
        </w:tc>
        <w:tc>
          <w:tcPr>
            <w:tcW w:w="1062"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 </w:t>
            </w:r>
          </w:p>
        </w:tc>
      </w:tr>
      <w:tr w:rsidR="00394F55" w:rsidRPr="00394F55" w:rsidTr="00F56B43">
        <w:trPr>
          <w:trHeight w:val="210"/>
        </w:trPr>
        <w:tc>
          <w:tcPr>
            <w:tcW w:w="2872" w:type="pct"/>
            <w:tcBorders>
              <w:top w:val="nil"/>
              <w:left w:val="single" w:sz="4" w:space="0" w:color="auto"/>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xml:space="preserve">       2. Aplicaciones informáticas</w:t>
            </w:r>
          </w:p>
        </w:tc>
        <w:tc>
          <w:tcPr>
            <w:tcW w:w="1066"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4.132.277,94 </w:t>
            </w:r>
          </w:p>
        </w:tc>
        <w:tc>
          <w:tcPr>
            <w:tcW w:w="1062"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732.614,73 </w:t>
            </w:r>
          </w:p>
        </w:tc>
      </w:tr>
      <w:tr w:rsidR="00394F55" w:rsidRPr="00394F55" w:rsidTr="00F56B43">
        <w:trPr>
          <w:trHeight w:val="210"/>
        </w:trPr>
        <w:tc>
          <w:tcPr>
            <w:tcW w:w="2872" w:type="pct"/>
            <w:tcBorders>
              <w:top w:val="nil"/>
              <w:left w:val="single" w:sz="4" w:space="0" w:color="auto"/>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xml:space="preserve">       3. Anticipos para inmovilizaciones intangibles</w:t>
            </w:r>
          </w:p>
        </w:tc>
        <w:tc>
          <w:tcPr>
            <w:tcW w:w="1066"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 </w:t>
            </w:r>
          </w:p>
        </w:tc>
        <w:tc>
          <w:tcPr>
            <w:tcW w:w="1062"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 </w:t>
            </w:r>
          </w:p>
        </w:tc>
      </w:tr>
      <w:tr w:rsidR="00394F55" w:rsidRPr="00394F55" w:rsidTr="00F56B43">
        <w:trPr>
          <w:trHeight w:val="139"/>
        </w:trPr>
        <w:tc>
          <w:tcPr>
            <w:tcW w:w="2872" w:type="pct"/>
            <w:tcBorders>
              <w:top w:val="nil"/>
              <w:left w:val="single" w:sz="4" w:space="0" w:color="auto"/>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w:t>
            </w:r>
          </w:p>
        </w:tc>
        <w:tc>
          <w:tcPr>
            <w:tcW w:w="1066" w:type="pct"/>
            <w:tcBorders>
              <w:top w:val="nil"/>
              <w:left w:val="nil"/>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w:t>
            </w:r>
          </w:p>
        </w:tc>
        <w:tc>
          <w:tcPr>
            <w:tcW w:w="1062" w:type="pct"/>
            <w:tcBorders>
              <w:top w:val="nil"/>
              <w:left w:val="nil"/>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w:t>
            </w:r>
          </w:p>
        </w:tc>
      </w:tr>
      <w:tr w:rsidR="00394F55" w:rsidRPr="00394F55" w:rsidTr="00F56B43">
        <w:trPr>
          <w:trHeight w:val="210"/>
        </w:trPr>
        <w:tc>
          <w:tcPr>
            <w:tcW w:w="2872" w:type="pct"/>
            <w:tcBorders>
              <w:top w:val="nil"/>
              <w:left w:val="single" w:sz="4" w:space="0" w:color="auto"/>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b/>
                <w:bCs/>
                <w:sz w:val="14"/>
                <w:szCs w:val="14"/>
                <w:lang w:val="es-ES"/>
              </w:rPr>
            </w:pPr>
            <w:r w:rsidRPr="00394F55">
              <w:rPr>
                <w:rFonts w:ascii="Lucida Bright" w:hAnsi="Lucida Bright" w:cs="Calibri"/>
                <w:b/>
                <w:bCs/>
                <w:sz w:val="14"/>
                <w:szCs w:val="14"/>
                <w:lang w:val="es-ES"/>
              </w:rPr>
              <w:t xml:space="preserve">   II. Inmovilizado material</w:t>
            </w:r>
          </w:p>
        </w:tc>
        <w:tc>
          <w:tcPr>
            <w:tcW w:w="1066"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b/>
                <w:bCs/>
                <w:sz w:val="14"/>
                <w:szCs w:val="14"/>
                <w:lang w:val="es-ES"/>
              </w:rPr>
            </w:pPr>
            <w:r w:rsidRPr="00394F55">
              <w:rPr>
                <w:rFonts w:ascii="Lucida Bright" w:hAnsi="Lucida Bright" w:cs="Calibri"/>
                <w:b/>
                <w:bCs/>
                <w:sz w:val="14"/>
                <w:szCs w:val="14"/>
                <w:lang w:val="es-ES"/>
              </w:rPr>
              <w:t xml:space="preserve">398.009.848,99 </w:t>
            </w:r>
          </w:p>
        </w:tc>
        <w:tc>
          <w:tcPr>
            <w:tcW w:w="1062"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b/>
                <w:bCs/>
                <w:sz w:val="14"/>
                <w:szCs w:val="14"/>
                <w:lang w:val="es-ES"/>
              </w:rPr>
            </w:pPr>
            <w:r w:rsidRPr="00394F55">
              <w:rPr>
                <w:rFonts w:ascii="Lucida Bright" w:hAnsi="Lucida Bright" w:cs="Calibri"/>
                <w:b/>
                <w:bCs/>
                <w:sz w:val="14"/>
                <w:szCs w:val="14"/>
                <w:lang w:val="es-ES"/>
              </w:rPr>
              <w:t xml:space="preserve">409.482.302,86 </w:t>
            </w:r>
          </w:p>
        </w:tc>
      </w:tr>
      <w:tr w:rsidR="00394F55" w:rsidRPr="00394F55" w:rsidTr="00F56B43">
        <w:trPr>
          <w:trHeight w:val="210"/>
        </w:trPr>
        <w:tc>
          <w:tcPr>
            <w:tcW w:w="2872" w:type="pct"/>
            <w:tcBorders>
              <w:top w:val="nil"/>
              <w:left w:val="single" w:sz="4" w:space="0" w:color="auto"/>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xml:space="preserve">       1. Terrenos y bienes naturales</w:t>
            </w:r>
          </w:p>
        </w:tc>
        <w:tc>
          <w:tcPr>
            <w:tcW w:w="1066"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78.263.962,94 </w:t>
            </w:r>
          </w:p>
        </w:tc>
        <w:tc>
          <w:tcPr>
            <w:tcW w:w="1062"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77.840.742,19 </w:t>
            </w:r>
          </w:p>
        </w:tc>
      </w:tr>
      <w:tr w:rsidR="00394F55" w:rsidRPr="00394F55" w:rsidTr="00F56B43">
        <w:trPr>
          <w:trHeight w:val="210"/>
        </w:trPr>
        <w:tc>
          <w:tcPr>
            <w:tcW w:w="2872" w:type="pct"/>
            <w:tcBorders>
              <w:top w:val="nil"/>
              <w:left w:val="single" w:sz="4" w:space="0" w:color="auto"/>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xml:space="preserve">       2. Construcciones</w:t>
            </w:r>
          </w:p>
        </w:tc>
        <w:tc>
          <w:tcPr>
            <w:tcW w:w="1066"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269.252.321,63 </w:t>
            </w:r>
          </w:p>
        </w:tc>
        <w:tc>
          <w:tcPr>
            <w:tcW w:w="1062"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254.990.170,48 </w:t>
            </w:r>
          </w:p>
        </w:tc>
      </w:tr>
      <w:tr w:rsidR="00394F55" w:rsidRPr="00394F55" w:rsidTr="00F56B43">
        <w:trPr>
          <w:trHeight w:val="210"/>
        </w:trPr>
        <w:tc>
          <w:tcPr>
            <w:tcW w:w="2872" w:type="pct"/>
            <w:tcBorders>
              <w:top w:val="nil"/>
              <w:left w:val="single" w:sz="4" w:space="0" w:color="auto"/>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xml:space="preserve">       3. Equipamientos e instalaciones técnicas</w:t>
            </w:r>
          </w:p>
        </w:tc>
        <w:tc>
          <w:tcPr>
            <w:tcW w:w="1066"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8.034.451,13 </w:t>
            </w:r>
          </w:p>
        </w:tc>
        <w:tc>
          <w:tcPr>
            <w:tcW w:w="1062"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7.668.418,86 </w:t>
            </w:r>
          </w:p>
        </w:tc>
      </w:tr>
      <w:tr w:rsidR="00394F55" w:rsidRPr="00394F55" w:rsidTr="00F56B43">
        <w:trPr>
          <w:trHeight w:val="210"/>
        </w:trPr>
        <w:tc>
          <w:tcPr>
            <w:tcW w:w="2872" w:type="pct"/>
            <w:tcBorders>
              <w:top w:val="nil"/>
              <w:left w:val="single" w:sz="4" w:space="0" w:color="auto"/>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xml:space="preserve">       4. Inmovilizado en curso y anticipos</w:t>
            </w:r>
          </w:p>
        </w:tc>
        <w:tc>
          <w:tcPr>
            <w:tcW w:w="1066"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36.454.995,18 </w:t>
            </w:r>
          </w:p>
        </w:tc>
        <w:tc>
          <w:tcPr>
            <w:tcW w:w="1062"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66.538.697,87 </w:t>
            </w:r>
          </w:p>
        </w:tc>
      </w:tr>
      <w:tr w:rsidR="00394F55" w:rsidRPr="00394F55" w:rsidTr="00F56B43">
        <w:trPr>
          <w:trHeight w:val="210"/>
        </w:trPr>
        <w:tc>
          <w:tcPr>
            <w:tcW w:w="2872" w:type="pct"/>
            <w:tcBorders>
              <w:top w:val="nil"/>
              <w:left w:val="single" w:sz="4" w:space="0" w:color="auto"/>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xml:space="preserve">       5. Otro inmovilizado</w:t>
            </w:r>
          </w:p>
        </w:tc>
        <w:tc>
          <w:tcPr>
            <w:tcW w:w="1066"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6.004.118,11 </w:t>
            </w:r>
          </w:p>
        </w:tc>
        <w:tc>
          <w:tcPr>
            <w:tcW w:w="1062"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2.444.273,46 </w:t>
            </w:r>
          </w:p>
        </w:tc>
      </w:tr>
      <w:tr w:rsidR="00394F55" w:rsidRPr="00394F55" w:rsidTr="00F56B43">
        <w:trPr>
          <w:trHeight w:val="139"/>
        </w:trPr>
        <w:tc>
          <w:tcPr>
            <w:tcW w:w="2872" w:type="pct"/>
            <w:tcBorders>
              <w:top w:val="nil"/>
              <w:left w:val="single" w:sz="4" w:space="0" w:color="auto"/>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w:t>
            </w:r>
          </w:p>
        </w:tc>
        <w:tc>
          <w:tcPr>
            <w:tcW w:w="1066" w:type="pct"/>
            <w:tcBorders>
              <w:top w:val="nil"/>
              <w:left w:val="nil"/>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w:t>
            </w:r>
          </w:p>
        </w:tc>
        <w:tc>
          <w:tcPr>
            <w:tcW w:w="1062" w:type="pct"/>
            <w:tcBorders>
              <w:top w:val="nil"/>
              <w:left w:val="nil"/>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w:t>
            </w:r>
          </w:p>
        </w:tc>
      </w:tr>
      <w:tr w:rsidR="00394F55" w:rsidRPr="00394F55" w:rsidTr="00F56B43">
        <w:trPr>
          <w:trHeight w:val="210"/>
        </w:trPr>
        <w:tc>
          <w:tcPr>
            <w:tcW w:w="2872" w:type="pct"/>
            <w:tcBorders>
              <w:top w:val="nil"/>
              <w:left w:val="single" w:sz="4" w:space="0" w:color="auto"/>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b/>
                <w:bCs/>
                <w:sz w:val="14"/>
                <w:szCs w:val="14"/>
                <w:lang w:val="es-ES"/>
              </w:rPr>
            </w:pPr>
            <w:r w:rsidRPr="00394F55">
              <w:rPr>
                <w:rFonts w:ascii="Lucida Bright" w:hAnsi="Lucida Bright" w:cs="Calibri"/>
                <w:b/>
                <w:bCs/>
                <w:sz w:val="14"/>
                <w:szCs w:val="14"/>
                <w:lang w:val="es-ES"/>
              </w:rPr>
              <w:t xml:space="preserve">  III. Inversiones inmobiliarias</w:t>
            </w:r>
          </w:p>
        </w:tc>
        <w:tc>
          <w:tcPr>
            <w:tcW w:w="1066"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b/>
                <w:bCs/>
                <w:sz w:val="14"/>
                <w:szCs w:val="14"/>
                <w:lang w:val="es-ES"/>
              </w:rPr>
            </w:pPr>
            <w:r w:rsidRPr="00394F55">
              <w:rPr>
                <w:rFonts w:ascii="Lucida Bright" w:hAnsi="Lucida Bright" w:cs="Calibri"/>
                <w:b/>
                <w:bCs/>
                <w:sz w:val="14"/>
                <w:szCs w:val="14"/>
                <w:lang w:val="es-ES"/>
              </w:rPr>
              <w:t xml:space="preserve">84.055.938,37 </w:t>
            </w:r>
          </w:p>
        </w:tc>
        <w:tc>
          <w:tcPr>
            <w:tcW w:w="1062"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b/>
                <w:bCs/>
                <w:sz w:val="14"/>
                <w:szCs w:val="14"/>
                <w:lang w:val="es-ES"/>
              </w:rPr>
            </w:pPr>
            <w:r w:rsidRPr="00394F55">
              <w:rPr>
                <w:rFonts w:ascii="Lucida Bright" w:hAnsi="Lucida Bright" w:cs="Calibri"/>
                <w:b/>
                <w:bCs/>
                <w:sz w:val="14"/>
                <w:szCs w:val="14"/>
                <w:lang w:val="es-ES"/>
              </w:rPr>
              <w:t xml:space="preserve">75.832.703,44 </w:t>
            </w:r>
          </w:p>
        </w:tc>
      </w:tr>
      <w:tr w:rsidR="00394F55" w:rsidRPr="00394F55" w:rsidTr="00F56B43">
        <w:trPr>
          <w:trHeight w:val="210"/>
        </w:trPr>
        <w:tc>
          <w:tcPr>
            <w:tcW w:w="2872" w:type="pct"/>
            <w:tcBorders>
              <w:top w:val="nil"/>
              <w:left w:val="single" w:sz="4" w:space="0" w:color="auto"/>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xml:space="preserve">       1. Terrenos</w:t>
            </w:r>
          </w:p>
        </w:tc>
        <w:tc>
          <w:tcPr>
            <w:tcW w:w="1066"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64.033.614,39 </w:t>
            </w:r>
          </w:p>
        </w:tc>
        <w:tc>
          <w:tcPr>
            <w:tcW w:w="1062"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64.033.614,39 </w:t>
            </w:r>
          </w:p>
        </w:tc>
      </w:tr>
      <w:tr w:rsidR="00394F55" w:rsidRPr="00394F55" w:rsidTr="00F56B43">
        <w:trPr>
          <w:trHeight w:val="210"/>
        </w:trPr>
        <w:tc>
          <w:tcPr>
            <w:tcW w:w="2872" w:type="pct"/>
            <w:tcBorders>
              <w:top w:val="nil"/>
              <w:left w:val="single" w:sz="4" w:space="0" w:color="auto"/>
              <w:bottom w:val="nil"/>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xml:space="preserve">       2. Construcciones</w:t>
            </w:r>
          </w:p>
        </w:tc>
        <w:tc>
          <w:tcPr>
            <w:tcW w:w="1066"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20.022.323,98 </w:t>
            </w:r>
          </w:p>
        </w:tc>
        <w:tc>
          <w:tcPr>
            <w:tcW w:w="1062" w:type="pct"/>
            <w:tcBorders>
              <w:top w:val="nil"/>
              <w:left w:val="nil"/>
              <w:bottom w:val="nil"/>
              <w:right w:val="single" w:sz="4" w:space="0" w:color="auto"/>
            </w:tcBorders>
            <w:shd w:val="clear" w:color="auto" w:fill="auto"/>
            <w:noWrap/>
            <w:vAlign w:val="center"/>
            <w:hideMark/>
          </w:tcPr>
          <w:p w:rsidR="00394F55" w:rsidRPr="00394F55" w:rsidRDefault="00394F55" w:rsidP="00394F55">
            <w:pPr>
              <w:jc w:val="right"/>
              <w:rPr>
                <w:rFonts w:ascii="Lucida Bright" w:hAnsi="Lucida Bright" w:cs="Calibri"/>
                <w:sz w:val="14"/>
                <w:szCs w:val="14"/>
                <w:lang w:val="es-ES"/>
              </w:rPr>
            </w:pPr>
            <w:r w:rsidRPr="00394F55">
              <w:rPr>
                <w:rFonts w:ascii="Lucida Bright" w:hAnsi="Lucida Bright" w:cs="Calibri"/>
                <w:sz w:val="14"/>
                <w:szCs w:val="14"/>
                <w:lang w:val="es-ES"/>
              </w:rPr>
              <w:t xml:space="preserve">11.799.089,05 </w:t>
            </w:r>
          </w:p>
        </w:tc>
      </w:tr>
      <w:tr w:rsidR="00394F55" w:rsidRPr="00394F55" w:rsidTr="00F56B43">
        <w:trPr>
          <w:trHeight w:val="139"/>
        </w:trPr>
        <w:tc>
          <w:tcPr>
            <w:tcW w:w="2872" w:type="pct"/>
            <w:tcBorders>
              <w:top w:val="nil"/>
              <w:left w:val="single" w:sz="4" w:space="0" w:color="auto"/>
              <w:bottom w:val="single" w:sz="4" w:space="0" w:color="auto"/>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w:t>
            </w:r>
          </w:p>
        </w:tc>
        <w:tc>
          <w:tcPr>
            <w:tcW w:w="1066" w:type="pct"/>
            <w:tcBorders>
              <w:top w:val="nil"/>
              <w:left w:val="nil"/>
              <w:bottom w:val="single" w:sz="4" w:space="0" w:color="auto"/>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w:t>
            </w:r>
          </w:p>
        </w:tc>
        <w:tc>
          <w:tcPr>
            <w:tcW w:w="1062" w:type="pct"/>
            <w:tcBorders>
              <w:top w:val="nil"/>
              <w:left w:val="nil"/>
              <w:bottom w:val="single" w:sz="4" w:space="0" w:color="auto"/>
              <w:right w:val="single" w:sz="4" w:space="0" w:color="auto"/>
            </w:tcBorders>
            <w:shd w:val="clear" w:color="auto" w:fill="auto"/>
            <w:noWrap/>
            <w:vAlign w:val="center"/>
            <w:hideMark/>
          </w:tcPr>
          <w:p w:rsidR="00394F55" w:rsidRPr="00394F55" w:rsidRDefault="00394F55" w:rsidP="00394F55">
            <w:pPr>
              <w:rPr>
                <w:rFonts w:ascii="Lucida Bright" w:hAnsi="Lucida Bright" w:cs="Calibri"/>
                <w:sz w:val="14"/>
                <w:szCs w:val="14"/>
                <w:lang w:val="es-ES"/>
              </w:rPr>
            </w:pPr>
            <w:r w:rsidRPr="00394F55">
              <w:rPr>
                <w:rFonts w:ascii="Lucida Bright" w:hAnsi="Lucida Bright" w:cs="Calibri"/>
                <w:sz w:val="14"/>
                <w:szCs w:val="14"/>
                <w:lang w:val="es-ES"/>
              </w:rPr>
              <w:t> </w:t>
            </w:r>
          </w:p>
        </w:tc>
      </w:tr>
    </w:tbl>
    <w:p w:rsidR="008A39CD" w:rsidRDefault="008A39CD" w:rsidP="00E96B8F">
      <w:pPr>
        <w:spacing w:before="100"/>
        <w:ind w:firstLine="568"/>
        <w:jc w:val="both"/>
        <w:rPr>
          <w:rFonts w:ascii="NewBaskerville" w:hAnsi="NewBaskerville"/>
        </w:rPr>
      </w:pPr>
    </w:p>
    <w:p w:rsidR="008A39CD" w:rsidRDefault="008A39CD" w:rsidP="00E96B8F">
      <w:pPr>
        <w:spacing w:before="100"/>
        <w:ind w:firstLine="568"/>
        <w:jc w:val="both"/>
        <w:rPr>
          <w:rFonts w:ascii="NewBaskerville" w:hAnsi="NewBaskerville"/>
        </w:rPr>
      </w:pPr>
    </w:p>
    <w:p w:rsidR="00D12ECC" w:rsidRDefault="00D12ECC" w:rsidP="00E96B8F">
      <w:pPr>
        <w:spacing w:before="100"/>
        <w:ind w:firstLine="568"/>
        <w:jc w:val="both"/>
        <w:rPr>
          <w:rFonts w:ascii="NewBaskerville" w:hAnsi="NewBaskerville"/>
        </w:rPr>
      </w:pPr>
    </w:p>
    <w:p w:rsidR="00D12ECC" w:rsidRDefault="00D12ECC" w:rsidP="00E96B8F">
      <w:pPr>
        <w:spacing w:before="100"/>
        <w:ind w:firstLine="568"/>
        <w:jc w:val="both"/>
        <w:rPr>
          <w:rFonts w:ascii="NewBaskerville" w:hAnsi="NewBaskerville"/>
        </w:rPr>
      </w:pPr>
    </w:p>
    <w:p w:rsidR="00D12ECC" w:rsidRDefault="00D12ECC" w:rsidP="00E96B8F">
      <w:pPr>
        <w:spacing w:before="100"/>
        <w:ind w:firstLine="568"/>
        <w:jc w:val="both"/>
        <w:rPr>
          <w:rFonts w:ascii="NewBaskerville" w:hAnsi="NewBaskerville"/>
        </w:rPr>
      </w:pPr>
    </w:p>
    <w:p w:rsidR="00D12ECC" w:rsidRDefault="00D12ECC" w:rsidP="00E96B8F">
      <w:pPr>
        <w:spacing w:before="100"/>
        <w:ind w:firstLine="568"/>
        <w:jc w:val="both"/>
        <w:rPr>
          <w:rFonts w:ascii="NewBaskerville" w:hAnsi="NewBaskerville"/>
        </w:rPr>
      </w:pPr>
    </w:p>
    <w:p w:rsidR="00D12ECC" w:rsidRDefault="00D12ECC" w:rsidP="00E96B8F">
      <w:pPr>
        <w:spacing w:before="100"/>
        <w:ind w:firstLine="568"/>
        <w:jc w:val="both"/>
        <w:rPr>
          <w:rFonts w:ascii="NewBaskerville" w:hAnsi="NewBaskerville"/>
        </w:rPr>
      </w:pPr>
    </w:p>
    <w:p w:rsidR="008A39CD" w:rsidRDefault="008A39CD" w:rsidP="00E96B8F">
      <w:pPr>
        <w:spacing w:before="100"/>
        <w:ind w:firstLine="568"/>
        <w:jc w:val="both"/>
        <w:rPr>
          <w:rFonts w:ascii="NewBaskerville" w:hAnsi="NewBaskerville"/>
        </w:rPr>
      </w:pPr>
    </w:p>
    <w:p w:rsidR="008A39CD" w:rsidRDefault="008A39CD" w:rsidP="00E96B8F">
      <w:pPr>
        <w:spacing w:before="100"/>
        <w:ind w:firstLine="568"/>
        <w:jc w:val="both"/>
        <w:rPr>
          <w:rFonts w:ascii="NewBaskerville" w:hAnsi="NewBaskerville"/>
        </w:rPr>
      </w:pPr>
    </w:p>
    <w:p w:rsidR="008A39CD" w:rsidRDefault="008A39CD" w:rsidP="00E96B8F">
      <w:pPr>
        <w:spacing w:before="100"/>
        <w:ind w:firstLine="568"/>
        <w:jc w:val="both"/>
        <w:rPr>
          <w:rFonts w:ascii="NewBaskerville" w:hAnsi="NewBaskerville"/>
        </w:rPr>
      </w:pPr>
    </w:p>
    <w:tbl>
      <w:tblPr>
        <w:tblW w:w="5000" w:type="pct"/>
        <w:tblCellMar>
          <w:left w:w="70" w:type="dxa"/>
          <w:right w:w="70" w:type="dxa"/>
        </w:tblCellMar>
        <w:tblLook w:val="04A0" w:firstRow="1" w:lastRow="0" w:firstColumn="1" w:lastColumn="0" w:noHBand="0" w:noVBand="1"/>
      </w:tblPr>
      <w:tblGrid>
        <w:gridCol w:w="5654"/>
        <w:gridCol w:w="1712"/>
        <w:gridCol w:w="1987"/>
      </w:tblGrid>
      <w:tr w:rsidR="00F56B43" w:rsidRPr="00F56B43" w:rsidTr="00F56B43">
        <w:trPr>
          <w:trHeight w:val="300"/>
        </w:trPr>
        <w:tc>
          <w:tcPr>
            <w:tcW w:w="3938" w:type="pct"/>
            <w:gridSpan w:val="2"/>
            <w:tcBorders>
              <w:top w:val="nil"/>
              <w:left w:val="nil"/>
              <w:bottom w:val="nil"/>
              <w:right w:val="nil"/>
            </w:tcBorders>
            <w:shd w:val="clear" w:color="000000" w:fill="FFFFFF"/>
            <w:noWrap/>
            <w:vAlign w:val="bottom"/>
            <w:hideMark/>
          </w:tcPr>
          <w:p w:rsidR="00F56B43" w:rsidRPr="00F56B43" w:rsidRDefault="00F56B43" w:rsidP="00F56B43">
            <w:pPr>
              <w:rPr>
                <w:rFonts w:ascii="Lucida Bright" w:hAnsi="Lucida Bright" w:cs="Calibri"/>
                <w:b/>
                <w:bCs/>
                <w:sz w:val="18"/>
                <w:szCs w:val="18"/>
                <w:lang w:val="es-ES"/>
              </w:rPr>
            </w:pPr>
            <w:r w:rsidRPr="00F56B43">
              <w:rPr>
                <w:rFonts w:ascii="Lucida Bright" w:hAnsi="Lucida Bright" w:cs="Calibri"/>
                <w:b/>
                <w:bCs/>
                <w:sz w:val="18"/>
                <w:szCs w:val="18"/>
                <w:lang w:val="es-ES"/>
              </w:rPr>
              <w:lastRenderedPageBreak/>
              <w:t>Balance al cierre del ejercicio 2024 (cifras comparativas 2023)</w:t>
            </w:r>
          </w:p>
        </w:tc>
        <w:tc>
          <w:tcPr>
            <w:tcW w:w="1062" w:type="pct"/>
            <w:tcBorders>
              <w:top w:val="nil"/>
              <w:left w:val="nil"/>
              <w:bottom w:val="nil"/>
              <w:right w:val="nil"/>
            </w:tcBorders>
            <w:shd w:val="clear" w:color="000000" w:fill="FFFFFF"/>
            <w:noWrap/>
            <w:vAlign w:val="center"/>
            <w:hideMark/>
          </w:tcPr>
          <w:p w:rsidR="00F56B43" w:rsidRPr="00F56B43" w:rsidRDefault="00F56B43" w:rsidP="00F56B43">
            <w:pPr>
              <w:rPr>
                <w:rFonts w:ascii="Lucida Bright" w:hAnsi="Lucida Bright" w:cs="Calibri"/>
                <w:sz w:val="18"/>
                <w:szCs w:val="18"/>
                <w:lang w:val="es-ES"/>
              </w:rPr>
            </w:pPr>
            <w:r w:rsidRPr="00F56B43">
              <w:rPr>
                <w:rFonts w:ascii="Lucida Bright" w:hAnsi="Lucida Bright" w:cs="Calibri"/>
                <w:sz w:val="18"/>
                <w:szCs w:val="18"/>
                <w:lang w:val="es-ES"/>
              </w:rPr>
              <w:t>(en euros)</w:t>
            </w:r>
          </w:p>
        </w:tc>
      </w:tr>
      <w:tr w:rsidR="00F56B43" w:rsidRPr="00F56B43" w:rsidTr="00F56B43">
        <w:trPr>
          <w:trHeight w:val="720"/>
        </w:trPr>
        <w:tc>
          <w:tcPr>
            <w:tcW w:w="3023" w:type="pct"/>
            <w:tcBorders>
              <w:top w:val="single" w:sz="4" w:space="0" w:color="auto"/>
              <w:left w:val="single" w:sz="4" w:space="0" w:color="auto"/>
              <w:bottom w:val="single" w:sz="4" w:space="0" w:color="auto"/>
              <w:right w:val="nil"/>
            </w:tcBorders>
            <w:shd w:val="clear" w:color="000000" w:fill="CCFFCC"/>
            <w:noWrap/>
            <w:vAlign w:val="center"/>
            <w:hideMark/>
          </w:tcPr>
          <w:p w:rsidR="00F56B43" w:rsidRPr="00F56B43" w:rsidRDefault="00F56B43" w:rsidP="00F56B43">
            <w:pPr>
              <w:jc w:val="center"/>
              <w:rPr>
                <w:rFonts w:ascii="Lucida Bright" w:hAnsi="Lucida Bright" w:cs="Calibri"/>
                <w:b/>
                <w:bCs/>
                <w:sz w:val="18"/>
                <w:szCs w:val="18"/>
                <w:lang w:val="es-ES"/>
              </w:rPr>
            </w:pPr>
            <w:r w:rsidRPr="00F56B43">
              <w:rPr>
                <w:rFonts w:ascii="Lucida Bright" w:hAnsi="Lucida Bright" w:cs="Calibri"/>
                <w:b/>
                <w:bCs/>
                <w:sz w:val="18"/>
                <w:szCs w:val="18"/>
                <w:lang w:val="es-ES"/>
              </w:rPr>
              <w:t>PATRIMONIO NETO Y PASIVO</w:t>
            </w:r>
          </w:p>
        </w:tc>
        <w:tc>
          <w:tcPr>
            <w:tcW w:w="915" w:type="pct"/>
            <w:tcBorders>
              <w:top w:val="single" w:sz="4" w:space="0" w:color="auto"/>
              <w:left w:val="single" w:sz="4" w:space="0" w:color="auto"/>
              <w:bottom w:val="single" w:sz="4" w:space="0" w:color="auto"/>
              <w:right w:val="single" w:sz="4" w:space="0" w:color="auto"/>
            </w:tcBorders>
            <w:shd w:val="clear" w:color="000000" w:fill="CCFFCC"/>
            <w:vAlign w:val="center"/>
            <w:hideMark/>
          </w:tcPr>
          <w:p w:rsidR="00F56B43" w:rsidRPr="00F56B43" w:rsidRDefault="00F56B43" w:rsidP="00F56B43">
            <w:pPr>
              <w:jc w:val="center"/>
              <w:rPr>
                <w:rFonts w:ascii="Lucida Bright" w:hAnsi="Lucida Bright" w:cs="Calibri"/>
                <w:b/>
                <w:bCs/>
                <w:sz w:val="18"/>
                <w:szCs w:val="18"/>
                <w:lang w:val="es-ES"/>
              </w:rPr>
            </w:pPr>
            <w:r w:rsidRPr="00F56B43">
              <w:rPr>
                <w:rFonts w:ascii="Lucida Bright" w:hAnsi="Lucida Bright" w:cs="Calibri"/>
                <w:b/>
                <w:bCs/>
                <w:sz w:val="18"/>
                <w:szCs w:val="18"/>
                <w:lang w:val="es-ES"/>
              </w:rPr>
              <w:t>2023 (Balance formulado en 2024)</w:t>
            </w:r>
          </w:p>
        </w:tc>
        <w:tc>
          <w:tcPr>
            <w:tcW w:w="1062" w:type="pct"/>
            <w:tcBorders>
              <w:top w:val="single" w:sz="4" w:space="0" w:color="auto"/>
              <w:left w:val="nil"/>
              <w:bottom w:val="single" w:sz="4" w:space="0" w:color="auto"/>
              <w:right w:val="single" w:sz="4" w:space="0" w:color="auto"/>
            </w:tcBorders>
            <w:shd w:val="clear" w:color="000000" w:fill="CCFFCC"/>
            <w:vAlign w:val="center"/>
            <w:hideMark/>
          </w:tcPr>
          <w:p w:rsidR="00F56B43" w:rsidRPr="00F56B43" w:rsidRDefault="00F56B43" w:rsidP="00F56B43">
            <w:pPr>
              <w:jc w:val="center"/>
              <w:rPr>
                <w:rFonts w:ascii="Lucida Bright" w:hAnsi="Lucida Bright" w:cs="Calibri"/>
                <w:b/>
                <w:bCs/>
                <w:sz w:val="18"/>
                <w:szCs w:val="18"/>
                <w:lang w:val="es-ES"/>
              </w:rPr>
            </w:pPr>
            <w:r w:rsidRPr="00F56B43">
              <w:rPr>
                <w:rFonts w:ascii="Lucida Bright" w:hAnsi="Lucida Bright" w:cs="Calibri"/>
                <w:b/>
                <w:bCs/>
                <w:sz w:val="18"/>
                <w:szCs w:val="18"/>
                <w:lang w:val="es-ES"/>
              </w:rPr>
              <w:t>2023 (Balance formulado en 2023)</w:t>
            </w:r>
          </w:p>
        </w:tc>
      </w:tr>
      <w:tr w:rsidR="00F56B43" w:rsidRPr="00F56B43" w:rsidTr="00F56B43">
        <w:trPr>
          <w:trHeight w:val="139"/>
        </w:trPr>
        <w:tc>
          <w:tcPr>
            <w:tcW w:w="3023" w:type="pct"/>
            <w:tcBorders>
              <w:top w:val="nil"/>
              <w:left w:val="single" w:sz="4" w:space="0" w:color="auto"/>
              <w:bottom w:val="nil"/>
              <w:right w:val="nil"/>
            </w:tcBorders>
            <w:shd w:val="clear" w:color="auto" w:fill="auto"/>
            <w:noWrap/>
            <w:vAlign w:val="bottom"/>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c>
          <w:tcPr>
            <w:tcW w:w="915" w:type="pct"/>
            <w:tcBorders>
              <w:top w:val="nil"/>
              <w:left w:val="single" w:sz="4" w:space="0" w:color="auto"/>
              <w:bottom w:val="nil"/>
              <w:right w:val="nil"/>
            </w:tcBorders>
            <w:shd w:val="clear" w:color="auto" w:fill="auto"/>
            <w:noWrap/>
            <w:vAlign w:val="bottom"/>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c>
          <w:tcPr>
            <w:tcW w:w="1062" w:type="pct"/>
            <w:tcBorders>
              <w:top w:val="nil"/>
              <w:left w:val="single" w:sz="4" w:space="0" w:color="auto"/>
              <w:bottom w:val="nil"/>
              <w:right w:val="single" w:sz="4" w:space="0" w:color="auto"/>
            </w:tcBorders>
            <w:shd w:val="clear" w:color="auto" w:fill="auto"/>
            <w:noWrap/>
            <w:vAlign w:val="bottom"/>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r>
      <w:tr w:rsidR="00F56B43" w:rsidRPr="00F56B43" w:rsidTr="00F56B43">
        <w:trPr>
          <w:trHeight w:val="210"/>
        </w:trPr>
        <w:tc>
          <w:tcPr>
            <w:tcW w:w="3023" w:type="pct"/>
            <w:tcBorders>
              <w:top w:val="nil"/>
              <w:left w:val="single" w:sz="4" w:space="0" w:color="auto"/>
              <w:bottom w:val="nil"/>
              <w:right w:val="nil"/>
            </w:tcBorders>
            <w:shd w:val="clear" w:color="000000" w:fill="CCFFCC"/>
            <w:noWrap/>
            <w:vAlign w:val="center"/>
            <w:hideMark/>
          </w:tcPr>
          <w:p w:rsidR="00F56B43" w:rsidRPr="00F56B43" w:rsidRDefault="00F56B43" w:rsidP="00F56B43">
            <w:pPr>
              <w:rPr>
                <w:rFonts w:ascii="Lucida Bright" w:hAnsi="Lucida Bright" w:cs="Calibri"/>
                <w:b/>
                <w:bCs/>
                <w:sz w:val="14"/>
                <w:szCs w:val="14"/>
                <w:lang w:val="es-ES"/>
              </w:rPr>
            </w:pPr>
            <w:r w:rsidRPr="00F56B43">
              <w:rPr>
                <w:rFonts w:ascii="Lucida Bright" w:hAnsi="Lucida Bright" w:cs="Calibri"/>
                <w:b/>
                <w:bCs/>
                <w:sz w:val="14"/>
                <w:szCs w:val="14"/>
                <w:lang w:val="es-ES"/>
              </w:rPr>
              <w:t xml:space="preserve"> A) PATRIMONIO NETO</w:t>
            </w:r>
          </w:p>
        </w:tc>
        <w:tc>
          <w:tcPr>
            <w:tcW w:w="915" w:type="pct"/>
            <w:tcBorders>
              <w:top w:val="nil"/>
              <w:left w:val="single" w:sz="4" w:space="0" w:color="auto"/>
              <w:bottom w:val="nil"/>
              <w:right w:val="nil"/>
            </w:tcBorders>
            <w:shd w:val="clear" w:color="000000" w:fill="CCFFCC"/>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743.213.436,67 </w:t>
            </w:r>
          </w:p>
        </w:tc>
        <w:tc>
          <w:tcPr>
            <w:tcW w:w="1062" w:type="pct"/>
            <w:tcBorders>
              <w:top w:val="nil"/>
              <w:left w:val="single" w:sz="4" w:space="0" w:color="auto"/>
              <w:bottom w:val="nil"/>
              <w:right w:val="single" w:sz="4" w:space="0" w:color="auto"/>
            </w:tcBorders>
            <w:shd w:val="clear" w:color="000000" w:fill="CCFFCC"/>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743.062.992,40 </w:t>
            </w:r>
          </w:p>
        </w:tc>
      </w:tr>
      <w:tr w:rsidR="00F56B43" w:rsidRPr="00F56B43" w:rsidTr="00F56B43">
        <w:trPr>
          <w:trHeight w:val="139"/>
        </w:trPr>
        <w:tc>
          <w:tcPr>
            <w:tcW w:w="3023" w:type="pct"/>
            <w:tcBorders>
              <w:top w:val="nil"/>
              <w:left w:val="single" w:sz="4" w:space="0" w:color="auto"/>
              <w:bottom w:val="nil"/>
              <w:right w:val="nil"/>
            </w:tcBorders>
            <w:shd w:val="clear" w:color="auto" w:fill="auto"/>
            <w:noWrap/>
            <w:vAlign w:val="center"/>
            <w:hideMark/>
          </w:tcPr>
          <w:p w:rsidR="00F56B43" w:rsidRPr="00F56B43" w:rsidRDefault="00F56B43" w:rsidP="00F56B43">
            <w:pPr>
              <w:jc w:val="right"/>
              <w:rPr>
                <w:rFonts w:ascii="Lucida Bright" w:hAnsi="Lucida Bright" w:cs="Calibri"/>
                <w:sz w:val="14"/>
                <w:szCs w:val="14"/>
                <w:lang w:val="es-ES"/>
              </w:rPr>
            </w:pPr>
            <w:r w:rsidRPr="00F56B43">
              <w:rPr>
                <w:rFonts w:ascii="Lucida Bright" w:hAnsi="Lucida Bright" w:cs="Calibri"/>
                <w:sz w:val="14"/>
                <w:szCs w:val="14"/>
                <w:lang w:val="es-ES"/>
              </w:rPr>
              <w:t> </w:t>
            </w:r>
          </w:p>
        </w:tc>
        <w:tc>
          <w:tcPr>
            <w:tcW w:w="915"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c>
          <w:tcPr>
            <w:tcW w:w="1062" w:type="pct"/>
            <w:tcBorders>
              <w:top w:val="nil"/>
              <w:left w:val="single" w:sz="4" w:space="0" w:color="auto"/>
              <w:bottom w:val="nil"/>
              <w:right w:val="single" w:sz="4" w:space="0" w:color="auto"/>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r>
      <w:tr w:rsidR="00F56B43" w:rsidRPr="00F56B43" w:rsidTr="00F56B43">
        <w:trPr>
          <w:trHeight w:val="210"/>
        </w:trPr>
        <w:tc>
          <w:tcPr>
            <w:tcW w:w="3023"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b/>
                <w:bCs/>
                <w:sz w:val="14"/>
                <w:szCs w:val="14"/>
                <w:lang w:val="es-ES"/>
              </w:rPr>
            </w:pPr>
            <w:r w:rsidRPr="00F56B43">
              <w:rPr>
                <w:rFonts w:ascii="Lucida Bright" w:hAnsi="Lucida Bright" w:cs="Calibri"/>
                <w:b/>
                <w:bCs/>
                <w:sz w:val="14"/>
                <w:szCs w:val="14"/>
                <w:lang w:val="es-ES"/>
              </w:rPr>
              <w:t xml:space="preserve"> A-1) Fondos propios</w:t>
            </w:r>
          </w:p>
        </w:tc>
        <w:tc>
          <w:tcPr>
            <w:tcW w:w="915" w:type="pct"/>
            <w:tcBorders>
              <w:top w:val="nil"/>
              <w:left w:val="single" w:sz="4" w:space="0" w:color="auto"/>
              <w:bottom w:val="nil"/>
              <w:right w:val="nil"/>
            </w:tcBorders>
            <w:shd w:val="clear" w:color="auto" w:fill="auto"/>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714.092.318,15 </w:t>
            </w:r>
          </w:p>
        </w:tc>
        <w:tc>
          <w:tcPr>
            <w:tcW w:w="1062" w:type="pct"/>
            <w:tcBorders>
              <w:top w:val="nil"/>
              <w:left w:val="single" w:sz="4" w:space="0" w:color="auto"/>
              <w:bottom w:val="nil"/>
              <w:right w:val="single" w:sz="4" w:space="0" w:color="auto"/>
            </w:tcBorders>
            <w:shd w:val="clear" w:color="auto" w:fill="auto"/>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721.397.614,44 </w:t>
            </w:r>
          </w:p>
        </w:tc>
      </w:tr>
      <w:tr w:rsidR="00F56B43" w:rsidRPr="00F56B43" w:rsidTr="00F56B43">
        <w:trPr>
          <w:trHeight w:val="139"/>
        </w:trPr>
        <w:tc>
          <w:tcPr>
            <w:tcW w:w="3023" w:type="pct"/>
            <w:tcBorders>
              <w:top w:val="nil"/>
              <w:left w:val="single" w:sz="4" w:space="0" w:color="auto"/>
              <w:bottom w:val="nil"/>
              <w:right w:val="nil"/>
            </w:tcBorders>
            <w:shd w:val="clear" w:color="auto" w:fill="auto"/>
            <w:noWrap/>
            <w:vAlign w:val="center"/>
            <w:hideMark/>
          </w:tcPr>
          <w:p w:rsidR="00F56B43" w:rsidRPr="00F56B43" w:rsidRDefault="00F56B43" w:rsidP="00F56B43">
            <w:pPr>
              <w:jc w:val="right"/>
              <w:rPr>
                <w:rFonts w:ascii="Lucida Bright" w:hAnsi="Lucida Bright" w:cs="Calibri"/>
                <w:sz w:val="14"/>
                <w:szCs w:val="14"/>
                <w:lang w:val="es-ES"/>
              </w:rPr>
            </w:pPr>
            <w:r w:rsidRPr="00F56B43">
              <w:rPr>
                <w:rFonts w:ascii="Lucida Bright" w:hAnsi="Lucida Bright" w:cs="Calibri"/>
                <w:sz w:val="14"/>
                <w:szCs w:val="14"/>
                <w:lang w:val="es-ES"/>
              </w:rPr>
              <w:t> </w:t>
            </w:r>
          </w:p>
        </w:tc>
        <w:tc>
          <w:tcPr>
            <w:tcW w:w="915"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c>
          <w:tcPr>
            <w:tcW w:w="1062" w:type="pct"/>
            <w:tcBorders>
              <w:top w:val="nil"/>
              <w:left w:val="single" w:sz="4" w:space="0" w:color="auto"/>
              <w:bottom w:val="nil"/>
              <w:right w:val="single" w:sz="4" w:space="0" w:color="auto"/>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r>
      <w:tr w:rsidR="00F56B43" w:rsidRPr="00F56B43" w:rsidTr="00F56B43">
        <w:trPr>
          <w:trHeight w:val="210"/>
        </w:trPr>
        <w:tc>
          <w:tcPr>
            <w:tcW w:w="3023"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b/>
                <w:bCs/>
                <w:sz w:val="14"/>
                <w:szCs w:val="14"/>
                <w:lang w:val="es-ES"/>
              </w:rPr>
            </w:pPr>
            <w:r w:rsidRPr="00F56B43">
              <w:rPr>
                <w:rFonts w:ascii="Lucida Bright" w:hAnsi="Lucida Bright" w:cs="Calibri"/>
                <w:b/>
                <w:bCs/>
                <w:sz w:val="14"/>
                <w:szCs w:val="14"/>
                <w:lang w:val="es-ES"/>
              </w:rPr>
              <w:t xml:space="preserve">    I. Patrimonio</w:t>
            </w:r>
          </w:p>
        </w:tc>
        <w:tc>
          <w:tcPr>
            <w:tcW w:w="915" w:type="pct"/>
            <w:tcBorders>
              <w:top w:val="nil"/>
              <w:left w:val="single" w:sz="4" w:space="0" w:color="auto"/>
              <w:bottom w:val="nil"/>
              <w:right w:val="nil"/>
            </w:tcBorders>
            <w:shd w:val="clear" w:color="auto" w:fill="auto"/>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212.397.594,47 </w:t>
            </w:r>
          </w:p>
        </w:tc>
        <w:tc>
          <w:tcPr>
            <w:tcW w:w="1062" w:type="pct"/>
            <w:tcBorders>
              <w:top w:val="nil"/>
              <w:left w:val="single" w:sz="4" w:space="0" w:color="auto"/>
              <w:bottom w:val="nil"/>
              <w:right w:val="single" w:sz="4" w:space="0" w:color="auto"/>
            </w:tcBorders>
            <w:shd w:val="clear" w:color="auto" w:fill="auto"/>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212.397.594,47 </w:t>
            </w:r>
          </w:p>
        </w:tc>
      </w:tr>
      <w:tr w:rsidR="00F56B43" w:rsidRPr="00F56B43" w:rsidTr="00F56B43">
        <w:trPr>
          <w:trHeight w:val="139"/>
        </w:trPr>
        <w:tc>
          <w:tcPr>
            <w:tcW w:w="3023" w:type="pct"/>
            <w:tcBorders>
              <w:top w:val="nil"/>
              <w:left w:val="single" w:sz="4" w:space="0" w:color="auto"/>
              <w:bottom w:val="nil"/>
              <w:right w:val="nil"/>
            </w:tcBorders>
            <w:shd w:val="clear" w:color="auto" w:fill="auto"/>
            <w:noWrap/>
            <w:vAlign w:val="center"/>
            <w:hideMark/>
          </w:tcPr>
          <w:p w:rsidR="00F56B43" w:rsidRPr="00F56B43" w:rsidRDefault="00F56B43" w:rsidP="00F56B43">
            <w:pPr>
              <w:jc w:val="right"/>
              <w:rPr>
                <w:rFonts w:ascii="Lucida Bright" w:hAnsi="Lucida Bright" w:cs="Calibri"/>
                <w:sz w:val="14"/>
                <w:szCs w:val="14"/>
                <w:lang w:val="es-ES"/>
              </w:rPr>
            </w:pPr>
            <w:r w:rsidRPr="00F56B43">
              <w:rPr>
                <w:rFonts w:ascii="Lucida Bright" w:hAnsi="Lucida Bright" w:cs="Calibri"/>
                <w:sz w:val="14"/>
                <w:szCs w:val="14"/>
                <w:lang w:val="es-ES"/>
              </w:rPr>
              <w:t> </w:t>
            </w:r>
          </w:p>
        </w:tc>
        <w:tc>
          <w:tcPr>
            <w:tcW w:w="915"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c>
          <w:tcPr>
            <w:tcW w:w="1062" w:type="pct"/>
            <w:tcBorders>
              <w:top w:val="nil"/>
              <w:left w:val="single" w:sz="4" w:space="0" w:color="auto"/>
              <w:bottom w:val="nil"/>
              <w:right w:val="single" w:sz="4" w:space="0" w:color="auto"/>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r>
      <w:tr w:rsidR="00F56B43" w:rsidRPr="00F56B43" w:rsidTr="00F56B43">
        <w:trPr>
          <w:trHeight w:val="210"/>
        </w:trPr>
        <w:tc>
          <w:tcPr>
            <w:tcW w:w="3023"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b/>
                <w:bCs/>
                <w:sz w:val="14"/>
                <w:szCs w:val="14"/>
                <w:lang w:val="es-ES"/>
              </w:rPr>
            </w:pPr>
            <w:r w:rsidRPr="00F56B43">
              <w:rPr>
                <w:rFonts w:ascii="Lucida Bright" w:hAnsi="Lucida Bright" w:cs="Calibri"/>
                <w:b/>
                <w:bCs/>
                <w:sz w:val="14"/>
                <w:szCs w:val="14"/>
                <w:lang w:val="es-ES"/>
              </w:rPr>
              <w:t xml:space="preserve">   II. Resultados acumulados</w:t>
            </w:r>
          </w:p>
        </w:tc>
        <w:tc>
          <w:tcPr>
            <w:tcW w:w="915" w:type="pct"/>
            <w:tcBorders>
              <w:top w:val="nil"/>
              <w:left w:val="single" w:sz="4" w:space="0" w:color="auto"/>
              <w:bottom w:val="nil"/>
              <w:right w:val="nil"/>
            </w:tcBorders>
            <w:shd w:val="clear" w:color="auto" w:fill="auto"/>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456.905.916,17 </w:t>
            </w:r>
          </w:p>
        </w:tc>
        <w:tc>
          <w:tcPr>
            <w:tcW w:w="1062" w:type="pct"/>
            <w:tcBorders>
              <w:top w:val="nil"/>
              <w:left w:val="single" w:sz="4" w:space="0" w:color="auto"/>
              <w:bottom w:val="nil"/>
              <w:right w:val="single" w:sz="4" w:space="0" w:color="auto"/>
            </w:tcBorders>
            <w:shd w:val="clear" w:color="auto" w:fill="auto"/>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461.987.912,95 </w:t>
            </w:r>
          </w:p>
        </w:tc>
      </w:tr>
      <w:tr w:rsidR="00F56B43" w:rsidRPr="00F56B43" w:rsidTr="00F56B43">
        <w:trPr>
          <w:trHeight w:val="139"/>
        </w:trPr>
        <w:tc>
          <w:tcPr>
            <w:tcW w:w="3023"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c>
          <w:tcPr>
            <w:tcW w:w="915"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b/>
                <w:bCs/>
                <w:sz w:val="14"/>
                <w:szCs w:val="14"/>
                <w:lang w:val="es-ES"/>
              </w:rPr>
            </w:pPr>
            <w:r w:rsidRPr="00F56B43">
              <w:rPr>
                <w:rFonts w:ascii="Lucida Bright" w:hAnsi="Lucida Bright" w:cs="Calibri"/>
                <w:b/>
                <w:bCs/>
                <w:sz w:val="14"/>
                <w:szCs w:val="14"/>
                <w:lang w:val="es-ES"/>
              </w:rPr>
              <w:t> </w:t>
            </w:r>
          </w:p>
        </w:tc>
        <w:tc>
          <w:tcPr>
            <w:tcW w:w="1062" w:type="pct"/>
            <w:tcBorders>
              <w:top w:val="nil"/>
              <w:left w:val="single" w:sz="4" w:space="0" w:color="auto"/>
              <w:bottom w:val="nil"/>
              <w:right w:val="single" w:sz="4" w:space="0" w:color="auto"/>
            </w:tcBorders>
            <w:shd w:val="clear" w:color="auto" w:fill="auto"/>
            <w:noWrap/>
            <w:vAlign w:val="center"/>
            <w:hideMark/>
          </w:tcPr>
          <w:p w:rsidR="00F56B43" w:rsidRPr="00F56B43" w:rsidRDefault="00F56B43" w:rsidP="00F56B43">
            <w:pPr>
              <w:rPr>
                <w:rFonts w:ascii="Lucida Bright" w:hAnsi="Lucida Bright" w:cs="Calibri"/>
                <w:b/>
                <w:bCs/>
                <w:sz w:val="14"/>
                <w:szCs w:val="14"/>
                <w:lang w:val="es-ES"/>
              </w:rPr>
            </w:pPr>
            <w:r w:rsidRPr="00F56B43">
              <w:rPr>
                <w:rFonts w:ascii="Lucida Bright" w:hAnsi="Lucida Bright" w:cs="Calibri"/>
                <w:b/>
                <w:bCs/>
                <w:sz w:val="14"/>
                <w:szCs w:val="14"/>
                <w:lang w:val="es-ES"/>
              </w:rPr>
              <w:t> </w:t>
            </w:r>
          </w:p>
        </w:tc>
      </w:tr>
      <w:tr w:rsidR="00F56B43" w:rsidRPr="00F56B43" w:rsidTr="00F56B43">
        <w:trPr>
          <w:trHeight w:val="210"/>
        </w:trPr>
        <w:tc>
          <w:tcPr>
            <w:tcW w:w="3023"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b/>
                <w:bCs/>
                <w:sz w:val="14"/>
                <w:szCs w:val="14"/>
                <w:lang w:val="es-ES"/>
              </w:rPr>
            </w:pPr>
            <w:r w:rsidRPr="00F56B43">
              <w:rPr>
                <w:rFonts w:ascii="Lucida Bright" w:hAnsi="Lucida Bright" w:cs="Calibri"/>
                <w:b/>
                <w:bCs/>
                <w:sz w:val="14"/>
                <w:szCs w:val="14"/>
                <w:lang w:val="es-ES"/>
              </w:rPr>
              <w:t xml:space="preserve">  III. Resultado del ejercicio</w:t>
            </w:r>
          </w:p>
        </w:tc>
        <w:tc>
          <w:tcPr>
            <w:tcW w:w="915" w:type="pct"/>
            <w:tcBorders>
              <w:top w:val="nil"/>
              <w:left w:val="single" w:sz="4" w:space="0" w:color="auto"/>
              <w:bottom w:val="nil"/>
              <w:right w:val="nil"/>
            </w:tcBorders>
            <w:shd w:val="clear" w:color="auto" w:fill="auto"/>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44.788.807,51 </w:t>
            </w:r>
          </w:p>
        </w:tc>
        <w:tc>
          <w:tcPr>
            <w:tcW w:w="1062" w:type="pct"/>
            <w:tcBorders>
              <w:top w:val="nil"/>
              <w:left w:val="single" w:sz="4" w:space="0" w:color="auto"/>
              <w:bottom w:val="nil"/>
              <w:right w:val="single" w:sz="4" w:space="0" w:color="auto"/>
            </w:tcBorders>
            <w:shd w:val="clear" w:color="auto" w:fill="auto"/>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47.012.107,02 </w:t>
            </w:r>
          </w:p>
        </w:tc>
      </w:tr>
      <w:tr w:rsidR="00F56B43" w:rsidRPr="00F56B43" w:rsidTr="00F56B43">
        <w:trPr>
          <w:trHeight w:val="139"/>
        </w:trPr>
        <w:tc>
          <w:tcPr>
            <w:tcW w:w="3023"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c>
          <w:tcPr>
            <w:tcW w:w="915"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c>
          <w:tcPr>
            <w:tcW w:w="1062" w:type="pct"/>
            <w:tcBorders>
              <w:top w:val="nil"/>
              <w:left w:val="single" w:sz="4" w:space="0" w:color="auto"/>
              <w:bottom w:val="nil"/>
              <w:right w:val="single" w:sz="4" w:space="0" w:color="auto"/>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r>
      <w:tr w:rsidR="00F56B43" w:rsidRPr="00F56B43" w:rsidTr="00F56B43">
        <w:trPr>
          <w:trHeight w:val="210"/>
        </w:trPr>
        <w:tc>
          <w:tcPr>
            <w:tcW w:w="3023"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b/>
                <w:bCs/>
                <w:sz w:val="14"/>
                <w:szCs w:val="14"/>
                <w:lang w:val="es-ES"/>
              </w:rPr>
            </w:pPr>
            <w:r w:rsidRPr="00F56B43">
              <w:rPr>
                <w:rFonts w:ascii="Lucida Bright" w:hAnsi="Lucida Bright" w:cs="Calibri"/>
                <w:b/>
                <w:bCs/>
                <w:sz w:val="14"/>
                <w:szCs w:val="14"/>
                <w:lang w:val="es-ES"/>
              </w:rPr>
              <w:t xml:space="preserve"> A-2) Ajustes por cambios de valor</w:t>
            </w:r>
          </w:p>
        </w:tc>
        <w:tc>
          <w:tcPr>
            <w:tcW w:w="915" w:type="pct"/>
            <w:tcBorders>
              <w:top w:val="nil"/>
              <w:left w:val="single" w:sz="4" w:space="0" w:color="auto"/>
              <w:bottom w:val="nil"/>
              <w:right w:val="nil"/>
            </w:tcBorders>
            <w:shd w:val="clear" w:color="auto" w:fill="auto"/>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 </w:t>
            </w:r>
          </w:p>
        </w:tc>
        <w:tc>
          <w:tcPr>
            <w:tcW w:w="1062" w:type="pct"/>
            <w:tcBorders>
              <w:top w:val="nil"/>
              <w:left w:val="single" w:sz="4" w:space="0" w:color="auto"/>
              <w:bottom w:val="nil"/>
              <w:right w:val="single" w:sz="4" w:space="0" w:color="auto"/>
            </w:tcBorders>
            <w:shd w:val="clear" w:color="auto" w:fill="auto"/>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 </w:t>
            </w:r>
          </w:p>
        </w:tc>
      </w:tr>
      <w:tr w:rsidR="00F56B43" w:rsidRPr="00F56B43" w:rsidTr="00F56B43">
        <w:trPr>
          <w:trHeight w:val="139"/>
        </w:trPr>
        <w:tc>
          <w:tcPr>
            <w:tcW w:w="3023"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c>
          <w:tcPr>
            <w:tcW w:w="915"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c>
          <w:tcPr>
            <w:tcW w:w="1062" w:type="pct"/>
            <w:tcBorders>
              <w:top w:val="nil"/>
              <w:left w:val="single" w:sz="4" w:space="0" w:color="auto"/>
              <w:bottom w:val="nil"/>
              <w:right w:val="single" w:sz="4" w:space="0" w:color="auto"/>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r>
      <w:tr w:rsidR="00F56B43" w:rsidRPr="00F56B43" w:rsidTr="00F56B43">
        <w:trPr>
          <w:trHeight w:val="210"/>
        </w:trPr>
        <w:tc>
          <w:tcPr>
            <w:tcW w:w="3023"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b/>
                <w:bCs/>
                <w:sz w:val="14"/>
                <w:szCs w:val="14"/>
                <w:lang w:val="es-ES"/>
              </w:rPr>
            </w:pPr>
            <w:r w:rsidRPr="00F56B43">
              <w:rPr>
                <w:rFonts w:ascii="Lucida Bright" w:hAnsi="Lucida Bright" w:cs="Calibri"/>
                <w:b/>
                <w:bCs/>
                <w:sz w:val="14"/>
                <w:szCs w:val="14"/>
                <w:lang w:val="es-ES"/>
              </w:rPr>
              <w:t xml:space="preserve">    I. Activos financ. a valor razonable con cambios en el patrim. neto</w:t>
            </w:r>
          </w:p>
        </w:tc>
        <w:tc>
          <w:tcPr>
            <w:tcW w:w="915" w:type="pct"/>
            <w:tcBorders>
              <w:top w:val="nil"/>
              <w:left w:val="single" w:sz="4" w:space="0" w:color="auto"/>
              <w:bottom w:val="nil"/>
              <w:right w:val="nil"/>
            </w:tcBorders>
            <w:shd w:val="clear" w:color="auto" w:fill="auto"/>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 </w:t>
            </w:r>
          </w:p>
        </w:tc>
        <w:tc>
          <w:tcPr>
            <w:tcW w:w="1062" w:type="pct"/>
            <w:tcBorders>
              <w:top w:val="nil"/>
              <w:left w:val="single" w:sz="4" w:space="0" w:color="auto"/>
              <w:bottom w:val="nil"/>
              <w:right w:val="single" w:sz="4" w:space="0" w:color="auto"/>
            </w:tcBorders>
            <w:shd w:val="clear" w:color="auto" w:fill="auto"/>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 </w:t>
            </w:r>
          </w:p>
        </w:tc>
      </w:tr>
      <w:tr w:rsidR="00F56B43" w:rsidRPr="00F56B43" w:rsidTr="00F56B43">
        <w:trPr>
          <w:trHeight w:val="139"/>
        </w:trPr>
        <w:tc>
          <w:tcPr>
            <w:tcW w:w="3023" w:type="pct"/>
            <w:tcBorders>
              <w:top w:val="nil"/>
              <w:left w:val="single" w:sz="4" w:space="0" w:color="auto"/>
              <w:bottom w:val="nil"/>
              <w:right w:val="nil"/>
            </w:tcBorders>
            <w:shd w:val="clear" w:color="auto" w:fill="auto"/>
            <w:noWrap/>
            <w:vAlign w:val="center"/>
            <w:hideMark/>
          </w:tcPr>
          <w:p w:rsidR="00F56B43" w:rsidRPr="00F56B43" w:rsidRDefault="00F56B43" w:rsidP="00F56B43">
            <w:pPr>
              <w:jc w:val="right"/>
              <w:rPr>
                <w:rFonts w:ascii="Lucida Bright" w:hAnsi="Lucida Bright" w:cs="Calibri"/>
                <w:sz w:val="14"/>
                <w:szCs w:val="14"/>
                <w:lang w:val="es-ES"/>
              </w:rPr>
            </w:pPr>
            <w:r w:rsidRPr="00F56B43">
              <w:rPr>
                <w:rFonts w:ascii="Lucida Bright" w:hAnsi="Lucida Bright" w:cs="Calibri"/>
                <w:sz w:val="14"/>
                <w:szCs w:val="14"/>
                <w:lang w:val="es-ES"/>
              </w:rPr>
              <w:t> </w:t>
            </w:r>
          </w:p>
        </w:tc>
        <w:tc>
          <w:tcPr>
            <w:tcW w:w="915"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c>
          <w:tcPr>
            <w:tcW w:w="1062" w:type="pct"/>
            <w:tcBorders>
              <w:top w:val="nil"/>
              <w:left w:val="single" w:sz="4" w:space="0" w:color="auto"/>
              <w:bottom w:val="nil"/>
              <w:right w:val="single" w:sz="4" w:space="0" w:color="auto"/>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r>
      <w:tr w:rsidR="00F56B43" w:rsidRPr="00F56B43" w:rsidTr="00F56B43">
        <w:trPr>
          <w:trHeight w:val="210"/>
        </w:trPr>
        <w:tc>
          <w:tcPr>
            <w:tcW w:w="3023"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b/>
                <w:bCs/>
                <w:sz w:val="14"/>
                <w:szCs w:val="14"/>
                <w:lang w:val="es-ES"/>
              </w:rPr>
            </w:pPr>
            <w:r w:rsidRPr="00F56B43">
              <w:rPr>
                <w:rFonts w:ascii="Lucida Bright" w:hAnsi="Lucida Bright" w:cs="Calibri"/>
                <w:b/>
                <w:bCs/>
                <w:sz w:val="14"/>
                <w:szCs w:val="14"/>
                <w:lang w:val="es-ES"/>
              </w:rPr>
              <w:t xml:space="preserve">   II. Operaciones de cobertura</w:t>
            </w:r>
          </w:p>
        </w:tc>
        <w:tc>
          <w:tcPr>
            <w:tcW w:w="915" w:type="pct"/>
            <w:tcBorders>
              <w:top w:val="nil"/>
              <w:left w:val="single" w:sz="4" w:space="0" w:color="auto"/>
              <w:bottom w:val="nil"/>
              <w:right w:val="nil"/>
            </w:tcBorders>
            <w:shd w:val="clear" w:color="auto" w:fill="auto"/>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 </w:t>
            </w:r>
          </w:p>
        </w:tc>
        <w:tc>
          <w:tcPr>
            <w:tcW w:w="1062" w:type="pct"/>
            <w:tcBorders>
              <w:top w:val="nil"/>
              <w:left w:val="single" w:sz="4" w:space="0" w:color="auto"/>
              <w:bottom w:val="nil"/>
              <w:right w:val="single" w:sz="4" w:space="0" w:color="auto"/>
            </w:tcBorders>
            <w:shd w:val="clear" w:color="auto" w:fill="auto"/>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 </w:t>
            </w:r>
          </w:p>
        </w:tc>
      </w:tr>
      <w:tr w:rsidR="00F56B43" w:rsidRPr="00F56B43" w:rsidTr="00F56B43">
        <w:trPr>
          <w:trHeight w:val="139"/>
        </w:trPr>
        <w:tc>
          <w:tcPr>
            <w:tcW w:w="3023"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c>
          <w:tcPr>
            <w:tcW w:w="915"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c>
          <w:tcPr>
            <w:tcW w:w="1062" w:type="pct"/>
            <w:tcBorders>
              <w:top w:val="nil"/>
              <w:left w:val="single" w:sz="4" w:space="0" w:color="auto"/>
              <w:bottom w:val="nil"/>
              <w:right w:val="single" w:sz="4" w:space="0" w:color="auto"/>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r>
      <w:tr w:rsidR="00F56B43" w:rsidRPr="00F56B43" w:rsidTr="00F56B43">
        <w:trPr>
          <w:trHeight w:val="210"/>
        </w:trPr>
        <w:tc>
          <w:tcPr>
            <w:tcW w:w="3023"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b/>
                <w:bCs/>
                <w:sz w:val="14"/>
                <w:szCs w:val="14"/>
                <w:lang w:val="es-ES"/>
              </w:rPr>
            </w:pPr>
            <w:r w:rsidRPr="00F56B43">
              <w:rPr>
                <w:rFonts w:ascii="Lucida Bright" w:hAnsi="Lucida Bright" w:cs="Calibri"/>
                <w:b/>
                <w:bCs/>
                <w:sz w:val="14"/>
                <w:szCs w:val="14"/>
                <w:lang w:val="es-ES"/>
              </w:rPr>
              <w:t xml:space="preserve">  III. Otros</w:t>
            </w:r>
          </w:p>
        </w:tc>
        <w:tc>
          <w:tcPr>
            <w:tcW w:w="915" w:type="pct"/>
            <w:tcBorders>
              <w:top w:val="nil"/>
              <w:left w:val="single" w:sz="4" w:space="0" w:color="auto"/>
              <w:bottom w:val="nil"/>
              <w:right w:val="nil"/>
            </w:tcBorders>
            <w:shd w:val="clear" w:color="auto" w:fill="auto"/>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 </w:t>
            </w:r>
          </w:p>
        </w:tc>
        <w:tc>
          <w:tcPr>
            <w:tcW w:w="1062" w:type="pct"/>
            <w:tcBorders>
              <w:top w:val="nil"/>
              <w:left w:val="single" w:sz="4" w:space="0" w:color="auto"/>
              <w:bottom w:val="nil"/>
              <w:right w:val="single" w:sz="4" w:space="0" w:color="auto"/>
            </w:tcBorders>
            <w:shd w:val="clear" w:color="auto" w:fill="auto"/>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 </w:t>
            </w:r>
          </w:p>
        </w:tc>
      </w:tr>
      <w:tr w:rsidR="00F56B43" w:rsidRPr="00F56B43" w:rsidTr="00F56B43">
        <w:trPr>
          <w:trHeight w:val="139"/>
        </w:trPr>
        <w:tc>
          <w:tcPr>
            <w:tcW w:w="3023"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c>
          <w:tcPr>
            <w:tcW w:w="915"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c>
          <w:tcPr>
            <w:tcW w:w="1062" w:type="pct"/>
            <w:tcBorders>
              <w:top w:val="nil"/>
              <w:left w:val="single" w:sz="4" w:space="0" w:color="auto"/>
              <w:bottom w:val="nil"/>
              <w:right w:val="single" w:sz="4" w:space="0" w:color="auto"/>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r>
      <w:tr w:rsidR="00F56B43" w:rsidRPr="00F56B43" w:rsidTr="00F56B43">
        <w:trPr>
          <w:trHeight w:val="210"/>
        </w:trPr>
        <w:tc>
          <w:tcPr>
            <w:tcW w:w="3023" w:type="pct"/>
            <w:tcBorders>
              <w:top w:val="nil"/>
              <w:left w:val="single" w:sz="4" w:space="0" w:color="auto"/>
              <w:bottom w:val="nil"/>
              <w:right w:val="nil"/>
            </w:tcBorders>
            <w:shd w:val="clear" w:color="auto" w:fill="auto"/>
            <w:noWrap/>
            <w:vAlign w:val="center"/>
            <w:hideMark/>
          </w:tcPr>
          <w:p w:rsidR="00F56B43" w:rsidRPr="00F56B43" w:rsidRDefault="00F56B43" w:rsidP="00F56B43">
            <w:pPr>
              <w:rPr>
                <w:rFonts w:ascii="Lucida Bright" w:hAnsi="Lucida Bright" w:cs="Calibri"/>
                <w:b/>
                <w:bCs/>
                <w:sz w:val="14"/>
                <w:szCs w:val="14"/>
                <w:lang w:val="es-ES"/>
              </w:rPr>
            </w:pPr>
            <w:r w:rsidRPr="00F56B43">
              <w:rPr>
                <w:rFonts w:ascii="Lucida Bright" w:hAnsi="Lucida Bright" w:cs="Calibri"/>
                <w:b/>
                <w:bCs/>
                <w:sz w:val="14"/>
                <w:szCs w:val="14"/>
                <w:lang w:val="es-ES"/>
              </w:rPr>
              <w:t xml:space="preserve"> A-3) Subvenciones, donaciones y legados recibidos</w:t>
            </w:r>
          </w:p>
        </w:tc>
        <w:tc>
          <w:tcPr>
            <w:tcW w:w="915" w:type="pct"/>
            <w:tcBorders>
              <w:top w:val="nil"/>
              <w:left w:val="single" w:sz="4" w:space="0" w:color="auto"/>
              <w:bottom w:val="nil"/>
              <w:right w:val="nil"/>
            </w:tcBorders>
            <w:shd w:val="clear" w:color="auto" w:fill="auto"/>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29.121.118,52 </w:t>
            </w:r>
          </w:p>
        </w:tc>
        <w:tc>
          <w:tcPr>
            <w:tcW w:w="1062" w:type="pct"/>
            <w:tcBorders>
              <w:top w:val="nil"/>
              <w:left w:val="single" w:sz="4" w:space="0" w:color="auto"/>
              <w:bottom w:val="nil"/>
              <w:right w:val="single" w:sz="4" w:space="0" w:color="auto"/>
            </w:tcBorders>
            <w:shd w:val="clear" w:color="auto" w:fill="auto"/>
            <w:noWrap/>
            <w:vAlign w:val="center"/>
            <w:hideMark/>
          </w:tcPr>
          <w:p w:rsidR="00F56B43" w:rsidRPr="00F56B43" w:rsidRDefault="00F56B43" w:rsidP="00F56B43">
            <w:pPr>
              <w:jc w:val="right"/>
              <w:rPr>
                <w:rFonts w:ascii="Lucida Bright" w:hAnsi="Lucida Bright" w:cs="Calibri"/>
                <w:b/>
                <w:bCs/>
                <w:sz w:val="14"/>
                <w:szCs w:val="14"/>
                <w:lang w:val="es-ES"/>
              </w:rPr>
            </w:pPr>
            <w:r w:rsidRPr="00F56B43">
              <w:rPr>
                <w:rFonts w:ascii="Lucida Bright" w:hAnsi="Lucida Bright" w:cs="Calibri"/>
                <w:b/>
                <w:bCs/>
                <w:sz w:val="14"/>
                <w:szCs w:val="14"/>
                <w:lang w:val="es-ES"/>
              </w:rPr>
              <w:t xml:space="preserve">21.665.377,96 </w:t>
            </w:r>
          </w:p>
        </w:tc>
      </w:tr>
      <w:tr w:rsidR="00F56B43" w:rsidRPr="00F56B43" w:rsidTr="00F56B43">
        <w:trPr>
          <w:trHeight w:val="139"/>
        </w:trPr>
        <w:tc>
          <w:tcPr>
            <w:tcW w:w="3023" w:type="pct"/>
            <w:tcBorders>
              <w:top w:val="nil"/>
              <w:left w:val="single" w:sz="4" w:space="0" w:color="auto"/>
              <w:bottom w:val="single" w:sz="4" w:space="0" w:color="auto"/>
              <w:right w:val="nil"/>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c>
          <w:tcPr>
            <w:tcW w:w="915" w:type="pct"/>
            <w:tcBorders>
              <w:top w:val="nil"/>
              <w:left w:val="single" w:sz="4" w:space="0" w:color="auto"/>
              <w:bottom w:val="single" w:sz="4" w:space="0" w:color="auto"/>
              <w:right w:val="nil"/>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F56B43" w:rsidRPr="00F56B43" w:rsidRDefault="00F56B43" w:rsidP="00F56B43">
            <w:pPr>
              <w:rPr>
                <w:rFonts w:ascii="Lucida Bright" w:hAnsi="Lucida Bright" w:cs="Calibri"/>
                <w:sz w:val="14"/>
                <w:szCs w:val="14"/>
                <w:lang w:val="es-ES"/>
              </w:rPr>
            </w:pPr>
            <w:r w:rsidRPr="00F56B43">
              <w:rPr>
                <w:rFonts w:ascii="Lucida Bright" w:hAnsi="Lucida Bright" w:cs="Calibri"/>
                <w:sz w:val="14"/>
                <w:szCs w:val="14"/>
                <w:lang w:val="es-ES"/>
              </w:rPr>
              <w:t> </w:t>
            </w:r>
          </w:p>
        </w:tc>
      </w:tr>
    </w:tbl>
    <w:p w:rsidR="008A39CD" w:rsidRDefault="008A39CD" w:rsidP="00E96B8F">
      <w:pPr>
        <w:spacing w:before="100"/>
        <w:ind w:firstLine="568"/>
        <w:jc w:val="both"/>
        <w:rPr>
          <w:rFonts w:ascii="NewBaskerville" w:hAnsi="NewBaskerville"/>
        </w:rPr>
      </w:pPr>
    </w:p>
    <w:tbl>
      <w:tblPr>
        <w:tblW w:w="5000" w:type="pct"/>
        <w:tblCellMar>
          <w:left w:w="70" w:type="dxa"/>
          <w:right w:w="70" w:type="dxa"/>
        </w:tblCellMar>
        <w:tblLook w:val="04A0" w:firstRow="1" w:lastRow="0" w:firstColumn="1" w:lastColumn="0" w:noHBand="0" w:noVBand="1"/>
      </w:tblPr>
      <w:tblGrid>
        <w:gridCol w:w="5211"/>
        <w:gridCol w:w="2071"/>
        <w:gridCol w:w="2071"/>
      </w:tblGrid>
      <w:tr w:rsidR="00DA225E" w:rsidRPr="00DA225E" w:rsidTr="00DA225E">
        <w:trPr>
          <w:trHeight w:val="585"/>
        </w:trPr>
        <w:tc>
          <w:tcPr>
            <w:tcW w:w="5000" w:type="pct"/>
            <w:gridSpan w:val="3"/>
            <w:tcBorders>
              <w:top w:val="nil"/>
              <w:left w:val="nil"/>
              <w:bottom w:val="single" w:sz="4" w:space="0" w:color="auto"/>
              <w:right w:val="nil"/>
            </w:tcBorders>
            <w:shd w:val="clear" w:color="000000" w:fill="FFFFFF"/>
            <w:vAlign w:val="center"/>
            <w:hideMark/>
          </w:tcPr>
          <w:p w:rsidR="00DA225E" w:rsidRPr="00DA225E" w:rsidRDefault="00DA225E" w:rsidP="00DA225E">
            <w:pPr>
              <w:rPr>
                <w:rFonts w:ascii="Lucida Bright" w:hAnsi="Lucida Bright" w:cs="Calibri"/>
                <w:b/>
                <w:bCs/>
                <w:lang w:val="es-ES"/>
              </w:rPr>
            </w:pPr>
            <w:r w:rsidRPr="00DA225E">
              <w:rPr>
                <w:rFonts w:ascii="Lucida Bright" w:hAnsi="Lucida Bright" w:cs="Calibri"/>
                <w:b/>
                <w:bCs/>
                <w:lang w:val="es-ES"/>
              </w:rPr>
              <w:t xml:space="preserve">Cuenta de Pérdidas y Ganancias correspondiente al ejercicio terminado el 31-12-24 (cifras comparativas 2023) </w:t>
            </w:r>
            <w:r w:rsidRPr="00DA225E">
              <w:rPr>
                <w:rFonts w:ascii="Lucida Bright" w:hAnsi="Lucida Bright" w:cs="Calibri"/>
                <w:sz w:val="14"/>
                <w:szCs w:val="14"/>
                <w:lang w:val="es-ES"/>
              </w:rPr>
              <w:t>(en euros)</w:t>
            </w:r>
          </w:p>
        </w:tc>
      </w:tr>
      <w:tr w:rsidR="00DA225E" w:rsidRPr="00DA225E" w:rsidTr="00DA225E">
        <w:trPr>
          <w:trHeight w:val="270"/>
        </w:trPr>
        <w:tc>
          <w:tcPr>
            <w:tcW w:w="2786" w:type="pct"/>
            <w:tcBorders>
              <w:top w:val="nil"/>
              <w:left w:val="single" w:sz="4" w:space="0" w:color="auto"/>
              <w:bottom w:val="nil"/>
              <w:right w:val="single" w:sz="4" w:space="0" w:color="auto"/>
            </w:tcBorders>
            <w:shd w:val="clear" w:color="000000" w:fill="CCFFCC"/>
            <w:noWrap/>
            <w:vAlign w:val="bottom"/>
            <w:hideMark/>
          </w:tcPr>
          <w:p w:rsidR="00DA225E" w:rsidRPr="00DA225E" w:rsidRDefault="00DA225E" w:rsidP="00DA225E">
            <w:pPr>
              <w:jc w:val="center"/>
              <w:rPr>
                <w:rFonts w:ascii="Lucida Bright" w:hAnsi="Lucida Bright" w:cs="Calibri"/>
                <w:b/>
                <w:bCs/>
                <w:sz w:val="18"/>
                <w:szCs w:val="18"/>
                <w:lang w:val="es-ES"/>
              </w:rPr>
            </w:pPr>
            <w:r w:rsidRPr="00DA225E">
              <w:rPr>
                <w:rFonts w:ascii="Lucida Bright" w:hAnsi="Lucida Bright" w:cs="Calibri"/>
                <w:b/>
                <w:bCs/>
                <w:sz w:val="18"/>
                <w:szCs w:val="18"/>
                <w:lang w:val="es-ES"/>
              </w:rPr>
              <w:t> </w:t>
            </w:r>
          </w:p>
        </w:tc>
        <w:tc>
          <w:tcPr>
            <w:tcW w:w="2214" w:type="pct"/>
            <w:gridSpan w:val="2"/>
            <w:tcBorders>
              <w:top w:val="single" w:sz="4" w:space="0" w:color="auto"/>
              <w:left w:val="nil"/>
              <w:bottom w:val="single" w:sz="4" w:space="0" w:color="auto"/>
              <w:right w:val="single" w:sz="4" w:space="0" w:color="000000"/>
            </w:tcBorders>
            <w:shd w:val="clear" w:color="000000" w:fill="CCFFCC"/>
            <w:noWrap/>
            <w:vAlign w:val="center"/>
            <w:hideMark/>
          </w:tcPr>
          <w:p w:rsidR="00DA225E" w:rsidRPr="00DA225E" w:rsidRDefault="00DA225E" w:rsidP="00DA225E">
            <w:pPr>
              <w:jc w:val="center"/>
              <w:rPr>
                <w:rFonts w:ascii="Lucida Bright" w:hAnsi="Lucida Bright" w:cs="Calibri"/>
                <w:b/>
                <w:bCs/>
                <w:sz w:val="18"/>
                <w:szCs w:val="18"/>
                <w:lang w:val="es-ES"/>
              </w:rPr>
            </w:pPr>
            <w:r w:rsidRPr="00DA225E">
              <w:rPr>
                <w:rFonts w:ascii="Lucida Bright" w:hAnsi="Lucida Bright" w:cs="Calibri"/>
                <w:b/>
                <w:bCs/>
                <w:sz w:val="18"/>
                <w:szCs w:val="18"/>
                <w:lang w:val="es-ES"/>
              </w:rPr>
              <w:t>(Debe) Haber</w:t>
            </w:r>
          </w:p>
        </w:tc>
      </w:tr>
      <w:tr w:rsidR="00DA225E" w:rsidRPr="00DA225E" w:rsidTr="00DA225E">
        <w:trPr>
          <w:trHeight w:val="720"/>
        </w:trPr>
        <w:tc>
          <w:tcPr>
            <w:tcW w:w="2786" w:type="pct"/>
            <w:tcBorders>
              <w:top w:val="nil"/>
              <w:left w:val="single" w:sz="4" w:space="0" w:color="auto"/>
              <w:bottom w:val="single" w:sz="4" w:space="0" w:color="auto"/>
              <w:right w:val="single" w:sz="4" w:space="0" w:color="auto"/>
            </w:tcBorders>
            <w:shd w:val="clear" w:color="000000" w:fill="CCFFCC"/>
            <w:noWrap/>
            <w:vAlign w:val="center"/>
            <w:hideMark/>
          </w:tcPr>
          <w:p w:rsidR="00DA225E" w:rsidRPr="00DA225E" w:rsidRDefault="00DA225E" w:rsidP="00DA225E">
            <w:pPr>
              <w:jc w:val="center"/>
              <w:rPr>
                <w:rFonts w:ascii="Lucida Bright" w:hAnsi="Lucida Bright" w:cs="Calibri"/>
                <w:b/>
                <w:bCs/>
                <w:sz w:val="18"/>
                <w:szCs w:val="18"/>
                <w:lang w:val="es-ES"/>
              </w:rPr>
            </w:pPr>
            <w:r w:rsidRPr="00DA225E">
              <w:rPr>
                <w:rFonts w:ascii="Lucida Bright" w:hAnsi="Lucida Bright" w:cs="Calibri"/>
                <w:b/>
                <w:bCs/>
                <w:sz w:val="18"/>
                <w:szCs w:val="18"/>
                <w:lang w:val="es-ES"/>
              </w:rPr>
              <w:t> </w:t>
            </w:r>
          </w:p>
        </w:tc>
        <w:tc>
          <w:tcPr>
            <w:tcW w:w="1107" w:type="pct"/>
            <w:tcBorders>
              <w:top w:val="nil"/>
              <w:left w:val="nil"/>
              <w:bottom w:val="single" w:sz="4" w:space="0" w:color="auto"/>
              <w:right w:val="single" w:sz="4" w:space="0" w:color="auto"/>
            </w:tcBorders>
            <w:shd w:val="clear" w:color="000000" w:fill="CCFFCC"/>
            <w:vAlign w:val="center"/>
            <w:hideMark/>
          </w:tcPr>
          <w:p w:rsidR="00DA225E" w:rsidRPr="00DA225E" w:rsidRDefault="00DA225E" w:rsidP="00DA225E">
            <w:pPr>
              <w:jc w:val="center"/>
              <w:rPr>
                <w:rFonts w:ascii="Lucida Bright" w:hAnsi="Lucida Bright" w:cs="Calibri"/>
                <w:b/>
                <w:bCs/>
                <w:sz w:val="18"/>
                <w:szCs w:val="18"/>
                <w:lang w:val="es-ES"/>
              </w:rPr>
            </w:pPr>
            <w:r w:rsidRPr="00DA225E">
              <w:rPr>
                <w:rFonts w:ascii="Lucida Bright" w:hAnsi="Lucida Bright" w:cs="Calibri"/>
                <w:b/>
                <w:bCs/>
                <w:sz w:val="18"/>
                <w:szCs w:val="18"/>
                <w:lang w:val="es-ES"/>
              </w:rPr>
              <w:t xml:space="preserve">2023 (Cuenta de P y G </w:t>
            </w:r>
            <w:r w:rsidR="00416638" w:rsidRPr="00DA225E">
              <w:rPr>
                <w:rFonts w:ascii="Lucida Bright" w:hAnsi="Lucida Bright" w:cs="Calibri"/>
                <w:b/>
                <w:bCs/>
                <w:sz w:val="18"/>
                <w:szCs w:val="18"/>
                <w:lang w:val="es-ES"/>
              </w:rPr>
              <w:t>formulada</w:t>
            </w:r>
            <w:r w:rsidRPr="00DA225E">
              <w:rPr>
                <w:rFonts w:ascii="Lucida Bright" w:hAnsi="Lucida Bright" w:cs="Calibri"/>
                <w:b/>
                <w:bCs/>
                <w:sz w:val="18"/>
                <w:szCs w:val="18"/>
                <w:lang w:val="es-ES"/>
              </w:rPr>
              <w:t xml:space="preserve"> en 2024)</w:t>
            </w:r>
          </w:p>
        </w:tc>
        <w:tc>
          <w:tcPr>
            <w:tcW w:w="1107" w:type="pct"/>
            <w:tcBorders>
              <w:top w:val="nil"/>
              <w:left w:val="nil"/>
              <w:bottom w:val="single" w:sz="4" w:space="0" w:color="auto"/>
              <w:right w:val="single" w:sz="4" w:space="0" w:color="auto"/>
            </w:tcBorders>
            <w:shd w:val="clear" w:color="000000" w:fill="CCFFCC"/>
            <w:vAlign w:val="center"/>
            <w:hideMark/>
          </w:tcPr>
          <w:p w:rsidR="00DA225E" w:rsidRPr="00DA225E" w:rsidRDefault="00DA225E" w:rsidP="00DA225E">
            <w:pPr>
              <w:jc w:val="center"/>
              <w:rPr>
                <w:rFonts w:ascii="Lucida Bright" w:hAnsi="Lucida Bright" w:cs="Calibri"/>
                <w:b/>
                <w:bCs/>
                <w:sz w:val="18"/>
                <w:szCs w:val="18"/>
                <w:lang w:val="es-ES"/>
              </w:rPr>
            </w:pPr>
            <w:r w:rsidRPr="00DA225E">
              <w:rPr>
                <w:rFonts w:ascii="Lucida Bright" w:hAnsi="Lucida Bright" w:cs="Calibri"/>
                <w:b/>
                <w:bCs/>
                <w:sz w:val="18"/>
                <w:szCs w:val="18"/>
                <w:lang w:val="es-ES"/>
              </w:rPr>
              <w:t xml:space="preserve">2023 (Cuenta de P y G </w:t>
            </w:r>
            <w:r w:rsidR="00416638" w:rsidRPr="00DA225E">
              <w:rPr>
                <w:rFonts w:ascii="Lucida Bright" w:hAnsi="Lucida Bright" w:cs="Calibri"/>
                <w:b/>
                <w:bCs/>
                <w:sz w:val="18"/>
                <w:szCs w:val="18"/>
                <w:lang w:val="es-ES"/>
              </w:rPr>
              <w:t>formulada</w:t>
            </w:r>
            <w:r w:rsidRPr="00DA225E">
              <w:rPr>
                <w:rFonts w:ascii="Lucida Bright" w:hAnsi="Lucida Bright" w:cs="Calibri"/>
                <w:b/>
                <w:bCs/>
                <w:sz w:val="18"/>
                <w:szCs w:val="18"/>
                <w:lang w:val="es-ES"/>
              </w:rPr>
              <w:t xml:space="preserve"> en 2023)</w:t>
            </w:r>
          </w:p>
        </w:tc>
      </w:tr>
      <w:tr w:rsidR="00DA225E" w:rsidRPr="00DA225E" w:rsidTr="00DA225E">
        <w:trPr>
          <w:trHeight w:val="79"/>
        </w:trPr>
        <w:tc>
          <w:tcPr>
            <w:tcW w:w="2786" w:type="pct"/>
            <w:tcBorders>
              <w:top w:val="nil"/>
              <w:left w:val="single" w:sz="4" w:space="0" w:color="auto"/>
              <w:bottom w:val="nil"/>
              <w:right w:val="single" w:sz="4" w:space="0" w:color="auto"/>
            </w:tcBorders>
            <w:shd w:val="clear" w:color="auto" w:fill="auto"/>
            <w:noWrap/>
            <w:vAlign w:val="bottom"/>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w:t>
            </w:r>
          </w:p>
        </w:tc>
        <w:tc>
          <w:tcPr>
            <w:tcW w:w="1107" w:type="pct"/>
            <w:tcBorders>
              <w:top w:val="nil"/>
              <w:left w:val="nil"/>
              <w:bottom w:val="nil"/>
              <w:right w:val="single" w:sz="4" w:space="0" w:color="auto"/>
            </w:tcBorders>
            <w:shd w:val="clear" w:color="auto" w:fill="auto"/>
            <w:noWrap/>
            <w:vAlign w:val="bottom"/>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w:t>
            </w:r>
          </w:p>
        </w:tc>
        <w:tc>
          <w:tcPr>
            <w:tcW w:w="1107" w:type="pct"/>
            <w:tcBorders>
              <w:top w:val="nil"/>
              <w:left w:val="nil"/>
              <w:bottom w:val="nil"/>
              <w:right w:val="single" w:sz="4" w:space="0" w:color="auto"/>
            </w:tcBorders>
            <w:shd w:val="clear" w:color="auto" w:fill="auto"/>
            <w:noWrap/>
            <w:vAlign w:val="bottom"/>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w:t>
            </w:r>
          </w:p>
        </w:tc>
      </w:tr>
      <w:tr w:rsidR="00DA225E" w:rsidRPr="00DA225E" w:rsidTr="00DA225E">
        <w:trPr>
          <w:trHeight w:val="79"/>
        </w:trPr>
        <w:tc>
          <w:tcPr>
            <w:tcW w:w="2786" w:type="pct"/>
            <w:tcBorders>
              <w:top w:val="nil"/>
              <w:left w:val="single" w:sz="4" w:space="0" w:color="auto"/>
              <w:bottom w:val="nil"/>
              <w:right w:val="single" w:sz="4" w:space="0" w:color="auto"/>
            </w:tcBorders>
            <w:shd w:val="clear" w:color="auto" w:fill="auto"/>
            <w:noWrap/>
            <w:vAlign w:val="bottom"/>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w:t>
            </w:r>
          </w:p>
        </w:tc>
        <w:tc>
          <w:tcPr>
            <w:tcW w:w="1107" w:type="pct"/>
            <w:tcBorders>
              <w:top w:val="nil"/>
              <w:left w:val="nil"/>
              <w:bottom w:val="nil"/>
              <w:right w:val="single" w:sz="4" w:space="0" w:color="auto"/>
            </w:tcBorders>
            <w:shd w:val="clear" w:color="auto" w:fill="auto"/>
            <w:noWrap/>
            <w:vAlign w:val="bottom"/>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w:t>
            </w:r>
          </w:p>
        </w:tc>
        <w:tc>
          <w:tcPr>
            <w:tcW w:w="1107" w:type="pct"/>
            <w:tcBorders>
              <w:top w:val="nil"/>
              <w:left w:val="nil"/>
              <w:bottom w:val="nil"/>
              <w:right w:val="single" w:sz="4" w:space="0" w:color="auto"/>
            </w:tcBorders>
            <w:shd w:val="clear" w:color="auto" w:fill="auto"/>
            <w:noWrap/>
            <w:vAlign w:val="bottom"/>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w:t>
            </w:r>
          </w:p>
        </w:tc>
      </w:tr>
      <w:tr w:rsidR="00DA225E" w:rsidRPr="00DA225E" w:rsidTr="00DA225E">
        <w:trPr>
          <w:trHeight w:val="210"/>
        </w:trPr>
        <w:tc>
          <w:tcPr>
            <w:tcW w:w="2786" w:type="pct"/>
            <w:tcBorders>
              <w:top w:val="nil"/>
              <w:left w:val="single" w:sz="4" w:space="0" w:color="auto"/>
              <w:bottom w:val="nil"/>
              <w:right w:val="single" w:sz="4" w:space="0" w:color="auto"/>
            </w:tcBorders>
            <w:shd w:val="clear" w:color="auto" w:fill="auto"/>
            <w:noWrap/>
            <w:vAlign w:val="center"/>
            <w:hideMark/>
          </w:tcPr>
          <w:p w:rsidR="00DA225E" w:rsidRPr="00DA225E" w:rsidRDefault="00DA225E" w:rsidP="00DA225E">
            <w:pPr>
              <w:ind w:firstLineChars="100" w:firstLine="141"/>
              <w:rPr>
                <w:rFonts w:ascii="Lucida Bright" w:hAnsi="Lucida Bright" w:cs="Calibri"/>
                <w:b/>
                <w:bCs/>
                <w:sz w:val="14"/>
                <w:szCs w:val="14"/>
                <w:lang w:val="es-ES"/>
              </w:rPr>
            </w:pPr>
            <w:r w:rsidRPr="00DA225E">
              <w:rPr>
                <w:rFonts w:ascii="Lucida Bright" w:hAnsi="Lucida Bright" w:cs="Calibri"/>
                <w:b/>
                <w:bCs/>
                <w:sz w:val="14"/>
                <w:szCs w:val="14"/>
                <w:lang w:val="es-ES"/>
              </w:rPr>
              <w:t>5. Otros ingresos de explotación</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jc w:val="right"/>
              <w:rPr>
                <w:rFonts w:ascii="Lucida Bright" w:hAnsi="Lucida Bright" w:cs="Calibri"/>
                <w:b/>
                <w:bCs/>
                <w:sz w:val="14"/>
                <w:szCs w:val="14"/>
                <w:lang w:val="es-ES"/>
              </w:rPr>
            </w:pPr>
            <w:r w:rsidRPr="00DA225E">
              <w:rPr>
                <w:rFonts w:ascii="Lucida Bright" w:hAnsi="Lucida Bright" w:cs="Calibri"/>
                <w:b/>
                <w:bCs/>
                <w:sz w:val="14"/>
                <w:szCs w:val="14"/>
                <w:lang w:val="es-ES"/>
              </w:rPr>
              <w:t xml:space="preserve">6.373.747,55  </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jc w:val="right"/>
              <w:rPr>
                <w:rFonts w:ascii="Lucida Bright" w:hAnsi="Lucida Bright" w:cs="Calibri"/>
                <w:b/>
                <w:bCs/>
                <w:sz w:val="14"/>
                <w:szCs w:val="14"/>
                <w:lang w:val="es-ES"/>
              </w:rPr>
            </w:pPr>
            <w:r w:rsidRPr="00DA225E">
              <w:rPr>
                <w:rFonts w:ascii="Lucida Bright" w:hAnsi="Lucida Bright" w:cs="Calibri"/>
                <w:b/>
                <w:bCs/>
                <w:sz w:val="14"/>
                <w:szCs w:val="14"/>
                <w:lang w:val="es-ES"/>
              </w:rPr>
              <w:t xml:space="preserve">5.753.709,22  </w:t>
            </w:r>
          </w:p>
        </w:tc>
      </w:tr>
      <w:tr w:rsidR="00DA225E" w:rsidRPr="00DA225E" w:rsidTr="00DA225E">
        <w:trPr>
          <w:trHeight w:val="210"/>
        </w:trPr>
        <w:tc>
          <w:tcPr>
            <w:tcW w:w="2786" w:type="pct"/>
            <w:tcBorders>
              <w:top w:val="nil"/>
              <w:left w:val="single" w:sz="4" w:space="0" w:color="auto"/>
              <w:bottom w:val="nil"/>
              <w:right w:val="single" w:sz="4" w:space="0" w:color="auto"/>
            </w:tcBorders>
            <w:shd w:val="clear" w:color="auto" w:fill="auto"/>
            <w:noWrap/>
            <w:vAlign w:val="bottom"/>
            <w:hideMark/>
          </w:tcPr>
          <w:p w:rsidR="00DA225E" w:rsidRPr="00DA225E" w:rsidRDefault="00DA225E" w:rsidP="00DA225E">
            <w:pPr>
              <w:ind w:firstLineChars="200" w:firstLine="280"/>
              <w:rPr>
                <w:rFonts w:ascii="Lucida Bright" w:hAnsi="Lucida Bright" w:cs="Calibri"/>
                <w:sz w:val="14"/>
                <w:szCs w:val="14"/>
                <w:lang w:val="es-ES"/>
              </w:rPr>
            </w:pPr>
            <w:r w:rsidRPr="00DA225E">
              <w:rPr>
                <w:rFonts w:ascii="Lucida Bright" w:hAnsi="Lucida Bright" w:cs="Calibri"/>
                <w:sz w:val="14"/>
                <w:szCs w:val="14"/>
                <w:lang w:val="es-ES"/>
              </w:rPr>
              <w:t>c) Ingresos traspasados al resultado por concesiones revertidas</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jc w:val="right"/>
              <w:rPr>
                <w:rFonts w:ascii="Lucida Bright" w:hAnsi="Lucida Bright" w:cs="Calibri"/>
                <w:sz w:val="14"/>
                <w:szCs w:val="14"/>
                <w:lang w:val="es-ES"/>
              </w:rPr>
            </w:pPr>
            <w:r w:rsidRPr="00DA225E">
              <w:rPr>
                <w:rFonts w:ascii="Lucida Bright" w:hAnsi="Lucida Bright" w:cs="Calibri"/>
                <w:sz w:val="14"/>
                <w:szCs w:val="14"/>
                <w:lang w:val="es-ES"/>
              </w:rPr>
              <w:t xml:space="preserve">741.632,54  </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jc w:val="right"/>
              <w:rPr>
                <w:rFonts w:ascii="Lucida Bright" w:hAnsi="Lucida Bright" w:cs="Calibri"/>
                <w:sz w:val="14"/>
                <w:szCs w:val="14"/>
                <w:lang w:val="es-ES"/>
              </w:rPr>
            </w:pPr>
            <w:r w:rsidRPr="00DA225E">
              <w:rPr>
                <w:rFonts w:ascii="Lucida Bright" w:hAnsi="Lucida Bright" w:cs="Calibri"/>
                <w:sz w:val="14"/>
                <w:szCs w:val="14"/>
                <w:lang w:val="es-ES"/>
              </w:rPr>
              <w:t xml:space="preserve">121.594,21  </w:t>
            </w:r>
          </w:p>
        </w:tc>
      </w:tr>
      <w:tr w:rsidR="00DA225E" w:rsidRPr="00DA225E" w:rsidTr="00DA225E">
        <w:trPr>
          <w:trHeight w:val="79"/>
        </w:trPr>
        <w:tc>
          <w:tcPr>
            <w:tcW w:w="2786" w:type="pct"/>
            <w:tcBorders>
              <w:top w:val="nil"/>
              <w:left w:val="single" w:sz="4" w:space="0" w:color="auto"/>
              <w:bottom w:val="nil"/>
              <w:right w:val="single" w:sz="4" w:space="0" w:color="auto"/>
            </w:tcBorders>
            <w:shd w:val="clear" w:color="auto" w:fill="auto"/>
            <w:noWrap/>
            <w:vAlign w:val="bottom"/>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w:t>
            </w:r>
          </w:p>
        </w:tc>
        <w:tc>
          <w:tcPr>
            <w:tcW w:w="1107" w:type="pct"/>
            <w:tcBorders>
              <w:top w:val="nil"/>
              <w:left w:val="nil"/>
              <w:bottom w:val="nil"/>
              <w:right w:val="single" w:sz="4" w:space="0" w:color="auto"/>
            </w:tcBorders>
            <w:shd w:val="clear" w:color="auto" w:fill="auto"/>
            <w:noWrap/>
            <w:vAlign w:val="bottom"/>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w:t>
            </w:r>
          </w:p>
        </w:tc>
        <w:tc>
          <w:tcPr>
            <w:tcW w:w="1107" w:type="pct"/>
            <w:tcBorders>
              <w:top w:val="nil"/>
              <w:left w:val="nil"/>
              <w:bottom w:val="nil"/>
              <w:right w:val="single" w:sz="4" w:space="0" w:color="auto"/>
            </w:tcBorders>
            <w:shd w:val="clear" w:color="auto" w:fill="auto"/>
            <w:noWrap/>
            <w:vAlign w:val="bottom"/>
            <w:hideMark/>
          </w:tcPr>
          <w:p w:rsidR="00DA225E" w:rsidRPr="00DA225E" w:rsidRDefault="00DA225E" w:rsidP="00DA225E">
            <w:pPr>
              <w:rPr>
                <w:rFonts w:ascii="Lucida Bright" w:hAnsi="Lucida Bright" w:cs="Calibri"/>
                <w:b/>
                <w:bCs/>
                <w:color w:val="FFFFFF"/>
                <w:sz w:val="14"/>
                <w:szCs w:val="14"/>
                <w:lang w:val="es-ES"/>
              </w:rPr>
            </w:pPr>
            <w:r w:rsidRPr="00DA225E">
              <w:rPr>
                <w:rFonts w:ascii="Lucida Bright" w:hAnsi="Lucida Bright" w:cs="Calibri"/>
                <w:b/>
                <w:bCs/>
                <w:color w:val="FFFFFF"/>
                <w:sz w:val="14"/>
                <w:szCs w:val="14"/>
                <w:lang w:val="es-ES"/>
              </w:rPr>
              <w:t> </w:t>
            </w:r>
          </w:p>
        </w:tc>
      </w:tr>
      <w:tr w:rsidR="00DA225E" w:rsidRPr="00DA225E" w:rsidTr="00DA225E">
        <w:trPr>
          <w:trHeight w:val="79"/>
        </w:trPr>
        <w:tc>
          <w:tcPr>
            <w:tcW w:w="2786" w:type="pct"/>
            <w:tcBorders>
              <w:top w:val="nil"/>
              <w:left w:val="single" w:sz="4" w:space="0" w:color="auto"/>
              <w:bottom w:val="nil"/>
              <w:right w:val="single" w:sz="4" w:space="0" w:color="auto"/>
            </w:tcBorders>
            <w:shd w:val="clear" w:color="auto" w:fill="auto"/>
            <w:noWrap/>
            <w:vAlign w:val="bottom"/>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w:t>
            </w:r>
          </w:p>
        </w:tc>
        <w:tc>
          <w:tcPr>
            <w:tcW w:w="1107" w:type="pct"/>
            <w:tcBorders>
              <w:top w:val="nil"/>
              <w:left w:val="nil"/>
              <w:bottom w:val="nil"/>
              <w:right w:val="single" w:sz="4" w:space="0" w:color="auto"/>
            </w:tcBorders>
            <w:shd w:val="clear" w:color="auto" w:fill="auto"/>
            <w:noWrap/>
            <w:vAlign w:val="bottom"/>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w:t>
            </w:r>
          </w:p>
        </w:tc>
        <w:tc>
          <w:tcPr>
            <w:tcW w:w="1107" w:type="pct"/>
            <w:tcBorders>
              <w:top w:val="nil"/>
              <w:left w:val="nil"/>
              <w:bottom w:val="nil"/>
              <w:right w:val="single" w:sz="4" w:space="0" w:color="auto"/>
            </w:tcBorders>
            <w:shd w:val="clear" w:color="auto" w:fill="auto"/>
            <w:noWrap/>
            <w:vAlign w:val="bottom"/>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w:t>
            </w:r>
          </w:p>
        </w:tc>
      </w:tr>
      <w:tr w:rsidR="00DA225E" w:rsidRPr="00DA225E" w:rsidTr="00DA225E">
        <w:trPr>
          <w:trHeight w:val="210"/>
        </w:trPr>
        <w:tc>
          <w:tcPr>
            <w:tcW w:w="2786" w:type="pct"/>
            <w:tcBorders>
              <w:top w:val="nil"/>
              <w:left w:val="single" w:sz="4" w:space="0" w:color="auto"/>
              <w:bottom w:val="nil"/>
              <w:right w:val="single" w:sz="4" w:space="0" w:color="auto"/>
            </w:tcBorders>
            <w:shd w:val="clear" w:color="auto" w:fill="auto"/>
            <w:noWrap/>
            <w:vAlign w:val="center"/>
            <w:hideMark/>
          </w:tcPr>
          <w:p w:rsidR="00DA225E" w:rsidRPr="00DA225E" w:rsidRDefault="00DA225E" w:rsidP="00DA225E">
            <w:pPr>
              <w:ind w:firstLineChars="100" w:firstLine="141"/>
              <w:rPr>
                <w:rFonts w:ascii="Lucida Bright" w:hAnsi="Lucida Bright" w:cs="Calibri"/>
                <w:b/>
                <w:bCs/>
                <w:sz w:val="14"/>
                <w:szCs w:val="14"/>
                <w:lang w:val="es-ES"/>
              </w:rPr>
            </w:pPr>
            <w:r w:rsidRPr="00DA225E">
              <w:rPr>
                <w:rFonts w:ascii="Lucida Bright" w:hAnsi="Lucida Bright" w:cs="Calibri"/>
                <w:b/>
                <w:bCs/>
                <w:sz w:val="14"/>
                <w:szCs w:val="14"/>
                <w:lang w:val="es-ES"/>
              </w:rPr>
              <w:t>7. Otros gastos de explotación</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jc w:val="right"/>
              <w:rPr>
                <w:rFonts w:ascii="Lucida Bright" w:hAnsi="Lucida Bright" w:cs="Calibri"/>
                <w:b/>
                <w:bCs/>
                <w:sz w:val="14"/>
                <w:szCs w:val="14"/>
                <w:lang w:val="es-ES"/>
              </w:rPr>
            </w:pPr>
            <w:r w:rsidRPr="00DA225E">
              <w:rPr>
                <w:rFonts w:ascii="Lucida Bright" w:hAnsi="Lucida Bright" w:cs="Calibri"/>
                <w:b/>
                <w:bCs/>
                <w:sz w:val="14"/>
                <w:szCs w:val="14"/>
                <w:lang w:val="es-ES"/>
              </w:rPr>
              <w:t xml:space="preserve">(33.712.126,71)  </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jc w:val="right"/>
              <w:rPr>
                <w:rFonts w:ascii="Lucida Bright" w:hAnsi="Lucida Bright" w:cs="Calibri"/>
                <w:b/>
                <w:bCs/>
                <w:sz w:val="14"/>
                <w:szCs w:val="14"/>
                <w:lang w:val="es-ES"/>
              </w:rPr>
            </w:pPr>
            <w:r w:rsidRPr="00DA225E">
              <w:rPr>
                <w:rFonts w:ascii="Lucida Bright" w:hAnsi="Lucida Bright" w:cs="Calibri"/>
                <w:b/>
                <w:bCs/>
                <w:sz w:val="14"/>
                <w:szCs w:val="14"/>
                <w:lang w:val="es-ES"/>
              </w:rPr>
              <w:t xml:space="preserve">(33.406.370,23)  </w:t>
            </w:r>
          </w:p>
        </w:tc>
      </w:tr>
      <w:tr w:rsidR="00DA225E" w:rsidRPr="00DA225E" w:rsidTr="00DA225E">
        <w:trPr>
          <w:trHeight w:val="210"/>
        </w:trPr>
        <w:tc>
          <w:tcPr>
            <w:tcW w:w="2786" w:type="pct"/>
            <w:tcBorders>
              <w:top w:val="nil"/>
              <w:left w:val="single" w:sz="4" w:space="0" w:color="auto"/>
              <w:bottom w:val="nil"/>
              <w:right w:val="single" w:sz="4" w:space="0" w:color="auto"/>
            </w:tcBorders>
            <w:shd w:val="clear" w:color="auto" w:fill="auto"/>
            <w:noWrap/>
            <w:vAlign w:val="bottom"/>
            <w:hideMark/>
          </w:tcPr>
          <w:p w:rsidR="00DA225E" w:rsidRPr="00DA225E" w:rsidRDefault="00DA225E" w:rsidP="00DA225E">
            <w:pPr>
              <w:ind w:firstLineChars="200" w:firstLine="280"/>
              <w:rPr>
                <w:rFonts w:ascii="Lucida Bright" w:hAnsi="Lucida Bright" w:cs="Calibri"/>
                <w:sz w:val="14"/>
                <w:szCs w:val="14"/>
                <w:lang w:val="es-ES"/>
              </w:rPr>
            </w:pPr>
            <w:r w:rsidRPr="00DA225E">
              <w:rPr>
                <w:rFonts w:ascii="Lucida Bright" w:hAnsi="Lucida Bright" w:cs="Calibri"/>
                <w:sz w:val="14"/>
                <w:szCs w:val="14"/>
                <w:lang w:val="es-ES"/>
              </w:rPr>
              <w:t>a) Servicios exteriores</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jc w:val="right"/>
              <w:rPr>
                <w:rFonts w:ascii="Lucida Bright" w:hAnsi="Lucida Bright" w:cs="Calibri"/>
                <w:sz w:val="14"/>
                <w:szCs w:val="14"/>
                <w:lang w:val="es-ES"/>
              </w:rPr>
            </w:pPr>
            <w:r w:rsidRPr="00DA225E">
              <w:rPr>
                <w:rFonts w:ascii="Lucida Bright" w:hAnsi="Lucida Bright" w:cs="Calibri"/>
                <w:sz w:val="14"/>
                <w:szCs w:val="14"/>
                <w:lang w:val="es-ES"/>
              </w:rPr>
              <w:t xml:space="preserve">(28.743.140,16)  </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jc w:val="right"/>
              <w:rPr>
                <w:rFonts w:ascii="Lucida Bright" w:hAnsi="Lucida Bright" w:cs="Calibri"/>
                <w:sz w:val="14"/>
                <w:szCs w:val="14"/>
                <w:lang w:val="es-ES"/>
              </w:rPr>
            </w:pPr>
            <w:r w:rsidRPr="00DA225E">
              <w:rPr>
                <w:rFonts w:ascii="Lucida Bright" w:hAnsi="Lucida Bright" w:cs="Calibri"/>
                <w:sz w:val="14"/>
                <w:szCs w:val="14"/>
                <w:lang w:val="es-ES"/>
              </w:rPr>
              <w:t xml:space="preserve">(28.437.383,68)  </w:t>
            </w:r>
          </w:p>
        </w:tc>
      </w:tr>
      <w:tr w:rsidR="00DA225E" w:rsidRPr="00DA225E" w:rsidTr="00DA225E">
        <w:trPr>
          <w:trHeight w:val="210"/>
        </w:trPr>
        <w:tc>
          <w:tcPr>
            <w:tcW w:w="2786" w:type="pct"/>
            <w:tcBorders>
              <w:top w:val="nil"/>
              <w:left w:val="single" w:sz="4" w:space="0" w:color="auto"/>
              <w:bottom w:val="nil"/>
              <w:right w:val="single" w:sz="4" w:space="0" w:color="auto"/>
            </w:tcBorders>
            <w:shd w:val="clear" w:color="auto" w:fill="auto"/>
            <w:noWrap/>
            <w:vAlign w:val="bottom"/>
            <w:hideMark/>
          </w:tcPr>
          <w:p w:rsidR="00DA225E" w:rsidRPr="00DA225E" w:rsidRDefault="00DA225E" w:rsidP="00DA225E">
            <w:pPr>
              <w:ind w:firstLineChars="300" w:firstLine="420"/>
              <w:rPr>
                <w:rFonts w:ascii="Lucida Bright" w:hAnsi="Lucida Bright" w:cs="Calibri"/>
                <w:i/>
                <w:iCs/>
                <w:sz w:val="14"/>
                <w:szCs w:val="14"/>
                <w:lang w:val="es-ES"/>
              </w:rPr>
            </w:pPr>
            <w:r w:rsidRPr="00DA225E">
              <w:rPr>
                <w:rFonts w:ascii="Lucida Bright" w:hAnsi="Lucida Bright" w:cs="Calibri"/>
                <w:i/>
                <w:iCs/>
                <w:sz w:val="14"/>
                <w:szCs w:val="14"/>
                <w:lang w:val="es-ES"/>
              </w:rPr>
              <w:t>1. Reparaciones y conservación</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jc w:val="right"/>
              <w:rPr>
                <w:rFonts w:ascii="Lucida Bright" w:hAnsi="Lucida Bright" w:cs="Calibri"/>
                <w:i/>
                <w:iCs/>
                <w:sz w:val="14"/>
                <w:szCs w:val="14"/>
                <w:lang w:val="es-ES"/>
              </w:rPr>
            </w:pPr>
            <w:r w:rsidRPr="00DA225E">
              <w:rPr>
                <w:rFonts w:ascii="Lucida Bright" w:hAnsi="Lucida Bright" w:cs="Calibri"/>
                <w:i/>
                <w:iCs/>
                <w:sz w:val="14"/>
                <w:szCs w:val="14"/>
                <w:lang w:val="es-ES"/>
              </w:rPr>
              <w:t xml:space="preserve">(14.099.759,26)  </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jc w:val="right"/>
              <w:rPr>
                <w:rFonts w:ascii="Lucida Bright" w:hAnsi="Lucida Bright" w:cs="Calibri"/>
                <w:i/>
                <w:iCs/>
                <w:sz w:val="14"/>
                <w:szCs w:val="14"/>
                <w:lang w:val="es-ES"/>
              </w:rPr>
            </w:pPr>
            <w:r w:rsidRPr="00DA225E">
              <w:rPr>
                <w:rFonts w:ascii="Lucida Bright" w:hAnsi="Lucida Bright" w:cs="Calibri"/>
                <w:i/>
                <w:iCs/>
                <w:sz w:val="14"/>
                <w:szCs w:val="14"/>
                <w:lang w:val="es-ES"/>
              </w:rPr>
              <w:t xml:space="preserve">(13.845.406,11)  </w:t>
            </w:r>
          </w:p>
        </w:tc>
      </w:tr>
      <w:tr w:rsidR="00DA225E" w:rsidRPr="00DA225E" w:rsidTr="00DA225E">
        <w:trPr>
          <w:trHeight w:val="210"/>
        </w:trPr>
        <w:tc>
          <w:tcPr>
            <w:tcW w:w="2786" w:type="pct"/>
            <w:tcBorders>
              <w:top w:val="nil"/>
              <w:left w:val="single" w:sz="4" w:space="0" w:color="auto"/>
              <w:bottom w:val="nil"/>
              <w:right w:val="single" w:sz="4" w:space="0" w:color="auto"/>
            </w:tcBorders>
            <w:shd w:val="clear" w:color="auto" w:fill="auto"/>
            <w:noWrap/>
            <w:vAlign w:val="bottom"/>
            <w:hideMark/>
          </w:tcPr>
          <w:p w:rsidR="00DA225E" w:rsidRPr="00DA225E" w:rsidRDefault="00DA225E" w:rsidP="00DA225E">
            <w:pPr>
              <w:ind w:firstLineChars="300" w:firstLine="420"/>
              <w:rPr>
                <w:rFonts w:ascii="Lucida Bright" w:hAnsi="Lucida Bright" w:cs="Calibri"/>
                <w:i/>
                <w:iCs/>
                <w:sz w:val="14"/>
                <w:szCs w:val="14"/>
                <w:lang w:val="es-ES"/>
              </w:rPr>
            </w:pPr>
            <w:r w:rsidRPr="00DA225E">
              <w:rPr>
                <w:rFonts w:ascii="Lucida Bright" w:hAnsi="Lucida Bright" w:cs="Calibri"/>
                <w:i/>
                <w:iCs/>
                <w:sz w:val="14"/>
                <w:szCs w:val="14"/>
                <w:lang w:val="es-ES"/>
              </w:rPr>
              <w:t>2. Servicios de profesionales independientes</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jc w:val="right"/>
              <w:rPr>
                <w:rFonts w:ascii="Lucida Bright" w:hAnsi="Lucida Bright" w:cs="Calibri"/>
                <w:i/>
                <w:iCs/>
                <w:sz w:val="14"/>
                <w:szCs w:val="14"/>
                <w:lang w:val="es-ES"/>
              </w:rPr>
            </w:pPr>
            <w:r w:rsidRPr="00DA225E">
              <w:rPr>
                <w:rFonts w:ascii="Lucida Bright" w:hAnsi="Lucida Bright" w:cs="Calibri"/>
                <w:i/>
                <w:iCs/>
                <w:sz w:val="14"/>
                <w:szCs w:val="14"/>
                <w:lang w:val="es-ES"/>
              </w:rPr>
              <w:t xml:space="preserve">(2.652.558,95)  </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jc w:val="right"/>
              <w:rPr>
                <w:rFonts w:ascii="Lucida Bright" w:hAnsi="Lucida Bright" w:cs="Calibri"/>
                <w:i/>
                <w:iCs/>
                <w:sz w:val="14"/>
                <w:szCs w:val="14"/>
                <w:lang w:val="es-ES"/>
              </w:rPr>
            </w:pPr>
            <w:r w:rsidRPr="00DA225E">
              <w:rPr>
                <w:rFonts w:ascii="Lucida Bright" w:hAnsi="Lucida Bright" w:cs="Calibri"/>
                <w:i/>
                <w:iCs/>
                <w:sz w:val="14"/>
                <w:szCs w:val="14"/>
                <w:lang w:val="es-ES"/>
              </w:rPr>
              <w:t xml:space="preserve">(2.601.155,62)  </w:t>
            </w:r>
          </w:p>
        </w:tc>
      </w:tr>
      <w:tr w:rsidR="00DA225E" w:rsidRPr="00DA225E" w:rsidTr="00DA225E">
        <w:trPr>
          <w:trHeight w:val="79"/>
        </w:trPr>
        <w:tc>
          <w:tcPr>
            <w:tcW w:w="2786" w:type="pct"/>
            <w:tcBorders>
              <w:top w:val="nil"/>
              <w:left w:val="single" w:sz="4" w:space="0" w:color="auto"/>
              <w:bottom w:val="nil"/>
              <w:right w:val="single" w:sz="4" w:space="0" w:color="auto"/>
            </w:tcBorders>
            <w:shd w:val="clear" w:color="auto" w:fill="auto"/>
            <w:noWrap/>
            <w:vAlign w:val="bottom"/>
            <w:hideMark/>
          </w:tcPr>
          <w:p w:rsidR="00DA225E" w:rsidRPr="00DA225E" w:rsidRDefault="00DA225E" w:rsidP="00DA225E">
            <w:pPr>
              <w:ind w:firstLineChars="300" w:firstLine="420"/>
              <w:rPr>
                <w:rFonts w:ascii="Lucida Bright" w:hAnsi="Lucida Bright" w:cs="Calibri"/>
                <w:i/>
                <w:iCs/>
                <w:sz w:val="14"/>
                <w:szCs w:val="14"/>
                <w:lang w:val="es-ES"/>
              </w:rPr>
            </w:pPr>
            <w:r w:rsidRPr="00DA225E">
              <w:rPr>
                <w:rFonts w:ascii="Lucida Bright" w:hAnsi="Lucida Bright" w:cs="Calibri"/>
                <w:i/>
                <w:iCs/>
                <w:sz w:val="14"/>
                <w:szCs w:val="14"/>
                <w:lang w:val="es-ES"/>
              </w:rPr>
              <w:t> </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rPr>
                <w:rFonts w:ascii="Lucida Bright" w:hAnsi="Lucida Bright" w:cs="Calibri"/>
                <w:i/>
                <w:iCs/>
                <w:sz w:val="14"/>
                <w:szCs w:val="14"/>
                <w:lang w:val="es-ES"/>
              </w:rPr>
            </w:pPr>
            <w:r w:rsidRPr="00DA225E">
              <w:rPr>
                <w:rFonts w:ascii="Lucida Bright" w:hAnsi="Lucida Bright" w:cs="Calibri"/>
                <w:i/>
                <w:iCs/>
                <w:sz w:val="14"/>
                <w:szCs w:val="14"/>
                <w:lang w:val="es-ES"/>
              </w:rPr>
              <w:t> </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rPr>
                <w:rFonts w:ascii="Lucida Bright" w:hAnsi="Lucida Bright" w:cs="Calibri"/>
                <w:i/>
                <w:iCs/>
                <w:sz w:val="14"/>
                <w:szCs w:val="14"/>
                <w:lang w:val="es-ES"/>
              </w:rPr>
            </w:pPr>
            <w:r w:rsidRPr="00DA225E">
              <w:rPr>
                <w:rFonts w:ascii="Lucida Bright" w:hAnsi="Lucida Bright" w:cs="Calibri"/>
                <w:i/>
                <w:iCs/>
                <w:sz w:val="14"/>
                <w:szCs w:val="14"/>
                <w:lang w:val="es-ES"/>
              </w:rPr>
              <w:t> </w:t>
            </w:r>
          </w:p>
        </w:tc>
      </w:tr>
      <w:tr w:rsidR="00DA225E" w:rsidRPr="00DA225E" w:rsidTr="00DA225E">
        <w:trPr>
          <w:trHeight w:val="79"/>
        </w:trPr>
        <w:tc>
          <w:tcPr>
            <w:tcW w:w="2786" w:type="pct"/>
            <w:tcBorders>
              <w:top w:val="nil"/>
              <w:left w:val="single" w:sz="4" w:space="0" w:color="auto"/>
              <w:bottom w:val="nil"/>
              <w:right w:val="single" w:sz="4" w:space="0" w:color="auto"/>
            </w:tcBorders>
            <w:shd w:val="clear" w:color="auto" w:fill="auto"/>
            <w:noWrap/>
            <w:vAlign w:val="bottom"/>
            <w:hideMark/>
          </w:tcPr>
          <w:p w:rsidR="00DA225E" w:rsidRPr="00DA225E" w:rsidRDefault="00DA225E" w:rsidP="00DA225E">
            <w:pPr>
              <w:ind w:firstLineChars="300" w:firstLine="420"/>
              <w:rPr>
                <w:rFonts w:ascii="Lucida Bright" w:hAnsi="Lucida Bright" w:cs="Calibri"/>
                <w:i/>
                <w:iCs/>
                <w:sz w:val="14"/>
                <w:szCs w:val="14"/>
                <w:lang w:val="es-ES"/>
              </w:rPr>
            </w:pPr>
            <w:r w:rsidRPr="00DA225E">
              <w:rPr>
                <w:rFonts w:ascii="Lucida Bright" w:hAnsi="Lucida Bright" w:cs="Calibri"/>
                <w:i/>
                <w:iCs/>
                <w:sz w:val="14"/>
                <w:szCs w:val="14"/>
                <w:lang w:val="es-ES"/>
              </w:rPr>
              <w:t> </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rPr>
                <w:rFonts w:ascii="Lucida Bright" w:hAnsi="Lucida Bright" w:cs="Calibri"/>
                <w:i/>
                <w:iCs/>
                <w:sz w:val="14"/>
                <w:szCs w:val="14"/>
                <w:lang w:val="es-ES"/>
              </w:rPr>
            </w:pPr>
            <w:r w:rsidRPr="00DA225E">
              <w:rPr>
                <w:rFonts w:ascii="Lucida Bright" w:hAnsi="Lucida Bright" w:cs="Calibri"/>
                <w:i/>
                <w:iCs/>
                <w:sz w:val="14"/>
                <w:szCs w:val="14"/>
                <w:lang w:val="es-ES"/>
              </w:rPr>
              <w:t> </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rPr>
                <w:rFonts w:ascii="Lucida Bright" w:hAnsi="Lucida Bright" w:cs="Calibri"/>
                <w:i/>
                <w:iCs/>
                <w:sz w:val="14"/>
                <w:szCs w:val="14"/>
                <w:lang w:val="es-ES"/>
              </w:rPr>
            </w:pPr>
            <w:r w:rsidRPr="00DA225E">
              <w:rPr>
                <w:rFonts w:ascii="Lucida Bright" w:hAnsi="Lucida Bright" w:cs="Calibri"/>
                <w:i/>
                <w:iCs/>
                <w:sz w:val="14"/>
                <w:szCs w:val="14"/>
                <w:lang w:val="es-ES"/>
              </w:rPr>
              <w:t> </w:t>
            </w:r>
          </w:p>
        </w:tc>
      </w:tr>
      <w:tr w:rsidR="00DA225E" w:rsidRPr="00DA225E" w:rsidTr="00DA225E">
        <w:trPr>
          <w:trHeight w:val="210"/>
        </w:trPr>
        <w:tc>
          <w:tcPr>
            <w:tcW w:w="2786" w:type="pct"/>
            <w:tcBorders>
              <w:top w:val="nil"/>
              <w:left w:val="single" w:sz="4" w:space="0" w:color="auto"/>
              <w:bottom w:val="nil"/>
              <w:right w:val="single" w:sz="4" w:space="0" w:color="auto"/>
            </w:tcBorders>
            <w:shd w:val="clear" w:color="auto" w:fill="auto"/>
            <w:noWrap/>
            <w:vAlign w:val="center"/>
            <w:hideMark/>
          </w:tcPr>
          <w:p w:rsidR="00DA225E" w:rsidRPr="00DA225E" w:rsidRDefault="00DA225E" w:rsidP="00DA225E">
            <w:pPr>
              <w:ind w:firstLineChars="100" w:firstLine="141"/>
              <w:rPr>
                <w:rFonts w:ascii="Lucida Bright" w:hAnsi="Lucida Bright" w:cs="Calibri"/>
                <w:b/>
                <w:bCs/>
                <w:sz w:val="14"/>
                <w:szCs w:val="14"/>
                <w:lang w:val="es-ES"/>
              </w:rPr>
            </w:pPr>
            <w:r w:rsidRPr="00DA225E">
              <w:rPr>
                <w:rFonts w:ascii="Lucida Bright" w:hAnsi="Lucida Bright" w:cs="Calibri"/>
                <w:b/>
                <w:bCs/>
                <w:sz w:val="14"/>
                <w:szCs w:val="14"/>
                <w:lang w:val="es-ES"/>
              </w:rPr>
              <w:t>8. Amortizaciones del inmovilizado</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jc w:val="right"/>
              <w:rPr>
                <w:rFonts w:ascii="Lucida Bright" w:hAnsi="Lucida Bright" w:cs="Calibri"/>
                <w:b/>
                <w:bCs/>
                <w:sz w:val="14"/>
                <w:szCs w:val="14"/>
                <w:lang w:val="es-ES"/>
              </w:rPr>
            </w:pPr>
            <w:r w:rsidRPr="00DA225E">
              <w:rPr>
                <w:rFonts w:ascii="Lucida Bright" w:hAnsi="Lucida Bright" w:cs="Calibri"/>
                <w:b/>
                <w:bCs/>
                <w:sz w:val="14"/>
                <w:szCs w:val="14"/>
                <w:lang w:val="es-ES"/>
              </w:rPr>
              <w:t xml:space="preserve">(21.886.325,91)  </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jc w:val="right"/>
              <w:rPr>
                <w:rFonts w:ascii="Lucida Bright" w:hAnsi="Lucida Bright" w:cs="Calibri"/>
                <w:b/>
                <w:bCs/>
                <w:sz w:val="14"/>
                <w:szCs w:val="14"/>
                <w:lang w:val="es-ES"/>
              </w:rPr>
            </w:pPr>
            <w:r w:rsidRPr="00DA225E">
              <w:rPr>
                <w:rFonts w:ascii="Lucida Bright" w:hAnsi="Lucida Bright" w:cs="Calibri"/>
                <w:b/>
                <w:bCs/>
                <w:sz w:val="14"/>
                <w:szCs w:val="14"/>
                <w:lang w:val="es-ES"/>
              </w:rPr>
              <w:t xml:space="preserve">(19.348.744,55)  </w:t>
            </w:r>
          </w:p>
        </w:tc>
      </w:tr>
      <w:tr w:rsidR="00DA225E" w:rsidRPr="00DA225E" w:rsidTr="00DA225E">
        <w:trPr>
          <w:trHeight w:val="79"/>
        </w:trPr>
        <w:tc>
          <w:tcPr>
            <w:tcW w:w="2786" w:type="pct"/>
            <w:tcBorders>
              <w:top w:val="nil"/>
              <w:left w:val="single" w:sz="4" w:space="0" w:color="auto"/>
              <w:bottom w:val="nil"/>
              <w:right w:val="single" w:sz="4" w:space="0" w:color="auto"/>
            </w:tcBorders>
            <w:shd w:val="clear" w:color="auto" w:fill="auto"/>
            <w:noWrap/>
            <w:vAlign w:val="bottom"/>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w:t>
            </w:r>
          </w:p>
        </w:tc>
        <w:tc>
          <w:tcPr>
            <w:tcW w:w="1107" w:type="pct"/>
            <w:tcBorders>
              <w:top w:val="nil"/>
              <w:left w:val="nil"/>
              <w:bottom w:val="nil"/>
              <w:right w:val="single" w:sz="4" w:space="0" w:color="auto"/>
            </w:tcBorders>
            <w:shd w:val="clear" w:color="auto" w:fill="auto"/>
            <w:noWrap/>
            <w:vAlign w:val="bottom"/>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w:t>
            </w:r>
          </w:p>
        </w:tc>
        <w:tc>
          <w:tcPr>
            <w:tcW w:w="1107" w:type="pct"/>
            <w:tcBorders>
              <w:top w:val="nil"/>
              <w:left w:val="nil"/>
              <w:bottom w:val="nil"/>
              <w:right w:val="single" w:sz="4" w:space="0" w:color="auto"/>
            </w:tcBorders>
            <w:shd w:val="clear" w:color="auto" w:fill="auto"/>
            <w:noWrap/>
            <w:vAlign w:val="bottom"/>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w:t>
            </w:r>
          </w:p>
        </w:tc>
      </w:tr>
      <w:tr w:rsidR="00DA225E" w:rsidRPr="00DA225E" w:rsidTr="00DA225E">
        <w:trPr>
          <w:trHeight w:val="79"/>
        </w:trPr>
        <w:tc>
          <w:tcPr>
            <w:tcW w:w="2786" w:type="pct"/>
            <w:tcBorders>
              <w:top w:val="nil"/>
              <w:left w:val="single" w:sz="4" w:space="0" w:color="auto"/>
              <w:bottom w:val="nil"/>
              <w:right w:val="single" w:sz="4" w:space="0" w:color="auto"/>
            </w:tcBorders>
            <w:shd w:val="clear" w:color="auto" w:fill="auto"/>
            <w:noWrap/>
            <w:vAlign w:val="bottom"/>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w:t>
            </w:r>
          </w:p>
        </w:tc>
        <w:tc>
          <w:tcPr>
            <w:tcW w:w="1107" w:type="pct"/>
            <w:tcBorders>
              <w:top w:val="nil"/>
              <w:left w:val="nil"/>
              <w:bottom w:val="nil"/>
              <w:right w:val="single" w:sz="4" w:space="0" w:color="auto"/>
            </w:tcBorders>
            <w:shd w:val="clear" w:color="auto" w:fill="auto"/>
            <w:noWrap/>
            <w:vAlign w:val="bottom"/>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w:t>
            </w:r>
          </w:p>
        </w:tc>
        <w:tc>
          <w:tcPr>
            <w:tcW w:w="1107" w:type="pct"/>
            <w:tcBorders>
              <w:top w:val="nil"/>
              <w:left w:val="nil"/>
              <w:bottom w:val="nil"/>
              <w:right w:val="single" w:sz="4" w:space="0" w:color="auto"/>
            </w:tcBorders>
            <w:shd w:val="clear" w:color="auto" w:fill="auto"/>
            <w:noWrap/>
            <w:vAlign w:val="bottom"/>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w:t>
            </w:r>
          </w:p>
        </w:tc>
      </w:tr>
      <w:tr w:rsidR="00DA225E" w:rsidRPr="00DA225E" w:rsidTr="00DA225E">
        <w:trPr>
          <w:trHeight w:val="210"/>
        </w:trPr>
        <w:tc>
          <w:tcPr>
            <w:tcW w:w="2786" w:type="pct"/>
            <w:tcBorders>
              <w:top w:val="nil"/>
              <w:left w:val="single" w:sz="4" w:space="0" w:color="auto"/>
              <w:bottom w:val="single" w:sz="4" w:space="0" w:color="auto"/>
              <w:right w:val="single" w:sz="4" w:space="0" w:color="auto"/>
            </w:tcBorders>
            <w:shd w:val="clear" w:color="000000" w:fill="CCFFCC"/>
            <w:noWrap/>
            <w:vAlign w:val="center"/>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xml:space="preserve">  A.1. RESULTADO DE EXPLOTACIÓN (1+3+5+6+7+8+9+10+11+12)</w:t>
            </w:r>
          </w:p>
        </w:tc>
        <w:tc>
          <w:tcPr>
            <w:tcW w:w="1107" w:type="pct"/>
            <w:tcBorders>
              <w:top w:val="nil"/>
              <w:left w:val="nil"/>
              <w:bottom w:val="single" w:sz="4" w:space="0" w:color="auto"/>
              <w:right w:val="single" w:sz="4" w:space="0" w:color="auto"/>
            </w:tcBorders>
            <w:shd w:val="clear" w:color="000000" w:fill="CCFFCC"/>
            <w:noWrap/>
            <w:vAlign w:val="center"/>
            <w:hideMark/>
          </w:tcPr>
          <w:p w:rsidR="00DA225E" w:rsidRPr="00DA225E" w:rsidRDefault="00DA225E" w:rsidP="00DA225E">
            <w:pPr>
              <w:jc w:val="right"/>
              <w:rPr>
                <w:rFonts w:ascii="Lucida Bright" w:hAnsi="Lucida Bright" w:cs="Calibri"/>
                <w:b/>
                <w:bCs/>
                <w:sz w:val="14"/>
                <w:szCs w:val="14"/>
                <w:lang w:val="es-ES"/>
              </w:rPr>
            </w:pPr>
            <w:r w:rsidRPr="00DA225E">
              <w:rPr>
                <w:rFonts w:ascii="Lucida Bright" w:hAnsi="Lucida Bright" w:cs="Calibri"/>
                <w:b/>
                <w:bCs/>
                <w:sz w:val="14"/>
                <w:szCs w:val="14"/>
                <w:lang w:val="es-ES"/>
              </w:rPr>
              <w:t xml:space="preserve">40.206.112,18  </w:t>
            </w:r>
          </w:p>
        </w:tc>
        <w:tc>
          <w:tcPr>
            <w:tcW w:w="1107" w:type="pct"/>
            <w:tcBorders>
              <w:top w:val="nil"/>
              <w:left w:val="nil"/>
              <w:bottom w:val="single" w:sz="4" w:space="0" w:color="auto"/>
              <w:right w:val="single" w:sz="4" w:space="0" w:color="auto"/>
            </w:tcBorders>
            <w:shd w:val="clear" w:color="000000" w:fill="CCFFCC"/>
            <w:noWrap/>
            <w:vAlign w:val="center"/>
            <w:hideMark/>
          </w:tcPr>
          <w:p w:rsidR="00DA225E" w:rsidRPr="00DA225E" w:rsidRDefault="00DA225E" w:rsidP="00DA225E">
            <w:pPr>
              <w:jc w:val="right"/>
              <w:rPr>
                <w:rFonts w:ascii="Lucida Bright" w:hAnsi="Lucida Bright" w:cs="Calibri"/>
                <w:b/>
                <w:bCs/>
                <w:sz w:val="14"/>
                <w:szCs w:val="14"/>
                <w:lang w:val="es-ES"/>
              </w:rPr>
            </w:pPr>
            <w:r w:rsidRPr="00DA225E">
              <w:rPr>
                <w:rFonts w:ascii="Lucida Bright" w:hAnsi="Lucida Bright" w:cs="Calibri"/>
                <w:b/>
                <w:bCs/>
                <w:sz w:val="14"/>
                <w:szCs w:val="14"/>
                <w:lang w:val="es-ES"/>
              </w:rPr>
              <w:t xml:space="preserve">42.429.411,69  </w:t>
            </w:r>
          </w:p>
        </w:tc>
      </w:tr>
      <w:tr w:rsidR="00DA225E" w:rsidRPr="00DA225E" w:rsidTr="00DA225E">
        <w:trPr>
          <w:trHeight w:val="210"/>
        </w:trPr>
        <w:tc>
          <w:tcPr>
            <w:tcW w:w="2786" w:type="pct"/>
            <w:tcBorders>
              <w:top w:val="nil"/>
              <w:left w:val="single" w:sz="4" w:space="0" w:color="auto"/>
              <w:bottom w:val="nil"/>
              <w:right w:val="single" w:sz="4" w:space="0" w:color="auto"/>
            </w:tcBorders>
            <w:shd w:val="clear" w:color="auto" w:fill="auto"/>
            <w:noWrap/>
            <w:vAlign w:val="center"/>
            <w:hideMark/>
          </w:tcPr>
          <w:p w:rsidR="00DA225E" w:rsidRPr="00DA225E" w:rsidRDefault="00DA225E" w:rsidP="00DA225E">
            <w:pPr>
              <w:rPr>
                <w:rFonts w:ascii="Lucida Bright" w:hAnsi="Lucida Bright" w:cs="Calibri"/>
                <w:sz w:val="14"/>
                <w:szCs w:val="14"/>
                <w:lang w:val="es-ES"/>
              </w:rPr>
            </w:pPr>
            <w:r w:rsidRPr="00DA225E">
              <w:rPr>
                <w:rFonts w:ascii="Lucida Bright" w:hAnsi="Lucida Bright" w:cs="Calibri"/>
                <w:sz w:val="14"/>
                <w:szCs w:val="14"/>
                <w:lang w:val="es-ES"/>
              </w:rPr>
              <w:t> </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rPr>
                <w:rFonts w:ascii="Lucida Bright" w:hAnsi="Lucida Bright" w:cs="Calibri"/>
                <w:sz w:val="14"/>
                <w:szCs w:val="14"/>
                <w:lang w:val="es-ES"/>
              </w:rPr>
            </w:pPr>
            <w:r w:rsidRPr="00DA225E">
              <w:rPr>
                <w:rFonts w:ascii="Lucida Bright" w:hAnsi="Lucida Bright" w:cs="Calibri"/>
                <w:sz w:val="14"/>
                <w:szCs w:val="14"/>
                <w:lang w:val="es-ES"/>
              </w:rPr>
              <w:t> </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rPr>
                <w:rFonts w:ascii="Lucida Bright" w:hAnsi="Lucida Bright" w:cs="Calibri"/>
                <w:sz w:val="14"/>
                <w:szCs w:val="14"/>
                <w:lang w:val="es-ES"/>
              </w:rPr>
            </w:pPr>
            <w:r w:rsidRPr="00DA225E">
              <w:rPr>
                <w:rFonts w:ascii="Lucida Bright" w:hAnsi="Lucida Bright" w:cs="Calibri"/>
                <w:sz w:val="14"/>
                <w:szCs w:val="14"/>
                <w:lang w:val="es-ES"/>
              </w:rPr>
              <w:t> </w:t>
            </w:r>
          </w:p>
        </w:tc>
      </w:tr>
      <w:tr w:rsidR="00DA225E" w:rsidRPr="00DA225E" w:rsidTr="00DA225E">
        <w:trPr>
          <w:trHeight w:val="210"/>
        </w:trPr>
        <w:tc>
          <w:tcPr>
            <w:tcW w:w="2786" w:type="pct"/>
            <w:tcBorders>
              <w:top w:val="nil"/>
              <w:left w:val="single" w:sz="4" w:space="0" w:color="auto"/>
              <w:bottom w:val="nil"/>
              <w:right w:val="single" w:sz="4" w:space="0" w:color="auto"/>
            </w:tcBorders>
            <w:shd w:val="clear" w:color="000000" w:fill="CCFFCC"/>
            <w:noWrap/>
            <w:vAlign w:val="center"/>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xml:space="preserve">  A.3. RESULTADO ANTES DE IMPUESTOS (A.1+A.2)</w:t>
            </w:r>
          </w:p>
        </w:tc>
        <w:tc>
          <w:tcPr>
            <w:tcW w:w="1107" w:type="pct"/>
            <w:tcBorders>
              <w:top w:val="nil"/>
              <w:left w:val="nil"/>
              <w:bottom w:val="nil"/>
              <w:right w:val="single" w:sz="4" w:space="0" w:color="auto"/>
            </w:tcBorders>
            <w:shd w:val="clear" w:color="000000" w:fill="CCFFCC"/>
            <w:noWrap/>
            <w:vAlign w:val="center"/>
            <w:hideMark/>
          </w:tcPr>
          <w:p w:rsidR="00DA225E" w:rsidRPr="00DA225E" w:rsidRDefault="00DA225E" w:rsidP="00DA225E">
            <w:pPr>
              <w:jc w:val="right"/>
              <w:rPr>
                <w:rFonts w:ascii="Lucida Bright" w:hAnsi="Lucida Bright" w:cs="Calibri"/>
                <w:b/>
                <w:bCs/>
                <w:sz w:val="14"/>
                <w:szCs w:val="14"/>
                <w:lang w:val="es-ES"/>
              </w:rPr>
            </w:pPr>
            <w:r w:rsidRPr="00DA225E">
              <w:rPr>
                <w:rFonts w:ascii="Lucida Bright" w:hAnsi="Lucida Bright" w:cs="Calibri"/>
                <w:b/>
                <w:bCs/>
                <w:sz w:val="14"/>
                <w:szCs w:val="14"/>
                <w:lang w:val="es-ES"/>
              </w:rPr>
              <w:t xml:space="preserve">44.827.075,67  </w:t>
            </w:r>
          </w:p>
        </w:tc>
        <w:tc>
          <w:tcPr>
            <w:tcW w:w="1107" w:type="pct"/>
            <w:tcBorders>
              <w:top w:val="nil"/>
              <w:left w:val="nil"/>
              <w:bottom w:val="nil"/>
              <w:right w:val="single" w:sz="4" w:space="0" w:color="auto"/>
            </w:tcBorders>
            <w:shd w:val="clear" w:color="000000" w:fill="CCFFCC"/>
            <w:noWrap/>
            <w:vAlign w:val="center"/>
            <w:hideMark/>
          </w:tcPr>
          <w:p w:rsidR="00DA225E" w:rsidRPr="00DA225E" w:rsidRDefault="00DA225E" w:rsidP="00DA225E">
            <w:pPr>
              <w:jc w:val="right"/>
              <w:rPr>
                <w:rFonts w:ascii="Lucida Bright" w:hAnsi="Lucida Bright" w:cs="Calibri"/>
                <w:b/>
                <w:bCs/>
                <w:sz w:val="14"/>
                <w:szCs w:val="14"/>
                <w:lang w:val="es-ES"/>
              </w:rPr>
            </w:pPr>
            <w:r w:rsidRPr="00DA225E">
              <w:rPr>
                <w:rFonts w:ascii="Lucida Bright" w:hAnsi="Lucida Bright" w:cs="Calibri"/>
                <w:b/>
                <w:bCs/>
                <w:sz w:val="14"/>
                <w:szCs w:val="14"/>
                <w:lang w:val="es-ES"/>
              </w:rPr>
              <w:t xml:space="preserve">47.050.375,18  </w:t>
            </w:r>
          </w:p>
        </w:tc>
      </w:tr>
      <w:tr w:rsidR="00DA225E" w:rsidRPr="00DA225E" w:rsidTr="00DA225E">
        <w:trPr>
          <w:trHeight w:val="210"/>
        </w:trPr>
        <w:tc>
          <w:tcPr>
            <w:tcW w:w="2786" w:type="pct"/>
            <w:tcBorders>
              <w:top w:val="nil"/>
              <w:left w:val="single" w:sz="4" w:space="0" w:color="auto"/>
              <w:bottom w:val="nil"/>
              <w:right w:val="single" w:sz="4" w:space="0" w:color="auto"/>
            </w:tcBorders>
            <w:shd w:val="clear" w:color="auto" w:fill="auto"/>
            <w:noWrap/>
            <w:vAlign w:val="center"/>
            <w:hideMark/>
          </w:tcPr>
          <w:p w:rsidR="00DA225E" w:rsidRPr="00DA225E" w:rsidRDefault="00DA225E" w:rsidP="00DA225E">
            <w:pPr>
              <w:rPr>
                <w:rFonts w:ascii="Lucida Bright" w:hAnsi="Lucida Bright" w:cs="Calibri"/>
                <w:sz w:val="14"/>
                <w:szCs w:val="14"/>
                <w:lang w:val="es-ES"/>
              </w:rPr>
            </w:pPr>
            <w:r w:rsidRPr="00DA225E">
              <w:rPr>
                <w:rFonts w:ascii="Lucida Bright" w:hAnsi="Lucida Bright" w:cs="Calibri"/>
                <w:sz w:val="14"/>
                <w:szCs w:val="14"/>
                <w:lang w:val="es-ES"/>
              </w:rPr>
              <w:t> </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rPr>
                <w:rFonts w:ascii="Lucida Bright" w:hAnsi="Lucida Bright" w:cs="Calibri"/>
                <w:sz w:val="14"/>
                <w:szCs w:val="14"/>
                <w:lang w:val="es-ES"/>
              </w:rPr>
            </w:pPr>
            <w:r w:rsidRPr="00DA225E">
              <w:rPr>
                <w:rFonts w:ascii="Lucida Bright" w:hAnsi="Lucida Bright" w:cs="Calibri"/>
                <w:sz w:val="14"/>
                <w:szCs w:val="14"/>
                <w:lang w:val="es-ES"/>
              </w:rPr>
              <w:t> </w:t>
            </w:r>
          </w:p>
        </w:tc>
        <w:tc>
          <w:tcPr>
            <w:tcW w:w="1107" w:type="pct"/>
            <w:tcBorders>
              <w:top w:val="nil"/>
              <w:left w:val="nil"/>
              <w:bottom w:val="nil"/>
              <w:right w:val="single" w:sz="4" w:space="0" w:color="auto"/>
            </w:tcBorders>
            <w:shd w:val="clear" w:color="auto" w:fill="auto"/>
            <w:noWrap/>
            <w:vAlign w:val="center"/>
            <w:hideMark/>
          </w:tcPr>
          <w:p w:rsidR="00DA225E" w:rsidRPr="00DA225E" w:rsidRDefault="00DA225E" w:rsidP="00DA225E">
            <w:pPr>
              <w:rPr>
                <w:rFonts w:ascii="Lucida Bright" w:hAnsi="Lucida Bright" w:cs="Calibri"/>
                <w:sz w:val="14"/>
                <w:szCs w:val="14"/>
                <w:lang w:val="es-ES"/>
              </w:rPr>
            </w:pPr>
            <w:r w:rsidRPr="00DA225E">
              <w:rPr>
                <w:rFonts w:ascii="Lucida Bright" w:hAnsi="Lucida Bright" w:cs="Calibri"/>
                <w:sz w:val="14"/>
                <w:szCs w:val="14"/>
                <w:lang w:val="es-ES"/>
              </w:rPr>
              <w:t> </w:t>
            </w:r>
          </w:p>
        </w:tc>
      </w:tr>
      <w:tr w:rsidR="00DA225E" w:rsidRPr="00DA225E" w:rsidTr="00DA225E">
        <w:trPr>
          <w:trHeight w:val="210"/>
        </w:trPr>
        <w:tc>
          <w:tcPr>
            <w:tcW w:w="2786"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A225E" w:rsidRPr="00DA225E" w:rsidRDefault="00DA225E" w:rsidP="00DA225E">
            <w:pPr>
              <w:rPr>
                <w:rFonts w:ascii="Lucida Bright" w:hAnsi="Lucida Bright" w:cs="Calibri"/>
                <w:b/>
                <w:bCs/>
                <w:sz w:val="14"/>
                <w:szCs w:val="14"/>
                <w:lang w:val="es-ES"/>
              </w:rPr>
            </w:pPr>
            <w:r w:rsidRPr="00DA225E">
              <w:rPr>
                <w:rFonts w:ascii="Lucida Bright" w:hAnsi="Lucida Bright" w:cs="Calibri"/>
                <w:b/>
                <w:bCs/>
                <w:sz w:val="14"/>
                <w:szCs w:val="14"/>
                <w:lang w:val="es-ES"/>
              </w:rPr>
              <w:t xml:space="preserve">  A.4. RESULTADO DEL EJERCICIO (A.3+17)</w:t>
            </w:r>
          </w:p>
        </w:tc>
        <w:tc>
          <w:tcPr>
            <w:tcW w:w="1107" w:type="pct"/>
            <w:tcBorders>
              <w:top w:val="single" w:sz="4" w:space="0" w:color="auto"/>
              <w:left w:val="nil"/>
              <w:bottom w:val="single" w:sz="4" w:space="0" w:color="auto"/>
              <w:right w:val="single" w:sz="4" w:space="0" w:color="auto"/>
            </w:tcBorders>
            <w:shd w:val="clear" w:color="000000" w:fill="CCFFCC"/>
            <w:noWrap/>
            <w:vAlign w:val="center"/>
            <w:hideMark/>
          </w:tcPr>
          <w:p w:rsidR="00DA225E" w:rsidRPr="00DA225E" w:rsidRDefault="00DA225E" w:rsidP="00DA225E">
            <w:pPr>
              <w:jc w:val="right"/>
              <w:rPr>
                <w:rFonts w:ascii="Lucida Bright" w:hAnsi="Lucida Bright" w:cs="Calibri"/>
                <w:b/>
                <w:bCs/>
                <w:sz w:val="14"/>
                <w:szCs w:val="14"/>
                <w:lang w:val="es-ES"/>
              </w:rPr>
            </w:pPr>
            <w:r w:rsidRPr="00DA225E">
              <w:rPr>
                <w:rFonts w:ascii="Lucida Bright" w:hAnsi="Lucida Bright" w:cs="Calibri"/>
                <w:b/>
                <w:bCs/>
                <w:sz w:val="14"/>
                <w:szCs w:val="14"/>
                <w:lang w:val="es-ES"/>
              </w:rPr>
              <w:t xml:space="preserve">44.788.807,51  </w:t>
            </w:r>
          </w:p>
        </w:tc>
        <w:tc>
          <w:tcPr>
            <w:tcW w:w="1107"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A225E" w:rsidRPr="00DA225E" w:rsidRDefault="00DA225E" w:rsidP="00DA225E">
            <w:pPr>
              <w:jc w:val="right"/>
              <w:rPr>
                <w:rFonts w:ascii="Lucida Bright" w:hAnsi="Lucida Bright" w:cs="Calibri"/>
                <w:b/>
                <w:bCs/>
                <w:sz w:val="14"/>
                <w:szCs w:val="14"/>
                <w:lang w:val="es-ES"/>
              </w:rPr>
            </w:pPr>
            <w:r w:rsidRPr="00DA225E">
              <w:rPr>
                <w:rFonts w:ascii="Lucida Bright" w:hAnsi="Lucida Bright" w:cs="Calibri"/>
                <w:b/>
                <w:bCs/>
                <w:sz w:val="14"/>
                <w:szCs w:val="14"/>
                <w:lang w:val="es-ES"/>
              </w:rPr>
              <w:t xml:space="preserve">47.012.107,02  </w:t>
            </w:r>
          </w:p>
        </w:tc>
      </w:tr>
    </w:tbl>
    <w:p w:rsidR="008A39CD" w:rsidRDefault="008A39CD" w:rsidP="00E96B8F">
      <w:pPr>
        <w:spacing w:before="100"/>
        <w:ind w:firstLine="568"/>
        <w:jc w:val="both"/>
        <w:rPr>
          <w:rFonts w:ascii="NewBaskerville" w:hAnsi="NewBaskerville"/>
        </w:rPr>
      </w:pPr>
    </w:p>
    <w:p w:rsidR="008A39CD" w:rsidRDefault="008A39CD" w:rsidP="00E96B8F">
      <w:pPr>
        <w:spacing w:before="100"/>
        <w:ind w:firstLine="568"/>
        <w:jc w:val="both"/>
        <w:rPr>
          <w:rFonts w:ascii="NewBaskerville" w:hAnsi="NewBaskerville"/>
        </w:rPr>
      </w:pPr>
    </w:p>
    <w:p w:rsidR="008A39CD" w:rsidRDefault="008A39CD" w:rsidP="00E96B8F">
      <w:pPr>
        <w:spacing w:before="100"/>
        <w:ind w:firstLine="568"/>
        <w:jc w:val="both"/>
        <w:rPr>
          <w:rFonts w:ascii="NewBaskerville" w:hAnsi="NewBaskerville"/>
        </w:rPr>
      </w:pPr>
    </w:p>
    <w:p w:rsidR="003B5F06" w:rsidRDefault="003B5F06" w:rsidP="00E96B8F">
      <w:pPr>
        <w:spacing w:before="100"/>
        <w:ind w:firstLine="568"/>
        <w:jc w:val="both"/>
        <w:rPr>
          <w:rFonts w:ascii="NewBaskerville" w:hAnsi="NewBaskerville"/>
        </w:rPr>
      </w:pPr>
    </w:p>
    <w:p w:rsidR="00E30471" w:rsidRDefault="00E30471" w:rsidP="00E96B8F">
      <w:pPr>
        <w:spacing w:before="100"/>
        <w:ind w:firstLine="568"/>
        <w:jc w:val="both"/>
        <w:rPr>
          <w:rFonts w:ascii="NewBaskerville" w:hAnsi="NewBaskerville"/>
        </w:rPr>
      </w:pPr>
    </w:p>
    <w:tbl>
      <w:tblPr>
        <w:tblW w:w="5008" w:type="pct"/>
        <w:tblCellMar>
          <w:left w:w="70" w:type="dxa"/>
          <w:right w:w="70" w:type="dxa"/>
        </w:tblCellMar>
        <w:tblLook w:val="04A0" w:firstRow="1" w:lastRow="0" w:firstColumn="1" w:lastColumn="0" w:noHBand="0" w:noVBand="1"/>
      </w:tblPr>
      <w:tblGrid>
        <w:gridCol w:w="6648"/>
        <w:gridCol w:w="1358"/>
        <w:gridCol w:w="1362"/>
      </w:tblGrid>
      <w:tr w:rsidR="00821323" w:rsidRPr="00821323" w:rsidTr="00821323">
        <w:trPr>
          <w:trHeight w:val="277"/>
        </w:trPr>
        <w:tc>
          <w:tcPr>
            <w:tcW w:w="5000" w:type="pct"/>
            <w:gridSpan w:val="3"/>
            <w:vMerge w:val="restart"/>
            <w:tcBorders>
              <w:top w:val="nil"/>
              <w:left w:val="nil"/>
              <w:bottom w:val="single" w:sz="4" w:space="0" w:color="000000"/>
              <w:right w:val="nil"/>
            </w:tcBorders>
            <w:shd w:val="clear" w:color="000000" w:fill="FFFFFF"/>
            <w:vAlign w:val="center"/>
            <w:hideMark/>
          </w:tcPr>
          <w:p w:rsidR="00821323" w:rsidRPr="00821323" w:rsidRDefault="00821323" w:rsidP="00821323">
            <w:pPr>
              <w:rPr>
                <w:rFonts w:ascii="Lucida Bright" w:hAnsi="Lucida Bright" w:cs="Calibri"/>
                <w:b/>
                <w:bCs/>
                <w:lang w:val="es-ES"/>
              </w:rPr>
            </w:pPr>
            <w:r w:rsidRPr="00821323">
              <w:rPr>
                <w:rFonts w:ascii="Lucida Bright" w:hAnsi="Lucida Bright" w:cs="Calibri"/>
                <w:b/>
                <w:bCs/>
                <w:lang w:val="es-ES"/>
              </w:rPr>
              <w:lastRenderedPageBreak/>
              <w:t>Estado de flujos de efectivo correspondiente al ejercicio terminado el 31-12-24 (cifras comparativas 2023)</w:t>
            </w:r>
          </w:p>
        </w:tc>
      </w:tr>
      <w:tr w:rsidR="00821323" w:rsidRPr="00821323" w:rsidTr="00821323">
        <w:trPr>
          <w:trHeight w:val="261"/>
        </w:trPr>
        <w:tc>
          <w:tcPr>
            <w:tcW w:w="5000" w:type="pct"/>
            <w:gridSpan w:val="3"/>
            <w:vMerge/>
            <w:tcBorders>
              <w:top w:val="nil"/>
              <w:left w:val="nil"/>
              <w:bottom w:val="single" w:sz="4" w:space="0" w:color="000000"/>
              <w:right w:val="nil"/>
            </w:tcBorders>
            <w:vAlign w:val="center"/>
            <w:hideMark/>
          </w:tcPr>
          <w:p w:rsidR="00821323" w:rsidRPr="00821323" w:rsidRDefault="00821323" w:rsidP="00821323">
            <w:pPr>
              <w:rPr>
                <w:rFonts w:ascii="Lucida Bright" w:hAnsi="Lucida Bright" w:cs="Calibri"/>
                <w:b/>
                <w:bCs/>
                <w:lang w:val="es-ES"/>
              </w:rPr>
            </w:pPr>
          </w:p>
        </w:tc>
      </w:tr>
      <w:tr w:rsidR="00821323" w:rsidRPr="00821323" w:rsidTr="00821323">
        <w:trPr>
          <w:trHeight w:val="783"/>
        </w:trPr>
        <w:tc>
          <w:tcPr>
            <w:tcW w:w="3548" w:type="pct"/>
            <w:tcBorders>
              <w:top w:val="nil"/>
              <w:left w:val="single" w:sz="4" w:space="0" w:color="auto"/>
              <w:bottom w:val="single" w:sz="4" w:space="0" w:color="auto"/>
              <w:right w:val="nil"/>
            </w:tcBorders>
            <w:shd w:val="clear" w:color="000000" w:fill="CCFFCC"/>
            <w:noWrap/>
            <w:vAlign w:val="center"/>
            <w:hideMark/>
          </w:tcPr>
          <w:p w:rsidR="00821323" w:rsidRPr="00821323" w:rsidRDefault="00821323" w:rsidP="00821323">
            <w:pPr>
              <w:jc w:val="center"/>
              <w:rPr>
                <w:rFonts w:ascii="Lucida Bright" w:hAnsi="Lucida Bright" w:cs="Calibri"/>
                <w:b/>
                <w:bCs/>
                <w:sz w:val="18"/>
                <w:szCs w:val="18"/>
                <w:lang w:val="es-ES"/>
              </w:rPr>
            </w:pPr>
            <w:r w:rsidRPr="00821323">
              <w:rPr>
                <w:rFonts w:ascii="Lucida Bright" w:hAnsi="Lucida Bright" w:cs="Calibri"/>
                <w:b/>
                <w:bCs/>
                <w:sz w:val="18"/>
                <w:szCs w:val="18"/>
                <w:lang w:val="es-ES"/>
              </w:rPr>
              <w:t>CONCEPTO</w:t>
            </w:r>
          </w:p>
        </w:tc>
        <w:tc>
          <w:tcPr>
            <w:tcW w:w="725" w:type="pct"/>
            <w:tcBorders>
              <w:top w:val="nil"/>
              <w:left w:val="single" w:sz="4" w:space="0" w:color="auto"/>
              <w:bottom w:val="single" w:sz="4" w:space="0" w:color="auto"/>
              <w:right w:val="single" w:sz="4" w:space="0" w:color="auto"/>
            </w:tcBorders>
            <w:shd w:val="clear" w:color="000000" w:fill="CCFFCC"/>
            <w:vAlign w:val="center"/>
            <w:hideMark/>
          </w:tcPr>
          <w:p w:rsidR="00821323" w:rsidRPr="00821323" w:rsidRDefault="00821323" w:rsidP="00821323">
            <w:pPr>
              <w:jc w:val="center"/>
              <w:rPr>
                <w:rFonts w:ascii="Lucida Bright" w:hAnsi="Lucida Bright" w:cs="Calibri"/>
                <w:b/>
                <w:bCs/>
                <w:sz w:val="18"/>
                <w:szCs w:val="18"/>
                <w:lang w:val="es-ES"/>
              </w:rPr>
            </w:pPr>
            <w:r w:rsidRPr="00821323">
              <w:rPr>
                <w:rFonts w:ascii="Lucida Bright" w:hAnsi="Lucida Bright" w:cs="Calibri"/>
                <w:b/>
                <w:bCs/>
                <w:sz w:val="18"/>
                <w:szCs w:val="18"/>
                <w:lang w:val="es-ES"/>
              </w:rPr>
              <w:t>2023 (EFE formulado en 2024)</w:t>
            </w:r>
          </w:p>
        </w:tc>
        <w:tc>
          <w:tcPr>
            <w:tcW w:w="727" w:type="pct"/>
            <w:tcBorders>
              <w:top w:val="nil"/>
              <w:left w:val="nil"/>
              <w:bottom w:val="single" w:sz="4" w:space="0" w:color="auto"/>
              <w:right w:val="single" w:sz="4" w:space="0" w:color="auto"/>
            </w:tcBorders>
            <w:shd w:val="clear" w:color="000000" w:fill="CCFFCC"/>
            <w:vAlign w:val="center"/>
            <w:hideMark/>
          </w:tcPr>
          <w:p w:rsidR="00821323" w:rsidRPr="00821323" w:rsidRDefault="00821323" w:rsidP="00821323">
            <w:pPr>
              <w:jc w:val="center"/>
              <w:rPr>
                <w:rFonts w:ascii="Lucida Bright" w:hAnsi="Lucida Bright" w:cs="Calibri"/>
                <w:b/>
                <w:bCs/>
                <w:sz w:val="18"/>
                <w:szCs w:val="18"/>
                <w:lang w:val="es-ES"/>
              </w:rPr>
            </w:pPr>
            <w:r w:rsidRPr="00821323">
              <w:rPr>
                <w:rFonts w:ascii="Lucida Bright" w:hAnsi="Lucida Bright" w:cs="Calibri"/>
                <w:b/>
                <w:bCs/>
                <w:sz w:val="18"/>
                <w:szCs w:val="18"/>
                <w:lang w:val="es-ES"/>
              </w:rPr>
              <w:t>2023 (EFE formulado en 2023)</w:t>
            </w:r>
          </w:p>
        </w:tc>
      </w:tr>
      <w:tr w:rsidR="00821323" w:rsidRPr="00821323" w:rsidTr="00821323">
        <w:trPr>
          <w:trHeight w:val="196"/>
        </w:trPr>
        <w:tc>
          <w:tcPr>
            <w:tcW w:w="3548" w:type="pct"/>
            <w:tcBorders>
              <w:top w:val="nil"/>
              <w:left w:val="single" w:sz="4" w:space="0" w:color="auto"/>
              <w:bottom w:val="nil"/>
              <w:right w:val="nil"/>
            </w:tcBorders>
            <w:shd w:val="clear" w:color="000000" w:fill="CCFFCC"/>
            <w:noWrap/>
            <w:vAlign w:val="center"/>
            <w:hideMark/>
          </w:tcPr>
          <w:p w:rsidR="00821323" w:rsidRPr="00821323" w:rsidRDefault="00821323" w:rsidP="00821323">
            <w:pPr>
              <w:rPr>
                <w:rFonts w:ascii="Lucida Bright" w:hAnsi="Lucida Bright" w:cs="Calibri"/>
                <w:b/>
                <w:bCs/>
                <w:sz w:val="14"/>
                <w:szCs w:val="14"/>
                <w:lang w:val="es-ES"/>
              </w:rPr>
            </w:pPr>
            <w:r w:rsidRPr="00821323">
              <w:rPr>
                <w:rFonts w:ascii="Lucida Bright" w:hAnsi="Lucida Bright" w:cs="Calibri"/>
                <w:b/>
                <w:bCs/>
                <w:sz w:val="14"/>
                <w:szCs w:val="14"/>
                <w:lang w:val="es-ES"/>
              </w:rPr>
              <w:t xml:space="preserve"> A) FLUJOS DE EFECTIVO DE LAS ACTIVIDADES DE EXPLOTACIÓN (+/-1+/-2+/-3+/-4)</w:t>
            </w:r>
          </w:p>
        </w:tc>
        <w:tc>
          <w:tcPr>
            <w:tcW w:w="725" w:type="pct"/>
            <w:tcBorders>
              <w:top w:val="nil"/>
              <w:left w:val="single" w:sz="4" w:space="0" w:color="auto"/>
              <w:bottom w:val="nil"/>
              <w:right w:val="single" w:sz="4" w:space="0" w:color="auto"/>
            </w:tcBorders>
            <w:shd w:val="clear" w:color="000000" w:fill="CCFFCC"/>
            <w:noWrap/>
            <w:vAlign w:val="center"/>
            <w:hideMark/>
          </w:tcPr>
          <w:p w:rsidR="00821323" w:rsidRPr="00821323" w:rsidRDefault="00821323" w:rsidP="00821323">
            <w:pPr>
              <w:jc w:val="right"/>
              <w:rPr>
                <w:rFonts w:ascii="Lucida Bright" w:hAnsi="Lucida Bright" w:cs="Calibri"/>
                <w:b/>
                <w:bCs/>
                <w:sz w:val="14"/>
                <w:szCs w:val="14"/>
                <w:lang w:val="es-ES"/>
              </w:rPr>
            </w:pPr>
            <w:r w:rsidRPr="00821323">
              <w:rPr>
                <w:rFonts w:ascii="Lucida Bright" w:hAnsi="Lucida Bright" w:cs="Calibri"/>
                <w:b/>
                <w:bCs/>
                <w:sz w:val="14"/>
                <w:szCs w:val="14"/>
                <w:lang w:val="es-ES"/>
              </w:rPr>
              <w:t xml:space="preserve">65.986.841,39  </w:t>
            </w:r>
          </w:p>
        </w:tc>
        <w:tc>
          <w:tcPr>
            <w:tcW w:w="727" w:type="pct"/>
            <w:tcBorders>
              <w:top w:val="nil"/>
              <w:left w:val="nil"/>
              <w:bottom w:val="nil"/>
              <w:right w:val="single" w:sz="4" w:space="0" w:color="auto"/>
            </w:tcBorders>
            <w:shd w:val="clear" w:color="000000" w:fill="CCFFCC"/>
            <w:noWrap/>
            <w:vAlign w:val="center"/>
            <w:hideMark/>
          </w:tcPr>
          <w:p w:rsidR="00821323" w:rsidRPr="00821323" w:rsidRDefault="00821323" w:rsidP="00821323">
            <w:pPr>
              <w:jc w:val="right"/>
              <w:rPr>
                <w:rFonts w:ascii="Lucida Bright" w:hAnsi="Lucida Bright" w:cs="Calibri"/>
                <w:b/>
                <w:bCs/>
                <w:sz w:val="14"/>
                <w:szCs w:val="14"/>
                <w:lang w:val="es-ES"/>
              </w:rPr>
            </w:pPr>
            <w:r w:rsidRPr="00821323">
              <w:rPr>
                <w:rFonts w:ascii="Lucida Bright" w:hAnsi="Lucida Bright" w:cs="Calibri"/>
                <w:b/>
                <w:bCs/>
                <w:sz w:val="14"/>
                <w:szCs w:val="14"/>
                <w:lang w:val="es-ES"/>
              </w:rPr>
              <w:t xml:space="preserve">65.986.841,39  </w:t>
            </w:r>
          </w:p>
        </w:tc>
      </w:tr>
      <w:tr w:rsidR="00821323" w:rsidRPr="00821323" w:rsidTr="00821323">
        <w:trPr>
          <w:trHeight w:val="196"/>
        </w:trPr>
        <w:tc>
          <w:tcPr>
            <w:tcW w:w="3548" w:type="pct"/>
            <w:tcBorders>
              <w:top w:val="nil"/>
              <w:left w:val="single" w:sz="4" w:space="0" w:color="auto"/>
              <w:bottom w:val="nil"/>
              <w:right w:val="nil"/>
            </w:tcBorders>
            <w:shd w:val="clear" w:color="auto" w:fill="auto"/>
            <w:noWrap/>
            <w:vAlign w:val="center"/>
            <w:hideMark/>
          </w:tcPr>
          <w:p w:rsidR="00821323" w:rsidRPr="00821323" w:rsidRDefault="00821323" w:rsidP="00821323">
            <w:pPr>
              <w:rPr>
                <w:rFonts w:ascii="Lucida Bright" w:hAnsi="Lucida Bright" w:cs="Calibri"/>
                <w:b/>
                <w:bCs/>
                <w:sz w:val="14"/>
                <w:szCs w:val="14"/>
                <w:lang w:val="es-ES"/>
              </w:rPr>
            </w:pPr>
            <w:r w:rsidRPr="00821323">
              <w:rPr>
                <w:rFonts w:ascii="Lucida Bright" w:hAnsi="Lucida Bright" w:cs="Calibri"/>
                <w:b/>
                <w:bCs/>
                <w:sz w:val="14"/>
                <w:szCs w:val="14"/>
                <w:lang w:val="es-ES"/>
              </w:rPr>
              <w:t xml:space="preserve">      1. Resultado del ejercicio antes de impuestos</w:t>
            </w:r>
          </w:p>
        </w:tc>
        <w:tc>
          <w:tcPr>
            <w:tcW w:w="725" w:type="pct"/>
            <w:tcBorders>
              <w:top w:val="nil"/>
              <w:left w:val="single" w:sz="4" w:space="0" w:color="auto"/>
              <w:bottom w:val="nil"/>
              <w:right w:val="single" w:sz="4" w:space="0" w:color="auto"/>
            </w:tcBorders>
            <w:shd w:val="clear" w:color="auto" w:fill="auto"/>
            <w:noWrap/>
            <w:vAlign w:val="center"/>
            <w:hideMark/>
          </w:tcPr>
          <w:p w:rsidR="00821323" w:rsidRPr="00821323" w:rsidRDefault="00821323" w:rsidP="00821323">
            <w:pPr>
              <w:jc w:val="right"/>
              <w:rPr>
                <w:rFonts w:ascii="Lucida Bright" w:hAnsi="Lucida Bright" w:cs="Calibri"/>
                <w:b/>
                <w:bCs/>
                <w:sz w:val="14"/>
                <w:szCs w:val="14"/>
                <w:lang w:val="es-ES"/>
              </w:rPr>
            </w:pPr>
            <w:r w:rsidRPr="00821323">
              <w:rPr>
                <w:rFonts w:ascii="Lucida Bright" w:hAnsi="Lucida Bright" w:cs="Calibri"/>
                <w:b/>
                <w:bCs/>
                <w:sz w:val="14"/>
                <w:szCs w:val="14"/>
                <w:lang w:val="es-ES"/>
              </w:rPr>
              <w:t xml:space="preserve">44.827.075,67  </w:t>
            </w:r>
          </w:p>
        </w:tc>
        <w:tc>
          <w:tcPr>
            <w:tcW w:w="727" w:type="pct"/>
            <w:tcBorders>
              <w:top w:val="nil"/>
              <w:left w:val="nil"/>
              <w:bottom w:val="nil"/>
              <w:right w:val="single" w:sz="4" w:space="0" w:color="auto"/>
            </w:tcBorders>
            <w:shd w:val="clear" w:color="auto" w:fill="auto"/>
            <w:noWrap/>
            <w:vAlign w:val="center"/>
            <w:hideMark/>
          </w:tcPr>
          <w:p w:rsidR="00821323" w:rsidRPr="00821323" w:rsidRDefault="00821323" w:rsidP="00821323">
            <w:pPr>
              <w:jc w:val="right"/>
              <w:rPr>
                <w:rFonts w:ascii="Lucida Bright" w:hAnsi="Lucida Bright" w:cs="Calibri"/>
                <w:b/>
                <w:bCs/>
                <w:sz w:val="14"/>
                <w:szCs w:val="14"/>
                <w:lang w:val="es-ES"/>
              </w:rPr>
            </w:pPr>
            <w:r w:rsidRPr="00821323">
              <w:rPr>
                <w:rFonts w:ascii="Lucida Bright" w:hAnsi="Lucida Bright" w:cs="Calibri"/>
                <w:b/>
                <w:bCs/>
                <w:sz w:val="14"/>
                <w:szCs w:val="14"/>
                <w:lang w:val="es-ES"/>
              </w:rPr>
              <w:t xml:space="preserve">47.050.375,18  </w:t>
            </w:r>
          </w:p>
        </w:tc>
      </w:tr>
      <w:tr w:rsidR="00821323" w:rsidRPr="00821323" w:rsidTr="00821323">
        <w:trPr>
          <w:trHeight w:val="196"/>
        </w:trPr>
        <w:tc>
          <w:tcPr>
            <w:tcW w:w="3548" w:type="pct"/>
            <w:tcBorders>
              <w:top w:val="nil"/>
              <w:left w:val="single" w:sz="4" w:space="0" w:color="auto"/>
              <w:bottom w:val="nil"/>
              <w:right w:val="nil"/>
            </w:tcBorders>
            <w:shd w:val="clear" w:color="auto" w:fill="auto"/>
            <w:noWrap/>
            <w:vAlign w:val="center"/>
            <w:hideMark/>
          </w:tcPr>
          <w:p w:rsidR="00821323" w:rsidRPr="00821323" w:rsidRDefault="00821323" w:rsidP="00821323">
            <w:pPr>
              <w:rPr>
                <w:rFonts w:ascii="Lucida Bright" w:hAnsi="Lucida Bright" w:cs="Calibri"/>
                <w:b/>
                <w:bCs/>
                <w:sz w:val="14"/>
                <w:szCs w:val="14"/>
                <w:lang w:val="es-ES"/>
              </w:rPr>
            </w:pPr>
            <w:r w:rsidRPr="00821323">
              <w:rPr>
                <w:rFonts w:ascii="Lucida Bright" w:hAnsi="Lucida Bright" w:cs="Calibri"/>
                <w:b/>
                <w:bCs/>
                <w:sz w:val="14"/>
                <w:szCs w:val="14"/>
                <w:lang w:val="es-ES"/>
              </w:rPr>
              <w:t xml:space="preserve">      2. Ajustes del resultado</w:t>
            </w:r>
          </w:p>
        </w:tc>
        <w:tc>
          <w:tcPr>
            <w:tcW w:w="725" w:type="pct"/>
            <w:tcBorders>
              <w:top w:val="nil"/>
              <w:left w:val="single" w:sz="4" w:space="0" w:color="auto"/>
              <w:bottom w:val="nil"/>
              <w:right w:val="single" w:sz="4" w:space="0" w:color="auto"/>
            </w:tcBorders>
            <w:shd w:val="clear" w:color="auto" w:fill="auto"/>
            <w:noWrap/>
            <w:vAlign w:val="center"/>
            <w:hideMark/>
          </w:tcPr>
          <w:p w:rsidR="00821323" w:rsidRPr="00821323" w:rsidRDefault="00821323" w:rsidP="00821323">
            <w:pPr>
              <w:jc w:val="right"/>
              <w:rPr>
                <w:rFonts w:ascii="Lucida Bright" w:hAnsi="Lucida Bright" w:cs="Calibri"/>
                <w:b/>
                <w:bCs/>
                <w:sz w:val="14"/>
                <w:szCs w:val="14"/>
                <w:lang w:val="es-ES"/>
              </w:rPr>
            </w:pPr>
            <w:r w:rsidRPr="00821323">
              <w:rPr>
                <w:rFonts w:ascii="Lucida Bright" w:hAnsi="Lucida Bright" w:cs="Calibri"/>
                <w:b/>
                <w:bCs/>
                <w:sz w:val="14"/>
                <w:szCs w:val="14"/>
                <w:lang w:val="es-ES"/>
              </w:rPr>
              <w:t xml:space="preserve">17.806.836,15  </w:t>
            </w:r>
          </w:p>
        </w:tc>
        <w:tc>
          <w:tcPr>
            <w:tcW w:w="727" w:type="pct"/>
            <w:tcBorders>
              <w:top w:val="nil"/>
              <w:left w:val="nil"/>
              <w:bottom w:val="nil"/>
              <w:right w:val="single" w:sz="4" w:space="0" w:color="auto"/>
            </w:tcBorders>
            <w:shd w:val="clear" w:color="auto" w:fill="auto"/>
            <w:noWrap/>
            <w:vAlign w:val="center"/>
            <w:hideMark/>
          </w:tcPr>
          <w:p w:rsidR="00821323" w:rsidRPr="00821323" w:rsidRDefault="00821323" w:rsidP="00821323">
            <w:pPr>
              <w:jc w:val="right"/>
              <w:rPr>
                <w:rFonts w:ascii="Lucida Bright" w:hAnsi="Lucida Bright" w:cs="Calibri"/>
                <w:b/>
                <w:bCs/>
                <w:sz w:val="14"/>
                <w:szCs w:val="14"/>
                <w:lang w:val="es-ES"/>
              </w:rPr>
            </w:pPr>
            <w:r w:rsidRPr="00821323">
              <w:rPr>
                <w:rFonts w:ascii="Lucida Bright" w:hAnsi="Lucida Bright" w:cs="Calibri"/>
                <w:b/>
                <w:bCs/>
                <w:sz w:val="14"/>
                <w:szCs w:val="14"/>
                <w:lang w:val="es-ES"/>
              </w:rPr>
              <w:t xml:space="preserve">15.583.536,64  </w:t>
            </w:r>
          </w:p>
        </w:tc>
      </w:tr>
      <w:tr w:rsidR="00821323" w:rsidRPr="00821323" w:rsidTr="00821323">
        <w:trPr>
          <w:trHeight w:val="196"/>
        </w:trPr>
        <w:tc>
          <w:tcPr>
            <w:tcW w:w="3548" w:type="pct"/>
            <w:tcBorders>
              <w:top w:val="nil"/>
              <w:left w:val="single" w:sz="4" w:space="0" w:color="auto"/>
              <w:bottom w:val="nil"/>
              <w:right w:val="nil"/>
            </w:tcBorders>
            <w:shd w:val="clear" w:color="auto" w:fill="auto"/>
            <w:noWrap/>
            <w:vAlign w:val="center"/>
            <w:hideMark/>
          </w:tcPr>
          <w:p w:rsidR="00821323" w:rsidRPr="00821323" w:rsidRDefault="00821323" w:rsidP="00821323">
            <w:pPr>
              <w:rPr>
                <w:rFonts w:ascii="Lucida Bright" w:hAnsi="Lucida Bright" w:cs="Calibri"/>
                <w:sz w:val="14"/>
                <w:szCs w:val="14"/>
                <w:lang w:val="es-ES"/>
              </w:rPr>
            </w:pPr>
            <w:r w:rsidRPr="00821323">
              <w:rPr>
                <w:rFonts w:ascii="Lucida Bright" w:hAnsi="Lucida Bright" w:cs="Calibri"/>
                <w:sz w:val="14"/>
                <w:szCs w:val="14"/>
                <w:lang w:val="es-ES"/>
              </w:rPr>
              <w:t xml:space="preserve">         a) Amortización del inmovilizado (+)</w:t>
            </w:r>
          </w:p>
        </w:tc>
        <w:tc>
          <w:tcPr>
            <w:tcW w:w="725" w:type="pct"/>
            <w:tcBorders>
              <w:top w:val="nil"/>
              <w:left w:val="single" w:sz="4" w:space="0" w:color="auto"/>
              <w:bottom w:val="nil"/>
              <w:right w:val="single" w:sz="4" w:space="0" w:color="auto"/>
            </w:tcBorders>
            <w:shd w:val="clear" w:color="auto" w:fill="auto"/>
            <w:noWrap/>
            <w:vAlign w:val="center"/>
            <w:hideMark/>
          </w:tcPr>
          <w:p w:rsidR="00821323" w:rsidRPr="00821323" w:rsidRDefault="00821323" w:rsidP="00821323">
            <w:pPr>
              <w:jc w:val="right"/>
              <w:rPr>
                <w:rFonts w:ascii="Lucida Bright" w:hAnsi="Lucida Bright" w:cs="Calibri"/>
                <w:sz w:val="14"/>
                <w:szCs w:val="14"/>
                <w:lang w:val="es-ES"/>
              </w:rPr>
            </w:pPr>
            <w:r w:rsidRPr="00821323">
              <w:rPr>
                <w:rFonts w:ascii="Lucida Bright" w:hAnsi="Lucida Bright" w:cs="Calibri"/>
                <w:sz w:val="14"/>
                <w:szCs w:val="14"/>
                <w:lang w:val="es-ES"/>
              </w:rPr>
              <w:t xml:space="preserve">21.886.325,91  </w:t>
            </w:r>
          </w:p>
        </w:tc>
        <w:tc>
          <w:tcPr>
            <w:tcW w:w="727" w:type="pct"/>
            <w:tcBorders>
              <w:top w:val="nil"/>
              <w:left w:val="nil"/>
              <w:bottom w:val="nil"/>
              <w:right w:val="single" w:sz="4" w:space="0" w:color="auto"/>
            </w:tcBorders>
            <w:shd w:val="clear" w:color="auto" w:fill="auto"/>
            <w:noWrap/>
            <w:vAlign w:val="center"/>
            <w:hideMark/>
          </w:tcPr>
          <w:p w:rsidR="00821323" w:rsidRPr="00821323" w:rsidRDefault="00821323" w:rsidP="00821323">
            <w:pPr>
              <w:jc w:val="right"/>
              <w:rPr>
                <w:rFonts w:ascii="Lucida Bright" w:hAnsi="Lucida Bright" w:cs="Calibri"/>
                <w:sz w:val="14"/>
                <w:szCs w:val="14"/>
                <w:lang w:val="es-ES"/>
              </w:rPr>
            </w:pPr>
            <w:r w:rsidRPr="00821323">
              <w:rPr>
                <w:rFonts w:ascii="Lucida Bright" w:hAnsi="Lucida Bright" w:cs="Calibri"/>
                <w:sz w:val="14"/>
                <w:szCs w:val="14"/>
                <w:lang w:val="es-ES"/>
              </w:rPr>
              <w:t xml:space="preserve">19.348.744,55  </w:t>
            </w:r>
          </w:p>
        </w:tc>
      </w:tr>
      <w:tr w:rsidR="00821323" w:rsidRPr="00821323" w:rsidTr="00821323">
        <w:trPr>
          <w:trHeight w:val="196"/>
        </w:trPr>
        <w:tc>
          <w:tcPr>
            <w:tcW w:w="3548" w:type="pct"/>
            <w:tcBorders>
              <w:top w:val="nil"/>
              <w:left w:val="single" w:sz="4" w:space="0" w:color="auto"/>
              <w:bottom w:val="nil"/>
              <w:right w:val="nil"/>
            </w:tcBorders>
            <w:shd w:val="clear" w:color="auto" w:fill="auto"/>
            <w:noWrap/>
            <w:vAlign w:val="center"/>
            <w:hideMark/>
          </w:tcPr>
          <w:p w:rsidR="00821323" w:rsidRPr="00821323" w:rsidRDefault="00821323" w:rsidP="00821323">
            <w:pPr>
              <w:rPr>
                <w:rFonts w:ascii="Lucida Bright" w:hAnsi="Lucida Bright" w:cs="Calibri"/>
                <w:sz w:val="14"/>
                <w:szCs w:val="14"/>
                <w:lang w:val="es-ES"/>
              </w:rPr>
            </w:pPr>
            <w:r w:rsidRPr="00821323">
              <w:rPr>
                <w:rFonts w:ascii="Lucida Bright" w:hAnsi="Lucida Bright" w:cs="Calibri"/>
                <w:sz w:val="14"/>
                <w:szCs w:val="14"/>
                <w:lang w:val="es-ES"/>
              </w:rPr>
              <w:t xml:space="preserve">         j) Ingresos traspasados al resultado por concesiones revertidas (-)</w:t>
            </w:r>
          </w:p>
        </w:tc>
        <w:tc>
          <w:tcPr>
            <w:tcW w:w="725" w:type="pct"/>
            <w:tcBorders>
              <w:top w:val="nil"/>
              <w:left w:val="single" w:sz="4" w:space="0" w:color="auto"/>
              <w:bottom w:val="nil"/>
              <w:right w:val="single" w:sz="4" w:space="0" w:color="auto"/>
            </w:tcBorders>
            <w:shd w:val="clear" w:color="auto" w:fill="auto"/>
            <w:noWrap/>
            <w:vAlign w:val="center"/>
            <w:hideMark/>
          </w:tcPr>
          <w:p w:rsidR="00821323" w:rsidRPr="00821323" w:rsidRDefault="00821323" w:rsidP="00821323">
            <w:pPr>
              <w:jc w:val="right"/>
              <w:rPr>
                <w:rFonts w:ascii="Lucida Bright" w:hAnsi="Lucida Bright" w:cs="Calibri"/>
                <w:sz w:val="14"/>
                <w:szCs w:val="14"/>
                <w:lang w:val="es-ES"/>
              </w:rPr>
            </w:pPr>
            <w:r w:rsidRPr="00821323">
              <w:rPr>
                <w:rFonts w:ascii="Lucida Bright" w:hAnsi="Lucida Bright" w:cs="Calibri"/>
                <w:sz w:val="14"/>
                <w:szCs w:val="14"/>
                <w:lang w:val="es-ES"/>
              </w:rPr>
              <w:t xml:space="preserve">(741.632,54)  </w:t>
            </w:r>
          </w:p>
        </w:tc>
        <w:tc>
          <w:tcPr>
            <w:tcW w:w="727" w:type="pct"/>
            <w:tcBorders>
              <w:top w:val="nil"/>
              <w:left w:val="nil"/>
              <w:bottom w:val="nil"/>
              <w:right w:val="single" w:sz="4" w:space="0" w:color="auto"/>
            </w:tcBorders>
            <w:shd w:val="clear" w:color="auto" w:fill="auto"/>
            <w:noWrap/>
            <w:vAlign w:val="center"/>
            <w:hideMark/>
          </w:tcPr>
          <w:p w:rsidR="00821323" w:rsidRPr="00821323" w:rsidRDefault="00821323" w:rsidP="00821323">
            <w:pPr>
              <w:jc w:val="right"/>
              <w:rPr>
                <w:rFonts w:ascii="Lucida Bright" w:hAnsi="Lucida Bright" w:cs="Calibri"/>
                <w:sz w:val="14"/>
                <w:szCs w:val="14"/>
                <w:lang w:val="es-ES"/>
              </w:rPr>
            </w:pPr>
            <w:r w:rsidRPr="00821323">
              <w:rPr>
                <w:rFonts w:ascii="Lucida Bright" w:hAnsi="Lucida Bright" w:cs="Calibri"/>
                <w:sz w:val="14"/>
                <w:szCs w:val="14"/>
                <w:lang w:val="es-ES"/>
              </w:rPr>
              <w:t xml:space="preserve">(121.594,21)  </w:t>
            </w:r>
          </w:p>
        </w:tc>
      </w:tr>
      <w:tr w:rsidR="00821323" w:rsidRPr="00821323" w:rsidTr="00821323">
        <w:trPr>
          <w:trHeight w:val="196"/>
        </w:trPr>
        <w:tc>
          <w:tcPr>
            <w:tcW w:w="3548" w:type="pct"/>
            <w:tcBorders>
              <w:top w:val="nil"/>
              <w:left w:val="single" w:sz="4" w:space="0" w:color="auto"/>
              <w:bottom w:val="single" w:sz="4" w:space="0" w:color="auto"/>
              <w:right w:val="nil"/>
            </w:tcBorders>
            <w:shd w:val="clear" w:color="auto" w:fill="auto"/>
            <w:noWrap/>
            <w:vAlign w:val="center"/>
            <w:hideMark/>
          </w:tcPr>
          <w:p w:rsidR="00821323" w:rsidRPr="00821323" w:rsidRDefault="00821323" w:rsidP="00821323">
            <w:pPr>
              <w:rPr>
                <w:rFonts w:ascii="Lucida Bright" w:hAnsi="Lucida Bright" w:cs="Calibri"/>
                <w:sz w:val="14"/>
                <w:szCs w:val="14"/>
                <w:lang w:val="es-ES"/>
              </w:rPr>
            </w:pPr>
            <w:r w:rsidRPr="00821323">
              <w:rPr>
                <w:rFonts w:ascii="Lucida Bright" w:hAnsi="Lucida Bright" w:cs="Calibri"/>
                <w:sz w:val="14"/>
                <w:szCs w:val="14"/>
                <w:lang w:val="es-ES"/>
              </w:rPr>
              <w:t xml:space="preserve">         l) Otros ingresos y gastos (+/-)</w:t>
            </w:r>
          </w:p>
        </w:tc>
        <w:tc>
          <w:tcPr>
            <w:tcW w:w="725" w:type="pct"/>
            <w:tcBorders>
              <w:top w:val="nil"/>
              <w:left w:val="single" w:sz="4" w:space="0" w:color="auto"/>
              <w:bottom w:val="single" w:sz="4" w:space="0" w:color="auto"/>
              <w:right w:val="single" w:sz="4" w:space="0" w:color="auto"/>
            </w:tcBorders>
            <w:shd w:val="clear" w:color="auto" w:fill="auto"/>
            <w:noWrap/>
            <w:vAlign w:val="center"/>
            <w:hideMark/>
          </w:tcPr>
          <w:p w:rsidR="00821323" w:rsidRPr="00821323" w:rsidRDefault="00821323" w:rsidP="00821323">
            <w:pPr>
              <w:jc w:val="right"/>
              <w:rPr>
                <w:rFonts w:ascii="Lucida Bright" w:hAnsi="Lucida Bright" w:cs="Calibri"/>
                <w:sz w:val="14"/>
                <w:szCs w:val="14"/>
                <w:lang w:val="es-ES"/>
              </w:rPr>
            </w:pPr>
            <w:r w:rsidRPr="00821323">
              <w:rPr>
                <w:rFonts w:ascii="Lucida Bright" w:hAnsi="Lucida Bright" w:cs="Calibri"/>
                <w:sz w:val="14"/>
                <w:szCs w:val="14"/>
                <w:lang w:val="es-ES"/>
              </w:rPr>
              <w:t xml:space="preserve">318.990,27  </w:t>
            </w:r>
          </w:p>
        </w:tc>
        <w:tc>
          <w:tcPr>
            <w:tcW w:w="727" w:type="pct"/>
            <w:tcBorders>
              <w:top w:val="nil"/>
              <w:left w:val="nil"/>
              <w:bottom w:val="single" w:sz="4" w:space="0" w:color="auto"/>
              <w:right w:val="single" w:sz="4" w:space="0" w:color="auto"/>
            </w:tcBorders>
            <w:shd w:val="clear" w:color="auto" w:fill="auto"/>
            <w:noWrap/>
            <w:vAlign w:val="center"/>
            <w:hideMark/>
          </w:tcPr>
          <w:p w:rsidR="00821323" w:rsidRPr="00821323" w:rsidRDefault="00821323" w:rsidP="00821323">
            <w:pPr>
              <w:jc w:val="right"/>
              <w:rPr>
                <w:rFonts w:ascii="Lucida Bright" w:hAnsi="Lucida Bright" w:cs="Calibri"/>
                <w:sz w:val="14"/>
                <w:szCs w:val="14"/>
                <w:lang w:val="es-ES"/>
              </w:rPr>
            </w:pPr>
            <w:r w:rsidRPr="00821323">
              <w:rPr>
                <w:rFonts w:ascii="Lucida Bright" w:hAnsi="Lucida Bright" w:cs="Calibri"/>
                <w:sz w:val="14"/>
                <w:szCs w:val="14"/>
                <w:lang w:val="es-ES"/>
              </w:rPr>
              <w:t xml:space="preserve">13.233,79  </w:t>
            </w:r>
          </w:p>
        </w:tc>
      </w:tr>
    </w:tbl>
    <w:p w:rsidR="008A39CD" w:rsidRDefault="008A39CD" w:rsidP="00E96B8F">
      <w:pPr>
        <w:spacing w:before="100"/>
        <w:ind w:firstLine="568"/>
        <w:jc w:val="both"/>
        <w:rPr>
          <w:rFonts w:ascii="NewBaskerville" w:hAnsi="NewBaskerville"/>
        </w:rPr>
      </w:pPr>
    </w:p>
    <w:p w:rsidR="008A39CD" w:rsidRPr="00E96B8F" w:rsidRDefault="008A39CD" w:rsidP="00E96B8F">
      <w:pPr>
        <w:spacing w:before="100"/>
        <w:ind w:firstLine="568"/>
        <w:jc w:val="both"/>
        <w:rPr>
          <w:rFonts w:ascii="NewBaskerville" w:hAnsi="NewBaskerville"/>
        </w:rPr>
      </w:pPr>
    </w:p>
    <w:p w:rsidR="00817F17" w:rsidRDefault="00C1230A" w:rsidP="00C1230A">
      <w:pPr>
        <w:pStyle w:val="Prrafodelista"/>
        <w:numPr>
          <w:ilvl w:val="0"/>
          <w:numId w:val="44"/>
        </w:numPr>
        <w:jc w:val="both"/>
        <w:rPr>
          <w:rFonts w:ascii="NewBaskerville" w:hAnsi="NewBaskerville"/>
          <w:u w:val="single"/>
        </w:rPr>
      </w:pPr>
      <w:r w:rsidRPr="009E6BD5">
        <w:rPr>
          <w:rFonts w:ascii="NewBaskerville" w:hAnsi="NewBaskerville"/>
          <w:u w:val="single"/>
        </w:rPr>
        <w:t>Agrupación de partidas y elementos recogidos en varias partidas</w:t>
      </w:r>
    </w:p>
    <w:p w:rsidR="00F55771" w:rsidRDefault="00821323" w:rsidP="0022171E">
      <w:pPr>
        <w:pStyle w:val="Prrafodelista"/>
        <w:spacing w:before="100" w:after="100"/>
        <w:ind w:left="0" w:firstLine="644"/>
        <w:jc w:val="both"/>
        <w:rPr>
          <w:rFonts w:ascii="NewBaskerville" w:hAnsi="NewBaskerville"/>
        </w:rPr>
      </w:pPr>
      <w:r>
        <w:rPr>
          <w:rFonts w:ascii="NewBaskerville" w:hAnsi="NewBaskerville"/>
        </w:rPr>
        <w:t>En el ejercicio 2024</w:t>
      </w:r>
      <w:r w:rsidR="007C0D21">
        <w:rPr>
          <w:rFonts w:ascii="NewBaskerville" w:hAnsi="NewBaskerville"/>
        </w:rPr>
        <w:t xml:space="preserve"> existe agrupado en la partida de activo </w:t>
      </w:r>
      <w:r w:rsidR="007C0D21" w:rsidRPr="007C0D21">
        <w:rPr>
          <w:rFonts w:ascii="NewBaskerville" w:hAnsi="NewBaskerville"/>
          <w:b/>
          <w:i/>
        </w:rPr>
        <w:t>B).III.</w:t>
      </w:r>
      <w:r w:rsidR="007C0D21" w:rsidRPr="007C0D21">
        <w:rPr>
          <w:rFonts w:ascii="NewBaskerville" w:hAnsi="NewBaskerville"/>
          <w:i/>
        </w:rPr>
        <w:t>1. Clientes por ventas y prestaciones de servicios</w:t>
      </w:r>
      <w:r w:rsidR="007C0D21">
        <w:rPr>
          <w:rFonts w:ascii="NewBaskerville" w:hAnsi="NewBaskerville"/>
        </w:rPr>
        <w:t xml:space="preserve"> el deterioro de valor</w:t>
      </w:r>
      <w:r w:rsidR="00F55771">
        <w:rPr>
          <w:rFonts w:ascii="NewBaskerville" w:hAnsi="NewBaskerville"/>
        </w:rPr>
        <w:t xml:space="preserve"> de clientes por operaciones comerciales y deudores varios, correspondiéndose:</w:t>
      </w:r>
    </w:p>
    <w:tbl>
      <w:tblPr>
        <w:tblW w:w="5000" w:type="pct"/>
        <w:tblCellMar>
          <w:left w:w="70" w:type="dxa"/>
          <w:right w:w="70" w:type="dxa"/>
        </w:tblCellMar>
        <w:tblLook w:val="04A0" w:firstRow="1" w:lastRow="0" w:firstColumn="1" w:lastColumn="0" w:noHBand="0" w:noVBand="1"/>
      </w:tblPr>
      <w:tblGrid>
        <w:gridCol w:w="7063"/>
        <w:gridCol w:w="2290"/>
      </w:tblGrid>
      <w:tr w:rsidR="00581379" w:rsidRPr="00581379" w:rsidTr="00581379">
        <w:trPr>
          <w:trHeight w:val="300"/>
        </w:trPr>
        <w:tc>
          <w:tcPr>
            <w:tcW w:w="37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379" w:rsidRPr="00581379" w:rsidRDefault="00581379" w:rsidP="00581379">
            <w:pPr>
              <w:rPr>
                <w:rFonts w:ascii="Lucida Bright" w:hAnsi="Lucida Bright" w:cs="Calibri"/>
                <w:sz w:val="14"/>
                <w:szCs w:val="14"/>
                <w:lang w:val="es-ES"/>
              </w:rPr>
            </w:pPr>
            <w:r w:rsidRPr="00581379">
              <w:rPr>
                <w:rFonts w:ascii="Lucida Bright" w:hAnsi="Lucida Bright" w:cs="Calibri"/>
                <w:sz w:val="14"/>
                <w:szCs w:val="14"/>
                <w:lang w:val="es-ES"/>
              </w:rPr>
              <w:t xml:space="preserve">       Deterioro de valor de créditos por operaciones comerciales con clientes</w:t>
            </w:r>
          </w:p>
        </w:tc>
        <w:tc>
          <w:tcPr>
            <w:tcW w:w="1224" w:type="pct"/>
            <w:tcBorders>
              <w:top w:val="single" w:sz="4" w:space="0" w:color="auto"/>
              <w:left w:val="nil"/>
              <w:bottom w:val="single" w:sz="4" w:space="0" w:color="auto"/>
              <w:right w:val="single" w:sz="4" w:space="0" w:color="auto"/>
            </w:tcBorders>
            <w:shd w:val="clear" w:color="auto" w:fill="auto"/>
            <w:noWrap/>
            <w:vAlign w:val="center"/>
            <w:hideMark/>
          </w:tcPr>
          <w:p w:rsidR="00581379" w:rsidRPr="00581379" w:rsidRDefault="00581379" w:rsidP="00581379">
            <w:pPr>
              <w:jc w:val="right"/>
              <w:rPr>
                <w:rFonts w:ascii="Lucida Bright" w:hAnsi="Lucida Bright" w:cs="Calibri"/>
                <w:sz w:val="14"/>
                <w:szCs w:val="14"/>
                <w:lang w:val="es-ES"/>
              </w:rPr>
            </w:pPr>
            <w:r w:rsidRPr="00581379">
              <w:rPr>
                <w:rFonts w:ascii="Lucida Bright" w:hAnsi="Lucida Bright" w:cs="Calibri"/>
                <w:sz w:val="14"/>
                <w:szCs w:val="14"/>
                <w:lang w:val="es-ES"/>
              </w:rPr>
              <w:t xml:space="preserve">(753.180,36) </w:t>
            </w:r>
          </w:p>
        </w:tc>
      </w:tr>
      <w:tr w:rsidR="00581379" w:rsidRPr="00581379" w:rsidTr="00581379">
        <w:trPr>
          <w:trHeight w:val="300"/>
        </w:trPr>
        <w:tc>
          <w:tcPr>
            <w:tcW w:w="3776" w:type="pct"/>
            <w:tcBorders>
              <w:top w:val="nil"/>
              <w:left w:val="single" w:sz="4" w:space="0" w:color="auto"/>
              <w:bottom w:val="single" w:sz="4" w:space="0" w:color="auto"/>
              <w:right w:val="single" w:sz="4" w:space="0" w:color="auto"/>
            </w:tcBorders>
            <w:shd w:val="clear" w:color="auto" w:fill="auto"/>
            <w:noWrap/>
            <w:vAlign w:val="center"/>
            <w:hideMark/>
          </w:tcPr>
          <w:p w:rsidR="00581379" w:rsidRPr="00581379" w:rsidRDefault="00581379" w:rsidP="00581379">
            <w:pPr>
              <w:rPr>
                <w:rFonts w:ascii="Lucida Bright" w:hAnsi="Lucida Bright" w:cs="Calibri"/>
                <w:sz w:val="14"/>
                <w:szCs w:val="14"/>
                <w:lang w:val="es-ES"/>
              </w:rPr>
            </w:pPr>
            <w:r w:rsidRPr="00581379">
              <w:rPr>
                <w:rFonts w:ascii="Lucida Bright" w:hAnsi="Lucida Bright" w:cs="Calibri"/>
                <w:sz w:val="14"/>
                <w:szCs w:val="14"/>
                <w:lang w:val="es-ES"/>
              </w:rPr>
              <w:t xml:space="preserve">       Deterioro de valor de créditos por operaciones con deudores varios</w:t>
            </w:r>
          </w:p>
        </w:tc>
        <w:tc>
          <w:tcPr>
            <w:tcW w:w="1224" w:type="pct"/>
            <w:tcBorders>
              <w:top w:val="nil"/>
              <w:left w:val="nil"/>
              <w:bottom w:val="single" w:sz="4" w:space="0" w:color="auto"/>
              <w:right w:val="single" w:sz="4" w:space="0" w:color="auto"/>
            </w:tcBorders>
            <w:shd w:val="clear" w:color="auto" w:fill="auto"/>
            <w:noWrap/>
            <w:vAlign w:val="center"/>
            <w:hideMark/>
          </w:tcPr>
          <w:p w:rsidR="00581379" w:rsidRPr="00581379" w:rsidRDefault="00581379" w:rsidP="00581379">
            <w:pPr>
              <w:jc w:val="right"/>
              <w:rPr>
                <w:rFonts w:ascii="Lucida Bright" w:hAnsi="Lucida Bright" w:cs="Calibri"/>
                <w:sz w:val="14"/>
                <w:szCs w:val="14"/>
                <w:lang w:val="es-ES"/>
              </w:rPr>
            </w:pPr>
            <w:r w:rsidRPr="00581379">
              <w:rPr>
                <w:rFonts w:ascii="Lucida Bright" w:hAnsi="Lucida Bright" w:cs="Calibri"/>
                <w:sz w:val="14"/>
                <w:szCs w:val="14"/>
                <w:lang w:val="es-ES"/>
              </w:rPr>
              <w:t xml:space="preserve">(112.024,54) </w:t>
            </w:r>
          </w:p>
        </w:tc>
      </w:tr>
      <w:tr w:rsidR="00581379" w:rsidRPr="00581379" w:rsidTr="00581379">
        <w:trPr>
          <w:trHeight w:val="360"/>
        </w:trPr>
        <w:tc>
          <w:tcPr>
            <w:tcW w:w="3776" w:type="pct"/>
            <w:tcBorders>
              <w:top w:val="nil"/>
              <w:left w:val="single" w:sz="4" w:space="0" w:color="auto"/>
              <w:bottom w:val="single" w:sz="4" w:space="0" w:color="auto"/>
              <w:right w:val="single" w:sz="4" w:space="0" w:color="auto"/>
            </w:tcBorders>
            <w:shd w:val="clear" w:color="auto" w:fill="auto"/>
            <w:vAlign w:val="center"/>
            <w:hideMark/>
          </w:tcPr>
          <w:p w:rsidR="00581379" w:rsidRPr="00581379" w:rsidRDefault="00581379" w:rsidP="00581379">
            <w:pPr>
              <w:rPr>
                <w:rFonts w:ascii="Lucida Bright" w:hAnsi="Lucida Bright" w:cs="Calibri"/>
                <w:sz w:val="14"/>
                <w:szCs w:val="14"/>
                <w:lang w:val="es-ES"/>
              </w:rPr>
            </w:pPr>
            <w:r w:rsidRPr="00581379">
              <w:rPr>
                <w:rFonts w:ascii="Lucida Bright" w:hAnsi="Lucida Bright" w:cs="Calibri"/>
                <w:sz w:val="14"/>
                <w:szCs w:val="14"/>
                <w:lang w:val="es-ES"/>
              </w:rPr>
              <w:t xml:space="preserve">       Deterioro de valor total de créditos recogidos en la partida </w:t>
            </w:r>
            <w:r w:rsidRPr="00581379">
              <w:rPr>
                <w:rFonts w:ascii="Lucida Bright" w:hAnsi="Lucida Bright" w:cs="Calibri"/>
                <w:b/>
                <w:bCs/>
                <w:i/>
                <w:iCs/>
                <w:sz w:val="14"/>
                <w:szCs w:val="14"/>
                <w:lang w:val="es-ES"/>
              </w:rPr>
              <w:t>B).III.</w:t>
            </w:r>
            <w:r w:rsidRPr="00581379">
              <w:rPr>
                <w:rFonts w:ascii="Lucida Bright" w:hAnsi="Lucida Bright" w:cs="Calibri"/>
                <w:i/>
                <w:iCs/>
                <w:sz w:val="14"/>
                <w:szCs w:val="14"/>
                <w:lang w:val="es-ES"/>
              </w:rPr>
              <w:t xml:space="preserve">1. Clientes por ventas y prestaciones de servicios </w:t>
            </w:r>
          </w:p>
        </w:tc>
        <w:tc>
          <w:tcPr>
            <w:tcW w:w="1224" w:type="pct"/>
            <w:tcBorders>
              <w:top w:val="nil"/>
              <w:left w:val="nil"/>
              <w:bottom w:val="single" w:sz="4" w:space="0" w:color="auto"/>
              <w:right w:val="single" w:sz="4" w:space="0" w:color="auto"/>
            </w:tcBorders>
            <w:shd w:val="clear" w:color="auto" w:fill="auto"/>
            <w:noWrap/>
            <w:vAlign w:val="center"/>
            <w:hideMark/>
          </w:tcPr>
          <w:p w:rsidR="00581379" w:rsidRPr="00581379" w:rsidRDefault="00581379" w:rsidP="00581379">
            <w:pPr>
              <w:jc w:val="right"/>
              <w:rPr>
                <w:rFonts w:ascii="Lucida Bright" w:hAnsi="Lucida Bright" w:cs="Calibri"/>
                <w:sz w:val="14"/>
                <w:szCs w:val="14"/>
                <w:lang w:val="es-ES"/>
              </w:rPr>
            </w:pPr>
            <w:r w:rsidRPr="00581379">
              <w:rPr>
                <w:rFonts w:ascii="Lucida Bright" w:hAnsi="Lucida Bright" w:cs="Calibri"/>
                <w:sz w:val="14"/>
                <w:szCs w:val="14"/>
                <w:lang w:val="es-ES"/>
              </w:rPr>
              <w:t xml:space="preserve">(865.204,90) </w:t>
            </w:r>
          </w:p>
        </w:tc>
      </w:tr>
    </w:tbl>
    <w:p w:rsidR="008966DA" w:rsidRDefault="008966DA" w:rsidP="0022171E">
      <w:pPr>
        <w:spacing w:before="100"/>
        <w:jc w:val="both"/>
        <w:rPr>
          <w:rFonts w:ascii="NewBaskerville" w:hAnsi="NewBaskerville"/>
        </w:rPr>
      </w:pPr>
    </w:p>
    <w:p w:rsidR="008607EA" w:rsidRPr="0022171E" w:rsidRDefault="008607EA" w:rsidP="0022171E">
      <w:pPr>
        <w:spacing w:before="100"/>
        <w:jc w:val="both"/>
        <w:rPr>
          <w:rFonts w:ascii="NewBaskerville" w:hAnsi="NewBaskerville"/>
        </w:rPr>
      </w:pPr>
    </w:p>
    <w:p w:rsidR="009E6BD5" w:rsidRDefault="0022171E" w:rsidP="0022171E">
      <w:pPr>
        <w:pStyle w:val="Prrafodelista"/>
        <w:numPr>
          <w:ilvl w:val="0"/>
          <w:numId w:val="44"/>
        </w:numPr>
        <w:jc w:val="both"/>
        <w:rPr>
          <w:rFonts w:ascii="NewBaskerville" w:hAnsi="NewBaskerville"/>
          <w:u w:val="single"/>
        </w:rPr>
      </w:pPr>
      <w:r w:rsidRPr="0022171E">
        <w:rPr>
          <w:rFonts w:ascii="NewBaskerville" w:hAnsi="NewBaskerville"/>
          <w:u w:val="single"/>
        </w:rPr>
        <w:t xml:space="preserve"> Cambios en criterios contables</w:t>
      </w:r>
    </w:p>
    <w:p w:rsidR="00F333F2" w:rsidRDefault="00F333F2" w:rsidP="00F333F2">
      <w:pPr>
        <w:pStyle w:val="Prrafodelista"/>
        <w:spacing w:before="100" w:after="100"/>
        <w:ind w:left="646"/>
        <w:jc w:val="both"/>
        <w:rPr>
          <w:rFonts w:ascii="NewBaskerville" w:hAnsi="NewBaskerville"/>
        </w:rPr>
      </w:pPr>
      <w:r>
        <w:rPr>
          <w:rFonts w:ascii="NewBaskerville" w:hAnsi="NewBaskerville"/>
        </w:rPr>
        <w:t xml:space="preserve">Durante el </w:t>
      </w:r>
      <w:r w:rsidR="00DD448C">
        <w:rPr>
          <w:rFonts w:ascii="NewBaskerville" w:hAnsi="NewBaskerville"/>
        </w:rPr>
        <w:t>ejercicio</w:t>
      </w:r>
      <w:r>
        <w:rPr>
          <w:rFonts w:ascii="NewBaskerville" w:hAnsi="NewBaskerville"/>
        </w:rPr>
        <w:t xml:space="preserve"> 202</w:t>
      </w:r>
      <w:r w:rsidR="00821323">
        <w:rPr>
          <w:rFonts w:ascii="NewBaskerville" w:hAnsi="NewBaskerville"/>
        </w:rPr>
        <w:t>4</w:t>
      </w:r>
      <w:r>
        <w:rPr>
          <w:rFonts w:ascii="NewBaskerville" w:hAnsi="NewBaskerville"/>
        </w:rPr>
        <w:t xml:space="preserve"> no se han producido cambios en criterios contables.</w:t>
      </w:r>
    </w:p>
    <w:p w:rsidR="006018C7" w:rsidRDefault="006018C7" w:rsidP="00F333F2">
      <w:pPr>
        <w:pStyle w:val="Prrafodelista"/>
        <w:spacing w:before="100" w:after="100"/>
        <w:ind w:left="646"/>
        <w:jc w:val="both"/>
        <w:rPr>
          <w:rFonts w:ascii="NewBaskerville" w:hAnsi="NewBaskerville"/>
        </w:rPr>
      </w:pPr>
    </w:p>
    <w:p w:rsidR="00F333F2" w:rsidRPr="00F333F2" w:rsidRDefault="00F333F2" w:rsidP="00F333F2">
      <w:pPr>
        <w:pStyle w:val="Prrafodelista"/>
        <w:ind w:left="644"/>
        <w:jc w:val="both"/>
        <w:rPr>
          <w:rFonts w:ascii="NewBaskerville" w:hAnsi="NewBaskerville"/>
        </w:rPr>
      </w:pPr>
    </w:p>
    <w:p w:rsidR="00F333F2" w:rsidRDefault="00F333F2" w:rsidP="0022171E">
      <w:pPr>
        <w:pStyle w:val="Prrafodelista"/>
        <w:numPr>
          <w:ilvl w:val="0"/>
          <w:numId w:val="44"/>
        </w:numPr>
        <w:jc w:val="both"/>
        <w:rPr>
          <w:rFonts w:ascii="NewBaskerville" w:hAnsi="NewBaskerville"/>
          <w:u w:val="single"/>
        </w:rPr>
      </w:pPr>
      <w:r>
        <w:rPr>
          <w:rFonts w:ascii="NewBaskerville" w:hAnsi="NewBaskerville"/>
          <w:u w:val="single"/>
        </w:rPr>
        <w:t>Corrección de errores</w:t>
      </w:r>
    </w:p>
    <w:p w:rsidR="00D43ACB" w:rsidRDefault="00714F3A" w:rsidP="002358D1">
      <w:pPr>
        <w:pStyle w:val="Prrafodelista"/>
        <w:spacing w:before="100" w:after="100"/>
        <w:ind w:left="0" w:firstLine="709"/>
        <w:jc w:val="both"/>
        <w:rPr>
          <w:rFonts w:ascii="NewBaskerville" w:hAnsi="NewBaskerville"/>
        </w:rPr>
      </w:pPr>
      <w:r>
        <w:rPr>
          <w:rFonts w:ascii="NewBaskerville" w:hAnsi="NewBaskerville"/>
        </w:rPr>
        <w:t>En el ejercicio 202</w:t>
      </w:r>
      <w:r w:rsidR="002358D1">
        <w:rPr>
          <w:rFonts w:ascii="NewBaskerville" w:hAnsi="NewBaskerville"/>
        </w:rPr>
        <w:t>4</w:t>
      </w:r>
      <w:r>
        <w:rPr>
          <w:rFonts w:ascii="NewBaskerville" w:hAnsi="NewBaskerville"/>
        </w:rPr>
        <w:t xml:space="preserve"> se ha</w:t>
      </w:r>
      <w:r w:rsidR="002358D1">
        <w:rPr>
          <w:rFonts w:ascii="NewBaskerville" w:hAnsi="NewBaskerville"/>
        </w:rPr>
        <w:t>n depurado las p</w:t>
      </w:r>
      <w:r w:rsidR="00490AF4">
        <w:rPr>
          <w:rFonts w:ascii="NewBaskerville" w:hAnsi="NewBaskerville"/>
        </w:rPr>
        <w:t>artidas</w:t>
      </w:r>
      <w:r w:rsidR="002358D1">
        <w:rPr>
          <w:rFonts w:ascii="NewBaskerville" w:hAnsi="NewBaskerville"/>
        </w:rPr>
        <w:t xml:space="preserve"> del activo</w:t>
      </w:r>
      <w:r w:rsidR="00490AF4">
        <w:rPr>
          <w:rFonts w:ascii="NewBaskerville" w:hAnsi="NewBaskerville"/>
        </w:rPr>
        <w:t xml:space="preserve"> que englobaban el</w:t>
      </w:r>
      <w:r w:rsidR="00266E60">
        <w:rPr>
          <w:rFonts w:ascii="NewBaskerville" w:hAnsi="NewBaskerville"/>
        </w:rPr>
        <w:t xml:space="preserve"> saldo de</w:t>
      </w:r>
      <w:r w:rsidR="002358D1">
        <w:rPr>
          <w:rFonts w:ascii="NewBaskerville" w:hAnsi="NewBaskerville"/>
        </w:rPr>
        <w:t xml:space="preserve">l epígrafe </w:t>
      </w:r>
      <w:r w:rsidR="00266E60">
        <w:rPr>
          <w:rFonts w:ascii="NewBaskerville" w:hAnsi="NewBaskerville"/>
        </w:rPr>
        <w:t>“</w:t>
      </w:r>
      <w:r w:rsidR="002358D1">
        <w:rPr>
          <w:rFonts w:ascii="NewBaskerville" w:hAnsi="NewBaskerville"/>
        </w:rPr>
        <w:t xml:space="preserve">II.3. Inmovilizado en curso y anticipos”, </w:t>
      </w:r>
      <w:r w:rsidR="00197D23">
        <w:rPr>
          <w:rFonts w:ascii="NewBaskerville" w:hAnsi="NewBaskerville"/>
        </w:rPr>
        <w:t xml:space="preserve">una vez aclarada su puesta en condiciones de funcionamiento y el ejercicio </w:t>
      </w:r>
      <w:r w:rsidR="00A072C6">
        <w:rPr>
          <w:rFonts w:ascii="NewBaskerville" w:hAnsi="NewBaskerville"/>
        </w:rPr>
        <w:t xml:space="preserve">en </w:t>
      </w:r>
      <w:r w:rsidR="00197D23">
        <w:rPr>
          <w:rFonts w:ascii="NewBaskerville" w:hAnsi="NewBaskerville"/>
        </w:rPr>
        <w:t xml:space="preserve">que se produjo, así como el momento de inicio de su amortización. </w:t>
      </w:r>
      <w:r w:rsidR="001D0923">
        <w:rPr>
          <w:rFonts w:ascii="NewBaskerville" w:hAnsi="NewBaskerville"/>
        </w:rPr>
        <w:t>I</w:t>
      </w:r>
      <w:r w:rsidR="00197D23">
        <w:rPr>
          <w:rFonts w:ascii="NewBaskerville" w:hAnsi="NewBaskerville"/>
        </w:rPr>
        <w:t>gualmente la naturaleza de las asistencias técnicas</w:t>
      </w:r>
      <w:r w:rsidR="007C5486">
        <w:rPr>
          <w:rFonts w:ascii="NewBaskerville" w:hAnsi="NewBaskerville"/>
        </w:rPr>
        <w:t xml:space="preserve"> de proyectos de obra</w:t>
      </w:r>
      <w:r w:rsidR="00197D23">
        <w:rPr>
          <w:rFonts w:ascii="NewBaskerville" w:hAnsi="NewBaskerville"/>
        </w:rPr>
        <w:t xml:space="preserve">, y gastos de mantenimiento en contratos mixtos, cuya activación no </w:t>
      </w:r>
      <w:r w:rsidR="009C4D8F">
        <w:rPr>
          <w:rFonts w:ascii="NewBaskerville" w:hAnsi="NewBaskerville"/>
        </w:rPr>
        <w:t xml:space="preserve">hubiese </w:t>
      </w:r>
      <w:r w:rsidR="00197D23">
        <w:rPr>
          <w:rFonts w:ascii="NewBaskerville" w:hAnsi="NewBaskerville"/>
        </w:rPr>
        <w:t>procedi</w:t>
      </w:r>
      <w:r w:rsidR="009C4D8F">
        <w:rPr>
          <w:rFonts w:ascii="NewBaskerville" w:hAnsi="NewBaskerville"/>
        </w:rPr>
        <w:t>do</w:t>
      </w:r>
      <w:r w:rsidR="00197D23">
        <w:rPr>
          <w:rFonts w:ascii="NewBaskerville" w:hAnsi="NewBaskerville"/>
        </w:rPr>
        <w:t xml:space="preserve"> y en qué ejercicio </w:t>
      </w:r>
      <w:r w:rsidR="005F4BC6">
        <w:rPr>
          <w:rFonts w:ascii="NewBaskerville" w:hAnsi="NewBaskerville"/>
        </w:rPr>
        <w:t>aconteció</w:t>
      </w:r>
      <w:r w:rsidR="009C4D8F">
        <w:rPr>
          <w:rFonts w:ascii="NewBaskerville" w:hAnsi="NewBaskerville"/>
        </w:rPr>
        <w:t xml:space="preserve"> dicha circunstancia</w:t>
      </w:r>
      <w:r w:rsidR="00197D23">
        <w:rPr>
          <w:rFonts w:ascii="NewBaskerville" w:hAnsi="NewBaskerville"/>
        </w:rPr>
        <w:t>.</w:t>
      </w:r>
      <w:r w:rsidR="00266E60">
        <w:rPr>
          <w:rFonts w:ascii="NewBaskerville" w:hAnsi="NewBaskerville"/>
        </w:rPr>
        <w:t xml:space="preserve"> </w:t>
      </w:r>
      <w:r w:rsidR="009C4D8F">
        <w:rPr>
          <w:rFonts w:ascii="NewBaskerville" w:hAnsi="NewBaskerville"/>
        </w:rPr>
        <w:t xml:space="preserve">En consecuencia, </w:t>
      </w:r>
      <w:r w:rsidR="004523E6">
        <w:rPr>
          <w:rFonts w:ascii="NewBaskerville" w:hAnsi="NewBaskerville"/>
        </w:rPr>
        <w:t>d</w:t>
      </w:r>
      <w:r w:rsidR="00266E60">
        <w:rPr>
          <w:rFonts w:ascii="NewBaskerville" w:hAnsi="NewBaskerville"/>
        </w:rPr>
        <w:t xml:space="preserve">el total de partidas </w:t>
      </w:r>
      <w:r w:rsidR="005F4BC6">
        <w:rPr>
          <w:rFonts w:ascii="NewBaskerville" w:hAnsi="NewBaskerville"/>
        </w:rPr>
        <w:t>que engloba</w:t>
      </w:r>
      <w:r w:rsidR="009C4D8F">
        <w:rPr>
          <w:rFonts w:ascii="NewBaskerville" w:hAnsi="NewBaskerville"/>
        </w:rPr>
        <w:t>b</w:t>
      </w:r>
      <w:r w:rsidR="005F4BC6">
        <w:rPr>
          <w:rFonts w:ascii="NewBaskerville" w:hAnsi="NewBaskerville"/>
        </w:rPr>
        <w:t>a</w:t>
      </w:r>
      <w:r w:rsidR="004523E6">
        <w:rPr>
          <w:rFonts w:ascii="NewBaskerville" w:hAnsi="NewBaskerville"/>
        </w:rPr>
        <w:t xml:space="preserve"> el saldo</w:t>
      </w:r>
      <w:r w:rsidR="005F4BC6">
        <w:rPr>
          <w:rFonts w:ascii="NewBaskerville" w:hAnsi="NewBaskerville"/>
        </w:rPr>
        <w:t xml:space="preserve"> </w:t>
      </w:r>
      <w:r w:rsidR="00670D8A">
        <w:rPr>
          <w:rFonts w:ascii="NewBaskerville" w:hAnsi="NewBaskerville"/>
        </w:rPr>
        <w:t>d</w:t>
      </w:r>
      <w:r w:rsidR="005F4BC6">
        <w:rPr>
          <w:rFonts w:ascii="NewBaskerville" w:hAnsi="NewBaskerville"/>
        </w:rPr>
        <w:t>el epígrafe</w:t>
      </w:r>
      <w:r w:rsidR="004523E6">
        <w:rPr>
          <w:rFonts w:ascii="NewBaskerville" w:hAnsi="NewBaskerville"/>
        </w:rPr>
        <w:t xml:space="preserve"> a 31/12/2023 se ha reclasificado un importe de 30.083.702,69 euros</w:t>
      </w:r>
      <w:r w:rsidR="001D0923">
        <w:rPr>
          <w:rFonts w:ascii="NewBaskerville" w:hAnsi="NewBaskerville"/>
        </w:rPr>
        <w:t>,</w:t>
      </w:r>
      <w:r w:rsidR="00D43ACB">
        <w:rPr>
          <w:rFonts w:ascii="NewBaskerville" w:hAnsi="NewBaskerville"/>
        </w:rPr>
        <w:t xml:space="preserve"> </w:t>
      </w:r>
      <w:r w:rsidR="001D0923">
        <w:rPr>
          <w:rFonts w:ascii="NewBaskerville" w:hAnsi="NewBaskerville"/>
        </w:rPr>
        <w:t>d</w:t>
      </w:r>
      <w:r w:rsidR="00D43ACB">
        <w:rPr>
          <w:rFonts w:ascii="NewBaskerville" w:hAnsi="NewBaskerville"/>
        </w:rPr>
        <w:t xml:space="preserve">istribuyéndose: 4.492.418,63 euros a Inmovilizado Intangible, 21.994.653,25 euros a Inmovilizado Material, 833.672,57 a Inversiones Inmobiliarias y 2.762.958,24 euros a </w:t>
      </w:r>
      <w:r w:rsidR="00D43ACB" w:rsidRPr="00660B76">
        <w:rPr>
          <w:rFonts w:ascii="NewBaskerville" w:hAnsi="NewBaskerville"/>
          <w:b/>
        </w:rPr>
        <w:t>gastos o pérdidas</w:t>
      </w:r>
      <w:r w:rsidR="00D43ACB">
        <w:rPr>
          <w:rFonts w:ascii="NewBaskerville" w:hAnsi="NewBaskerville"/>
        </w:rPr>
        <w:t xml:space="preserve"> que debieron reconocerse en ejercicios anteriores.</w:t>
      </w:r>
    </w:p>
    <w:p w:rsidR="00D43ACB" w:rsidRDefault="00D43ACB" w:rsidP="002358D1">
      <w:pPr>
        <w:pStyle w:val="Prrafodelista"/>
        <w:spacing w:before="100" w:after="100"/>
        <w:ind w:left="0" w:firstLine="709"/>
        <w:jc w:val="both"/>
        <w:rPr>
          <w:rFonts w:ascii="NewBaskerville" w:hAnsi="NewBaskerville"/>
        </w:rPr>
      </w:pPr>
      <w:r>
        <w:rPr>
          <w:rFonts w:ascii="NewBaskerville" w:hAnsi="NewBaskerville"/>
        </w:rPr>
        <w:t xml:space="preserve">A raíz de la puesta en funcionamiento del Inmovilizado en curso, se han reconocido </w:t>
      </w:r>
      <w:r w:rsidRPr="00660B76">
        <w:rPr>
          <w:rFonts w:ascii="NewBaskerville" w:hAnsi="NewBaskerville"/>
          <w:b/>
        </w:rPr>
        <w:t>amortizaciones</w:t>
      </w:r>
      <w:r>
        <w:rPr>
          <w:rFonts w:ascii="NewBaskerville" w:hAnsi="NewBaskerville"/>
        </w:rPr>
        <w:t xml:space="preserve"> que debieron registrarse en anteriores ejercicios por un importe de </w:t>
      </w:r>
      <w:r w:rsidR="004B5903">
        <w:rPr>
          <w:rFonts w:ascii="NewBaskerville" w:hAnsi="NewBaskerville"/>
        </w:rPr>
        <w:t>4.542.338,05</w:t>
      </w:r>
      <w:r>
        <w:rPr>
          <w:rFonts w:ascii="NewBaskerville" w:hAnsi="NewBaskerville"/>
        </w:rPr>
        <w:t xml:space="preserve"> euros.</w:t>
      </w:r>
    </w:p>
    <w:p w:rsidR="00D43ACB" w:rsidRDefault="004B5903" w:rsidP="002358D1">
      <w:pPr>
        <w:pStyle w:val="Prrafodelista"/>
        <w:spacing w:before="100" w:after="100"/>
        <w:ind w:left="0" w:firstLine="709"/>
        <w:jc w:val="both"/>
        <w:rPr>
          <w:rFonts w:ascii="NewBaskerville" w:hAnsi="NewBaskerville"/>
        </w:rPr>
      </w:pPr>
      <w:r>
        <w:rPr>
          <w:rFonts w:ascii="NewBaskerville" w:hAnsi="NewBaskerville"/>
        </w:rPr>
        <w:t xml:space="preserve">Del mismo modo, se han reconocido concesiones que revertieron a la APB en ejercicios anteriores que no fueron objeto de registro contable, siendo su importe de 9.894.763,83 euros </w:t>
      </w:r>
      <w:r w:rsidR="001D0923">
        <w:rPr>
          <w:rFonts w:ascii="NewBaskerville" w:hAnsi="NewBaskerville"/>
        </w:rPr>
        <w:t>y</w:t>
      </w:r>
      <w:r>
        <w:rPr>
          <w:rFonts w:ascii="NewBaskerville" w:hAnsi="NewBaskerville"/>
        </w:rPr>
        <w:t xml:space="preserve"> cuya </w:t>
      </w:r>
      <w:r w:rsidRPr="00660B76">
        <w:rPr>
          <w:rFonts w:ascii="NewBaskerville" w:hAnsi="NewBaskerville"/>
          <w:b/>
        </w:rPr>
        <w:t>amortización</w:t>
      </w:r>
      <w:r>
        <w:rPr>
          <w:rFonts w:ascii="NewBaskerville" w:hAnsi="NewBaskerville"/>
        </w:rPr>
        <w:t xml:space="preserve"> y </w:t>
      </w:r>
      <w:r w:rsidRPr="00660B76">
        <w:rPr>
          <w:rFonts w:ascii="NewBaskerville" w:hAnsi="NewBaskerville"/>
          <w:b/>
        </w:rPr>
        <w:t>traspaso a resultados</w:t>
      </w:r>
      <w:r>
        <w:rPr>
          <w:rFonts w:ascii="NewBaskerville" w:hAnsi="NewBaskerville"/>
        </w:rPr>
        <w:t xml:space="preserve"> de ejercicios anteriores es de 2</w:t>
      </w:r>
      <w:r w:rsidR="00660B76">
        <w:rPr>
          <w:rFonts w:ascii="NewBaskerville" w:hAnsi="NewBaskerville"/>
        </w:rPr>
        <w:t>.439.023,27 euros. (Amortización total reconocida: 4.542.338,05 + 2.439.023,27 = 6.981.361,32 euros)</w:t>
      </w:r>
    </w:p>
    <w:p w:rsidR="00911311" w:rsidRDefault="008C2FF8" w:rsidP="002358D1">
      <w:pPr>
        <w:pStyle w:val="Prrafodelista"/>
        <w:spacing w:before="100" w:after="100"/>
        <w:ind w:left="0" w:firstLine="709"/>
        <w:jc w:val="both"/>
        <w:rPr>
          <w:rFonts w:ascii="NewBaskerville" w:hAnsi="NewBaskerville"/>
        </w:rPr>
      </w:pPr>
      <w:r>
        <w:rPr>
          <w:rFonts w:ascii="NewBaskerville" w:hAnsi="NewBaskerville"/>
        </w:rPr>
        <w:t>En todos los casos n</w:t>
      </w:r>
      <w:r w:rsidR="009420FB">
        <w:rPr>
          <w:rFonts w:ascii="NewBaskerville" w:hAnsi="NewBaskerville"/>
        </w:rPr>
        <w:t>o ha</w:t>
      </w:r>
      <w:r w:rsidR="00606760">
        <w:rPr>
          <w:rFonts w:ascii="NewBaskerville" w:hAnsi="NewBaskerville"/>
        </w:rPr>
        <w:t>biéndose utilizado, o no habiéndose</w:t>
      </w:r>
      <w:r w:rsidR="009420FB">
        <w:rPr>
          <w:rFonts w:ascii="NewBaskerville" w:hAnsi="NewBaskerville"/>
        </w:rPr>
        <w:t xml:space="preserve"> hecho adecuadamente, información fiable que estaba disponible en la Entidad cuando se formularon </w:t>
      </w:r>
      <w:r w:rsidR="00EC054B">
        <w:rPr>
          <w:rFonts w:ascii="NewBaskerville" w:hAnsi="NewBaskerville"/>
        </w:rPr>
        <w:t xml:space="preserve">las </w:t>
      </w:r>
      <w:r w:rsidR="009420FB">
        <w:rPr>
          <w:rFonts w:ascii="NewBaskerville" w:hAnsi="NewBaskerville"/>
        </w:rPr>
        <w:t>cuentas de</w:t>
      </w:r>
      <w:r w:rsidR="00A72F41">
        <w:rPr>
          <w:rFonts w:ascii="NewBaskerville" w:hAnsi="NewBaskerville"/>
        </w:rPr>
        <w:t xml:space="preserve"> dichos</w:t>
      </w:r>
      <w:r w:rsidR="00660B76">
        <w:rPr>
          <w:rFonts w:ascii="NewBaskerville" w:hAnsi="NewBaskerville"/>
        </w:rPr>
        <w:t xml:space="preserve"> ejercicios anteriores,</w:t>
      </w:r>
      <w:r w:rsidR="00E42878">
        <w:rPr>
          <w:rFonts w:ascii="NewBaskerville" w:hAnsi="NewBaskerville"/>
        </w:rPr>
        <w:t xml:space="preserve"> </w:t>
      </w:r>
      <w:r w:rsidR="00660B76">
        <w:rPr>
          <w:rFonts w:ascii="NewBaskerville" w:hAnsi="NewBaskerville"/>
        </w:rPr>
        <w:t>y</w:t>
      </w:r>
      <w:r>
        <w:rPr>
          <w:rFonts w:ascii="NewBaskerville" w:hAnsi="NewBaskerville"/>
        </w:rPr>
        <w:t xml:space="preserve"> e</w:t>
      </w:r>
      <w:r w:rsidR="00911311">
        <w:rPr>
          <w:rFonts w:ascii="NewBaskerville" w:hAnsi="NewBaskerville"/>
        </w:rPr>
        <w:t xml:space="preserve">n aplicación a la norma de valoración 22ª </w:t>
      </w:r>
      <w:r w:rsidR="00911311">
        <w:rPr>
          <w:rFonts w:ascii="NewBaskerville" w:hAnsi="NewBaskerville"/>
          <w:u w:val="single"/>
        </w:rPr>
        <w:t>Cambios de criterios contables, errores y estimaciones contables</w:t>
      </w:r>
      <w:r w:rsidR="00911311">
        <w:rPr>
          <w:rFonts w:ascii="NewBaskerville" w:hAnsi="NewBaskerville"/>
        </w:rPr>
        <w:t>, de la segunda parte de</w:t>
      </w:r>
      <w:r w:rsidR="009420FB">
        <w:rPr>
          <w:rFonts w:ascii="NewBaskerville" w:hAnsi="NewBaskerville"/>
        </w:rPr>
        <w:t>l Plan General de Contabilidad, la subsanación de estos errores relativos a ejerci</w:t>
      </w:r>
      <w:r w:rsidR="00606760">
        <w:rPr>
          <w:rFonts w:ascii="NewBaskerville" w:hAnsi="NewBaskerville"/>
        </w:rPr>
        <w:t>ci</w:t>
      </w:r>
      <w:r w:rsidR="009420FB">
        <w:rPr>
          <w:rFonts w:ascii="NewBaskerville" w:hAnsi="NewBaskerville"/>
        </w:rPr>
        <w:t>os anteriores</w:t>
      </w:r>
      <w:r w:rsidR="00A72F41">
        <w:rPr>
          <w:rFonts w:ascii="NewBaskerville" w:hAnsi="NewBaskerville"/>
        </w:rPr>
        <w:t xml:space="preserve"> se ha </w:t>
      </w:r>
      <w:r w:rsidR="00EC054B">
        <w:rPr>
          <w:rFonts w:ascii="NewBaskerville" w:hAnsi="NewBaskerville"/>
        </w:rPr>
        <w:t>efectuado</w:t>
      </w:r>
      <w:r w:rsidR="00A72F41">
        <w:rPr>
          <w:rFonts w:ascii="NewBaskerville" w:hAnsi="NewBaskerville"/>
        </w:rPr>
        <w:t xml:space="preserve"> de forma retroactiva y su efecto se ha calculad</w:t>
      </w:r>
      <w:r w:rsidR="00EC054B">
        <w:rPr>
          <w:rFonts w:ascii="NewBaskerville" w:hAnsi="NewBaskerville"/>
        </w:rPr>
        <w:t>o</w:t>
      </w:r>
      <w:r w:rsidR="00A72F41">
        <w:rPr>
          <w:rFonts w:ascii="NewBaskerville" w:hAnsi="NewBaskerville"/>
        </w:rPr>
        <w:t xml:space="preserve"> </w:t>
      </w:r>
      <w:r w:rsidR="00A72F41">
        <w:rPr>
          <w:rFonts w:ascii="NewBaskerville" w:hAnsi="NewBaskerville"/>
        </w:rPr>
        <w:lastRenderedPageBreak/>
        <w:t>desde el más antiguo para el que se dispone información.</w:t>
      </w:r>
      <w:r w:rsidR="009420FB">
        <w:rPr>
          <w:rFonts w:ascii="NewBaskerville" w:hAnsi="NewBaskerville"/>
        </w:rPr>
        <w:t xml:space="preserve"> </w:t>
      </w:r>
      <w:r w:rsidR="00A72F41">
        <w:rPr>
          <w:rFonts w:ascii="NewBaskerville" w:hAnsi="NewBaskerville"/>
        </w:rPr>
        <w:t>Y h</w:t>
      </w:r>
      <w:r w:rsidR="009420FB">
        <w:rPr>
          <w:rFonts w:ascii="NewBaskerville" w:hAnsi="NewBaskerville"/>
        </w:rPr>
        <w:t>a motivado, en el ejercicio 202</w:t>
      </w:r>
      <w:r>
        <w:rPr>
          <w:rFonts w:ascii="NewBaskerville" w:hAnsi="NewBaskerville"/>
        </w:rPr>
        <w:t>4</w:t>
      </w:r>
      <w:r w:rsidR="009420FB">
        <w:rPr>
          <w:rFonts w:ascii="NewBaskerville" w:hAnsi="NewBaskerville"/>
        </w:rPr>
        <w:t xml:space="preserve">, </w:t>
      </w:r>
      <w:r>
        <w:rPr>
          <w:rFonts w:ascii="NewBaskerville" w:hAnsi="NewBaskerville"/>
        </w:rPr>
        <w:t>los</w:t>
      </w:r>
      <w:r w:rsidR="009420FB">
        <w:rPr>
          <w:rFonts w:ascii="NewBaskerville" w:hAnsi="NewBaskerville"/>
        </w:rPr>
        <w:t xml:space="preserve"> ajuste</w:t>
      </w:r>
      <w:r>
        <w:rPr>
          <w:rFonts w:ascii="NewBaskerville" w:hAnsi="NewBaskerville"/>
        </w:rPr>
        <w:t>s</w:t>
      </w:r>
      <w:r w:rsidR="009420FB">
        <w:rPr>
          <w:rFonts w:ascii="NewBaskerville" w:hAnsi="NewBaskerville"/>
        </w:rPr>
        <w:t xml:space="preserve"> por el efecto acumulado de las variaciones del activo y pasivo</w:t>
      </w:r>
      <w:r w:rsidR="00A72F41">
        <w:rPr>
          <w:rFonts w:ascii="NewBaskerville" w:hAnsi="NewBaskerville"/>
        </w:rPr>
        <w:t>, el cual se ha imputado directamente en el patrimonio neto, en concreto, en una partida de reservas por beneficios acumulados.</w:t>
      </w:r>
    </w:p>
    <w:p w:rsidR="00A72F41" w:rsidRDefault="00A72F41" w:rsidP="002358D1">
      <w:pPr>
        <w:pStyle w:val="Prrafodelista"/>
        <w:spacing w:before="100" w:after="100"/>
        <w:ind w:left="0" w:firstLine="709"/>
        <w:jc w:val="both"/>
        <w:rPr>
          <w:rFonts w:ascii="NewBaskerville" w:hAnsi="NewBaskerville"/>
        </w:rPr>
      </w:pPr>
      <w:r>
        <w:rPr>
          <w:rFonts w:ascii="NewBaskerville" w:hAnsi="NewBaskerville"/>
        </w:rPr>
        <w:t>Asimismo se han modificado las cifras afectadas en la información comparativa en el sentido del apartado d) de esta nota.</w:t>
      </w:r>
    </w:p>
    <w:p w:rsidR="008C2FF8" w:rsidRDefault="008C2FF8" w:rsidP="00E30471">
      <w:pPr>
        <w:pStyle w:val="Prrafodelista"/>
        <w:spacing w:before="100" w:after="100"/>
        <w:ind w:left="0" w:firstLine="709"/>
        <w:jc w:val="both"/>
        <w:rPr>
          <w:rFonts w:ascii="NewBaskerville" w:hAnsi="NewBaskerville"/>
        </w:rPr>
      </w:pPr>
      <w:r>
        <w:rPr>
          <w:rFonts w:ascii="NewBaskerville" w:hAnsi="NewBaskerville"/>
        </w:rPr>
        <w:t>Seguidamente se relaciona un cuadro con las correcciones efectuadas:</w:t>
      </w:r>
    </w:p>
    <w:p w:rsidR="00CD05E8" w:rsidRDefault="00CD05E8" w:rsidP="00E30471">
      <w:pPr>
        <w:pStyle w:val="Prrafodelista"/>
        <w:spacing w:before="100" w:after="100"/>
        <w:ind w:left="0" w:firstLine="709"/>
        <w:jc w:val="both"/>
        <w:rPr>
          <w:rFonts w:ascii="NewBaskerville" w:hAnsi="NewBaskerville"/>
        </w:rPr>
      </w:pPr>
    </w:p>
    <w:tbl>
      <w:tblPr>
        <w:tblW w:w="9300" w:type="dxa"/>
        <w:tblInd w:w="70" w:type="dxa"/>
        <w:tblCellMar>
          <w:left w:w="70" w:type="dxa"/>
          <w:right w:w="70" w:type="dxa"/>
        </w:tblCellMar>
        <w:tblLook w:val="04A0" w:firstRow="1" w:lastRow="0" w:firstColumn="1" w:lastColumn="0" w:noHBand="0" w:noVBand="1"/>
      </w:tblPr>
      <w:tblGrid>
        <w:gridCol w:w="3353"/>
        <w:gridCol w:w="184"/>
        <w:gridCol w:w="1516"/>
        <w:gridCol w:w="1376"/>
        <w:gridCol w:w="1376"/>
        <w:gridCol w:w="1556"/>
      </w:tblGrid>
      <w:tr w:rsidR="00E30471" w:rsidRPr="00E30471" w:rsidTr="00E30471">
        <w:trPr>
          <w:trHeight w:val="300"/>
        </w:trPr>
        <w:tc>
          <w:tcPr>
            <w:tcW w:w="3476" w:type="dxa"/>
            <w:gridSpan w:val="2"/>
            <w:tcBorders>
              <w:top w:val="nil"/>
              <w:left w:val="nil"/>
              <w:bottom w:val="nil"/>
              <w:right w:val="nil"/>
            </w:tcBorders>
            <w:shd w:val="clear" w:color="auto" w:fill="auto"/>
            <w:noWrap/>
            <w:vAlign w:val="bottom"/>
            <w:hideMark/>
          </w:tcPr>
          <w:p w:rsidR="00E30471" w:rsidRPr="00E30471" w:rsidRDefault="00E30471" w:rsidP="00E30471">
            <w:pPr>
              <w:rPr>
                <w:rFonts w:ascii="Lucida Bright" w:hAnsi="Lucida Bright" w:cs="Calibri"/>
                <w:b/>
                <w:bCs/>
                <w:color w:val="000000"/>
                <w:sz w:val="18"/>
                <w:szCs w:val="18"/>
                <w:lang w:val="es-ES"/>
              </w:rPr>
            </w:pPr>
            <w:r w:rsidRPr="00E30471">
              <w:rPr>
                <w:rFonts w:ascii="Lucida Bright" w:hAnsi="Lucida Bright" w:cs="Calibri"/>
                <w:b/>
                <w:bCs/>
                <w:color w:val="000000"/>
                <w:sz w:val="18"/>
                <w:szCs w:val="18"/>
                <w:lang w:val="es-ES"/>
              </w:rPr>
              <w:t>CUADRO: ERRORES CONTABLES</w:t>
            </w:r>
          </w:p>
        </w:tc>
        <w:tc>
          <w:tcPr>
            <w:tcW w:w="1516" w:type="dxa"/>
            <w:tcBorders>
              <w:top w:val="nil"/>
              <w:left w:val="nil"/>
              <w:bottom w:val="nil"/>
              <w:right w:val="nil"/>
            </w:tcBorders>
            <w:shd w:val="clear" w:color="auto" w:fill="auto"/>
            <w:noWrap/>
            <w:vAlign w:val="bottom"/>
            <w:hideMark/>
          </w:tcPr>
          <w:p w:rsidR="00E30471" w:rsidRPr="00E30471" w:rsidRDefault="00E30471" w:rsidP="00E30471">
            <w:pPr>
              <w:rPr>
                <w:rFonts w:ascii="Lucida Bright" w:hAnsi="Lucida Bright" w:cs="Calibri"/>
                <w:color w:val="000000"/>
                <w:sz w:val="18"/>
                <w:szCs w:val="18"/>
                <w:lang w:val="es-ES"/>
              </w:rPr>
            </w:pPr>
          </w:p>
        </w:tc>
        <w:tc>
          <w:tcPr>
            <w:tcW w:w="1376" w:type="dxa"/>
            <w:tcBorders>
              <w:top w:val="nil"/>
              <w:left w:val="nil"/>
              <w:bottom w:val="nil"/>
              <w:right w:val="nil"/>
            </w:tcBorders>
            <w:shd w:val="clear" w:color="auto" w:fill="auto"/>
            <w:noWrap/>
            <w:vAlign w:val="bottom"/>
            <w:hideMark/>
          </w:tcPr>
          <w:p w:rsidR="00E30471" w:rsidRPr="00E30471" w:rsidRDefault="00E30471" w:rsidP="00E30471">
            <w:pPr>
              <w:rPr>
                <w:rFonts w:ascii="Lucida Bright" w:hAnsi="Lucida Bright" w:cs="Calibri"/>
                <w:color w:val="000000"/>
                <w:sz w:val="18"/>
                <w:szCs w:val="18"/>
                <w:lang w:val="es-ES"/>
              </w:rPr>
            </w:pPr>
          </w:p>
        </w:tc>
        <w:tc>
          <w:tcPr>
            <w:tcW w:w="1376" w:type="dxa"/>
            <w:tcBorders>
              <w:top w:val="nil"/>
              <w:left w:val="nil"/>
              <w:bottom w:val="nil"/>
              <w:right w:val="nil"/>
            </w:tcBorders>
            <w:shd w:val="clear" w:color="auto" w:fill="auto"/>
            <w:noWrap/>
            <w:vAlign w:val="bottom"/>
            <w:hideMark/>
          </w:tcPr>
          <w:p w:rsidR="00E30471" w:rsidRPr="00E30471" w:rsidRDefault="00E30471" w:rsidP="00E30471">
            <w:pPr>
              <w:rPr>
                <w:rFonts w:ascii="Lucida Bright" w:hAnsi="Lucida Bright" w:cs="Calibri"/>
                <w:color w:val="000000"/>
                <w:sz w:val="18"/>
                <w:szCs w:val="18"/>
                <w:lang w:val="es-ES"/>
              </w:rPr>
            </w:pPr>
          </w:p>
        </w:tc>
        <w:tc>
          <w:tcPr>
            <w:tcW w:w="1556" w:type="dxa"/>
            <w:tcBorders>
              <w:top w:val="nil"/>
              <w:left w:val="nil"/>
              <w:bottom w:val="nil"/>
              <w:right w:val="nil"/>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(en euros)</w:t>
            </w:r>
          </w:p>
        </w:tc>
      </w:tr>
      <w:tr w:rsidR="00E30471" w:rsidRPr="00E30471" w:rsidTr="00E30471">
        <w:trPr>
          <w:trHeight w:val="630"/>
        </w:trPr>
        <w:tc>
          <w:tcPr>
            <w:tcW w:w="3476" w:type="dxa"/>
            <w:gridSpan w:val="2"/>
            <w:vMerge w:val="restart"/>
            <w:tcBorders>
              <w:top w:val="single" w:sz="4" w:space="0" w:color="auto"/>
              <w:left w:val="single" w:sz="4" w:space="0" w:color="auto"/>
              <w:bottom w:val="single" w:sz="4" w:space="0" w:color="000000"/>
              <w:right w:val="single" w:sz="4" w:space="0" w:color="000000"/>
            </w:tcBorders>
            <w:shd w:val="clear" w:color="000000" w:fill="CCFFCC"/>
            <w:vAlign w:val="center"/>
            <w:hideMark/>
          </w:tcPr>
          <w:p w:rsidR="00E30471" w:rsidRPr="00E30471" w:rsidRDefault="00E30471" w:rsidP="00E30471">
            <w:pPr>
              <w:jc w:val="center"/>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CONCEPTO</w:t>
            </w:r>
          </w:p>
        </w:tc>
        <w:tc>
          <w:tcPr>
            <w:tcW w:w="1516"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E30471" w:rsidRPr="00E30471" w:rsidRDefault="00E30471" w:rsidP="00E30471">
            <w:pPr>
              <w:jc w:val="center"/>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Reclasificaciones</w:t>
            </w:r>
            <w:r w:rsidRPr="00E30471">
              <w:rPr>
                <w:rFonts w:ascii="Lucida Bright" w:hAnsi="Lucida Bright" w:cs="Calibri"/>
                <w:b/>
                <w:bCs/>
                <w:color w:val="000000"/>
                <w:sz w:val="14"/>
                <w:szCs w:val="14"/>
                <w:lang w:val="es-ES"/>
              </w:rPr>
              <w:br/>
            </w:r>
            <w:r w:rsidRPr="00E30471">
              <w:rPr>
                <w:rFonts w:ascii="Lucida Bright" w:hAnsi="Lucida Bright" w:cs="Calibri"/>
                <w:b/>
                <w:bCs/>
                <w:color w:val="000000"/>
                <w:sz w:val="14"/>
                <w:szCs w:val="14"/>
                <w:lang w:val="es-ES"/>
              </w:rPr>
              <w:br/>
              <w:t>(+/-)</w:t>
            </w:r>
          </w:p>
        </w:tc>
        <w:tc>
          <w:tcPr>
            <w:tcW w:w="1376"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E30471" w:rsidRPr="00E30471" w:rsidRDefault="00E30471" w:rsidP="00E30471">
            <w:pPr>
              <w:jc w:val="center"/>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Concesiones revertidas, donaciones y legados (+)</w:t>
            </w:r>
          </w:p>
        </w:tc>
        <w:tc>
          <w:tcPr>
            <w:tcW w:w="1376"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E30471" w:rsidRPr="00E30471" w:rsidRDefault="00E30471" w:rsidP="00E30471">
            <w:pPr>
              <w:jc w:val="center"/>
              <w:rPr>
                <w:rFonts w:ascii="Lucida Bright" w:hAnsi="Lucida Bright" w:cs="Calibri"/>
                <w:b/>
                <w:bCs/>
                <w:sz w:val="14"/>
                <w:szCs w:val="14"/>
                <w:lang w:val="es-ES"/>
              </w:rPr>
            </w:pPr>
            <w:r w:rsidRPr="00E30471">
              <w:rPr>
                <w:rFonts w:ascii="Lucida Bright" w:hAnsi="Lucida Bright" w:cs="Calibri"/>
                <w:b/>
                <w:bCs/>
                <w:sz w:val="14"/>
                <w:szCs w:val="14"/>
                <w:lang w:val="es-ES"/>
              </w:rPr>
              <w:t>Dotaciones</w:t>
            </w:r>
            <w:r w:rsidRPr="00E30471">
              <w:rPr>
                <w:rFonts w:ascii="Lucida Bright" w:hAnsi="Lucida Bright" w:cs="Calibri"/>
                <w:b/>
                <w:bCs/>
                <w:sz w:val="14"/>
                <w:szCs w:val="14"/>
                <w:lang w:val="es-ES"/>
              </w:rPr>
              <w:br/>
              <w:t xml:space="preserve"> reconocidas</w:t>
            </w:r>
            <w:r w:rsidRPr="00E30471">
              <w:rPr>
                <w:rFonts w:ascii="Lucida Bright" w:hAnsi="Lucida Bright" w:cs="Calibri"/>
                <w:b/>
                <w:bCs/>
                <w:sz w:val="14"/>
                <w:szCs w:val="14"/>
                <w:lang w:val="es-ES"/>
              </w:rPr>
              <w:br/>
              <w:t>(-)</w:t>
            </w:r>
          </w:p>
        </w:tc>
        <w:tc>
          <w:tcPr>
            <w:tcW w:w="1556"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E30471" w:rsidRPr="00E30471" w:rsidRDefault="00E30471" w:rsidP="00E30471">
            <w:pPr>
              <w:jc w:val="center"/>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Saldo reconocido</w:t>
            </w:r>
          </w:p>
        </w:tc>
      </w:tr>
      <w:tr w:rsidR="00E30471" w:rsidRPr="00E30471" w:rsidTr="00E30471">
        <w:trPr>
          <w:trHeight w:val="630"/>
        </w:trPr>
        <w:tc>
          <w:tcPr>
            <w:tcW w:w="3476" w:type="dxa"/>
            <w:gridSpan w:val="2"/>
            <w:vMerge/>
            <w:tcBorders>
              <w:top w:val="single" w:sz="4" w:space="0" w:color="auto"/>
              <w:left w:val="single" w:sz="4" w:space="0" w:color="auto"/>
              <w:bottom w:val="single" w:sz="4" w:space="0" w:color="000000"/>
              <w:right w:val="single" w:sz="4" w:space="0" w:color="000000"/>
            </w:tcBorders>
            <w:vAlign w:val="center"/>
            <w:hideMark/>
          </w:tcPr>
          <w:p w:rsidR="00E30471" w:rsidRPr="00E30471" w:rsidRDefault="00E30471" w:rsidP="00E30471">
            <w:pPr>
              <w:rPr>
                <w:rFonts w:ascii="Lucida Bright" w:hAnsi="Lucida Bright" w:cs="Calibri"/>
                <w:b/>
                <w:bCs/>
                <w:color w:val="000000"/>
                <w:sz w:val="14"/>
                <w:szCs w:val="14"/>
                <w:lang w:val="es-ES"/>
              </w:rPr>
            </w:pPr>
          </w:p>
        </w:tc>
        <w:tc>
          <w:tcPr>
            <w:tcW w:w="1516" w:type="dxa"/>
            <w:vMerge/>
            <w:tcBorders>
              <w:top w:val="single" w:sz="4" w:space="0" w:color="auto"/>
              <w:left w:val="single" w:sz="4" w:space="0" w:color="auto"/>
              <w:bottom w:val="single" w:sz="4" w:space="0" w:color="000000"/>
              <w:right w:val="single" w:sz="4" w:space="0" w:color="auto"/>
            </w:tcBorders>
            <w:vAlign w:val="center"/>
            <w:hideMark/>
          </w:tcPr>
          <w:p w:rsidR="00E30471" w:rsidRPr="00E30471" w:rsidRDefault="00E30471" w:rsidP="00E30471">
            <w:pPr>
              <w:rPr>
                <w:rFonts w:ascii="Lucida Bright" w:hAnsi="Lucida Bright" w:cs="Calibri"/>
                <w:b/>
                <w:bCs/>
                <w:color w:val="000000"/>
                <w:sz w:val="14"/>
                <w:szCs w:val="14"/>
                <w:lang w:val="es-ES"/>
              </w:rPr>
            </w:pPr>
          </w:p>
        </w:tc>
        <w:tc>
          <w:tcPr>
            <w:tcW w:w="1376" w:type="dxa"/>
            <w:vMerge/>
            <w:tcBorders>
              <w:top w:val="single" w:sz="4" w:space="0" w:color="auto"/>
              <w:left w:val="single" w:sz="4" w:space="0" w:color="auto"/>
              <w:bottom w:val="single" w:sz="4" w:space="0" w:color="000000"/>
              <w:right w:val="single" w:sz="4" w:space="0" w:color="auto"/>
            </w:tcBorders>
            <w:vAlign w:val="center"/>
            <w:hideMark/>
          </w:tcPr>
          <w:p w:rsidR="00E30471" w:rsidRPr="00E30471" w:rsidRDefault="00E30471" w:rsidP="00E30471">
            <w:pPr>
              <w:rPr>
                <w:rFonts w:ascii="Lucida Bright" w:hAnsi="Lucida Bright" w:cs="Calibri"/>
                <w:b/>
                <w:bCs/>
                <w:color w:val="000000"/>
                <w:sz w:val="14"/>
                <w:szCs w:val="14"/>
                <w:lang w:val="es-ES"/>
              </w:rPr>
            </w:pPr>
          </w:p>
        </w:tc>
        <w:tc>
          <w:tcPr>
            <w:tcW w:w="1376" w:type="dxa"/>
            <w:vMerge/>
            <w:tcBorders>
              <w:top w:val="single" w:sz="4" w:space="0" w:color="auto"/>
              <w:left w:val="single" w:sz="4" w:space="0" w:color="auto"/>
              <w:bottom w:val="single" w:sz="4" w:space="0" w:color="000000"/>
              <w:right w:val="single" w:sz="4" w:space="0" w:color="auto"/>
            </w:tcBorders>
            <w:vAlign w:val="center"/>
            <w:hideMark/>
          </w:tcPr>
          <w:p w:rsidR="00E30471" w:rsidRPr="00E30471" w:rsidRDefault="00E30471" w:rsidP="00E30471">
            <w:pPr>
              <w:rPr>
                <w:rFonts w:ascii="Lucida Bright" w:hAnsi="Lucida Bright" w:cs="Calibri"/>
                <w:b/>
                <w:bCs/>
                <w:sz w:val="14"/>
                <w:szCs w:val="14"/>
                <w:lang w:val="es-ES"/>
              </w:rPr>
            </w:pPr>
          </w:p>
        </w:tc>
        <w:tc>
          <w:tcPr>
            <w:tcW w:w="1556" w:type="dxa"/>
            <w:vMerge/>
            <w:tcBorders>
              <w:top w:val="single" w:sz="4" w:space="0" w:color="auto"/>
              <w:left w:val="single" w:sz="4" w:space="0" w:color="auto"/>
              <w:bottom w:val="single" w:sz="4" w:space="0" w:color="000000"/>
              <w:right w:val="single" w:sz="4" w:space="0" w:color="auto"/>
            </w:tcBorders>
            <w:vAlign w:val="center"/>
            <w:hideMark/>
          </w:tcPr>
          <w:p w:rsidR="00E30471" w:rsidRPr="00E30471" w:rsidRDefault="00E30471" w:rsidP="00E30471">
            <w:pPr>
              <w:rPr>
                <w:rFonts w:ascii="Lucida Bright" w:hAnsi="Lucida Bright" w:cs="Calibri"/>
                <w:b/>
                <w:bCs/>
                <w:color w:val="000000"/>
                <w:sz w:val="14"/>
                <w:szCs w:val="14"/>
                <w:lang w:val="es-ES"/>
              </w:rPr>
            </w:pP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Aplicaciones informáticas</w:t>
            </w:r>
          </w:p>
        </w:tc>
        <w:tc>
          <w:tcPr>
            <w:tcW w:w="1516" w:type="dxa"/>
            <w:tcBorders>
              <w:top w:val="nil"/>
              <w:left w:val="nil"/>
              <w:bottom w:val="single" w:sz="4" w:space="0" w:color="auto"/>
              <w:right w:val="single" w:sz="4" w:space="0" w:color="auto"/>
            </w:tcBorders>
            <w:shd w:val="clear" w:color="auto" w:fill="auto"/>
            <w:noWrap/>
            <w:vAlign w:val="center"/>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4.492.418,63</w:t>
            </w:r>
          </w:p>
        </w:tc>
        <w:tc>
          <w:tcPr>
            <w:tcW w:w="1376" w:type="dxa"/>
            <w:tcBorders>
              <w:top w:val="nil"/>
              <w:left w:val="nil"/>
              <w:bottom w:val="single" w:sz="4" w:space="0" w:color="auto"/>
              <w:right w:val="single" w:sz="4" w:space="0" w:color="auto"/>
            </w:tcBorders>
            <w:shd w:val="clear" w:color="auto" w:fill="auto"/>
            <w:noWrap/>
            <w:vAlign w:val="center"/>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vAlign w:val="center"/>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(1.092.755,42)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3.399.663,21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jc w:val="center"/>
              <w:rPr>
                <w:rFonts w:ascii="Lucida Bright" w:hAnsi="Lucida Bright" w:cs="Calibri"/>
                <w:b/>
                <w:bCs/>
                <w:sz w:val="14"/>
                <w:szCs w:val="14"/>
                <w:lang w:val="es-ES"/>
              </w:rPr>
            </w:pPr>
            <w:r w:rsidRPr="00E30471">
              <w:rPr>
                <w:rFonts w:ascii="Lucida Bright" w:hAnsi="Lucida Bright" w:cs="Calibri"/>
                <w:b/>
                <w:bCs/>
                <w:sz w:val="14"/>
                <w:szCs w:val="14"/>
                <w:lang w:val="es-ES"/>
              </w:rPr>
              <w:t>TOTAL INMOVILIZADO INTANGIBLE</w:t>
            </w:r>
          </w:p>
        </w:tc>
        <w:tc>
          <w:tcPr>
            <w:tcW w:w="1516" w:type="dxa"/>
            <w:tcBorders>
              <w:top w:val="nil"/>
              <w:left w:val="nil"/>
              <w:bottom w:val="single" w:sz="4" w:space="0" w:color="auto"/>
              <w:right w:val="single" w:sz="4" w:space="0" w:color="auto"/>
            </w:tcBorders>
            <w:shd w:val="clear" w:color="auto" w:fill="auto"/>
            <w:noWrap/>
            <w:vAlign w:val="center"/>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4.492.418,63 </w:t>
            </w:r>
          </w:p>
        </w:tc>
        <w:tc>
          <w:tcPr>
            <w:tcW w:w="1376" w:type="dxa"/>
            <w:tcBorders>
              <w:top w:val="nil"/>
              <w:left w:val="nil"/>
              <w:bottom w:val="single" w:sz="4" w:space="0" w:color="auto"/>
              <w:right w:val="single" w:sz="4" w:space="0" w:color="auto"/>
            </w:tcBorders>
            <w:shd w:val="clear" w:color="auto" w:fill="auto"/>
            <w:noWrap/>
            <w:vAlign w:val="center"/>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 </w:t>
            </w:r>
          </w:p>
        </w:tc>
        <w:tc>
          <w:tcPr>
            <w:tcW w:w="1376" w:type="dxa"/>
            <w:tcBorders>
              <w:top w:val="nil"/>
              <w:left w:val="nil"/>
              <w:bottom w:val="single" w:sz="4" w:space="0" w:color="auto"/>
              <w:right w:val="single" w:sz="4" w:space="0" w:color="auto"/>
            </w:tcBorders>
            <w:shd w:val="clear" w:color="auto" w:fill="auto"/>
            <w:noWrap/>
            <w:vAlign w:val="center"/>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(1.092.755,42)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3.399.663,21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rPr>
                <w:rFonts w:ascii="Lucida Bright" w:hAnsi="Lucida Bright" w:cs="Calibri"/>
                <w:b/>
                <w:bCs/>
                <w:sz w:val="14"/>
                <w:szCs w:val="14"/>
                <w:lang w:val="es-ES"/>
              </w:rPr>
            </w:pPr>
            <w:r w:rsidRPr="00E30471">
              <w:rPr>
                <w:rFonts w:ascii="Lucida Bright" w:hAnsi="Lucida Bright" w:cs="Calibri"/>
                <w:b/>
                <w:bCs/>
                <w:sz w:val="14"/>
                <w:szCs w:val="14"/>
                <w:lang w:val="es-ES"/>
              </w:rPr>
              <w:t xml:space="preserve"> a) Terrenos y bienes naturales</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423.220,75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423.220,75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rPr>
                <w:rFonts w:ascii="Lucida Bright" w:hAnsi="Lucida Bright" w:cs="Calibri"/>
                <w:b/>
                <w:bCs/>
                <w:sz w:val="14"/>
                <w:szCs w:val="14"/>
                <w:lang w:val="es-ES"/>
              </w:rPr>
            </w:pPr>
            <w:r w:rsidRPr="00E30471">
              <w:rPr>
                <w:rFonts w:ascii="Lucida Bright" w:hAnsi="Lucida Bright" w:cs="Calibri"/>
                <w:b/>
                <w:bCs/>
                <w:sz w:val="14"/>
                <w:szCs w:val="14"/>
                <w:lang w:val="es-ES"/>
              </w:rPr>
              <w:t xml:space="preserve"> b) Construcciones</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16.234.803,62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(1.972.652,47)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14.262.151,15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Accesos marítimos</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12.999,33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(1.465,99)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11.533,34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Obras de abrigo y defensa</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428.776,56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(47.116,84)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381.659,72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Obras de atraque</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3.932.638,73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(572.430,95)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3.360.207,78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Instalaciones para reparación de barcos</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r>
      <w:tr w:rsidR="00E30471" w:rsidRPr="00E30471" w:rsidTr="00E30471">
        <w:trPr>
          <w:trHeight w:val="210"/>
        </w:trPr>
        <w:tc>
          <w:tcPr>
            <w:tcW w:w="3353" w:type="dxa"/>
            <w:tcBorders>
              <w:top w:val="nil"/>
              <w:left w:val="single" w:sz="4" w:space="0" w:color="auto"/>
              <w:bottom w:val="single" w:sz="4" w:space="0" w:color="auto"/>
              <w:right w:val="nil"/>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Edificaciones</w:t>
            </w:r>
          </w:p>
        </w:tc>
        <w:tc>
          <w:tcPr>
            <w:tcW w:w="123" w:type="dxa"/>
            <w:tcBorders>
              <w:top w:val="nil"/>
              <w:left w:val="nil"/>
              <w:bottom w:val="single" w:sz="4" w:space="0" w:color="auto"/>
              <w:right w:val="single" w:sz="4" w:space="0" w:color="auto"/>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3.913.174,92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(233.702,80)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3.679.472,12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Instalaciones generales</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3.763.740,29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(495.181,90)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3.268.558,39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Pavimentos, calzadas y vías de circulación</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4.183.473,79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(622.753,99)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3.560.719,80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rPr>
                <w:rFonts w:ascii="Lucida Bright" w:hAnsi="Lucida Bright" w:cs="Calibri"/>
                <w:b/>
                <w:bCs/>
                <w:sz w:val="14"/>
                <w:szCs w:val="14"/>
                <w:lang w:val="es-ES"/>
              </w:rPr>
            </w:pPr>
            <w:r w:rsidRPr="00E30471">
              <w:rPr>
                <w:rFonts w:ascii="Lucida Bright" w:hAnsi="Lucida Bright" w:cs="Calibri"/>
                <w:b/>
                <w:bCs/>
                <w:sz w:val="14"/>
                <w:szCs w:val="14"/>
                <w:lang w:val="es-ES"/>
              </w:rPr>
              <w:t xml:space="preserve"> c) Equipamientos e instalaciones técnicas</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449.034,67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(83.002,40)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366.032,27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Instalaciones de ayuda a la navegación</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101.055,66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(19.274,38)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81.781,28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Equipos de manipulación de </w:t>
            </w:r>
            <w:r w:rsidR="00416638" w:rsidRPr="00E30471">
              <w:rPr>
                <w:rFonts w:ascii="Lucida Bright" w:hAnsi="Lucida Bright" w:cs="Calibri"/>
                <w:sz w:val="14"/>
                <w:szCs w:val="14"/>
                <w:lang w:val="es-ES"/>
              </w:rPr>
              <w:t>mercancías</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343.812,29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(61.528,92)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282.283,37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Material flotante</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4.166,72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(2.199,10)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1.967,62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Material ferroviario</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r>
      <w:tr w:rsidR="00E30471" w:rsidRPr="00E30471" w:rsidTr="00E30471">
        <w:trPr>
          <w:trHeight w:val="210"/>
        </w:trPr>
        <w:tc>
          <w:tcPr>
            <w:tcW w:w="3353" w:type="dxa"/>
            <w:tcBorders>
              <w:top w:val="nil"/>
              <w:left w:val="single" w:sz="4" w:space="0" w:color="auto"/>
              <w:bottom w:val="single" w:sz="4" w:space="0" w:color="auto"/>
              <w:right w:val="nil"/>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Equipo de taller</w:t>
            </w:r>
          </w:p>
        </w:tc>
        <w:tc>
          <w:tcPr>
            <w:tcW w:w="123" w:type="dxa"/>
            <w:tcBorders>
              <w:top w:val="nil"/>
              <w:left w:val="nil"/>
              <w:bottom w:val="single" w:sz="4" w:space="0" w:color="auto"/>
              <w:right w:val="single" w:sz="4" w:space="0" w:color="auto"/>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rPr>
                <w:rFonts w:ascii="Lucida Bright" w:hAnsi="Lucida Bright" w:cs="Calibri"/>
                <w:b/>
                <w:bCs/>
                <w:sz w:val="14"/>
                <w:szCs w:val="14"/>
                <w:lang w:val="es-ES"/>
              </w:rPr>
            </w:pPr>
            <w:r w:rsidRPr="00E30471">
              <w:rPr>
                <w:rFonts w:ascii="Lucida Bright" w:hAnsi="Lucida Bright" w:cs="Calibri"/>
                <w:b/>
                <w:bCs/>
                <w:sz w:val="14"/>
                <w:szCs w:val="14"/>
                <w:lang w:val="es-ES"/>
              </w:rPr>
              <w:t xml:space="preserve"> d) Otro inmovilizado</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4.887.594,21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(1.327.749,56)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3.559.844,65 </w:t>
            </w:r>
          </w:p>
        </w:tc>
      </w:tr>
      <w:tr w:rsidR="00E30471" w:rsidRPr="00E30471" w:rsidTr="00E30471">
        <w:trPr>
          <w:trHeight w:val="210"/>
        </w:trPr>
        <w:tc>
          <w:tcPr>
            <w:tcW w:w="3353" w:type="dxa"/>
            <w:tcBorders>
              <w:top w:val="nil"/>
              <w:left w:val="single" w:sz="4" w:space="0" w:color="auto"/>
              <w:bottom w:val="single" w:sz="4" w:space="0" w:color="auto"/>
              <w:right w:val="nil"/>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Mobiliario</w:t>
            </w:r>
          </w:p>
        </w:tc>
        <w:tc>
          <w:tcPr>
            <w:tcW w:w="123" w:type="dxa"/>
            <w:tcBorders>
              <w:top w:val="nil"/>
              <w:left w:val="nil"/>
              <w:bottom w:val="single" w:sz="4" w:space="0" w:color="auto"/>
              <w:right w:val="single" w:sz="4" w:space="0" w:color="auto"/>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399.975,83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(65.989,49)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333.986,34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Equipos para proceso de información</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2.429.976,37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(718.198,88)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1.711.777,49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Elementos de transporte</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102.824,45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(27.692,64)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75.131,81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Otro inmovilizado material</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1.954.817,56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(515.868,55)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1.438.949,01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jc w:val="center"/>
              <w:rPr>
                <w:rFonts w:ascii="Lucida Bright" w:hAnsi="Lucida Bright" w:cs="Calibri"/>
                <w:b/>
                <w:bCs/>
                <w:sz w:val="14"/>
                <w:szCs w:val="14"/>
                <w:lang w:val="es-ES"/>
              </w:rPr>
            </w:pPr>
            <w:r w:rsidRPr="00E30471">
              <w:rPr>
                <w:rFonts w:ascii="Lucida Bright" w:hAnsi="Lucida Bright" w:cs="Calibri"/>
                <w:b/>
                <w:bCs/>
                <w:sz w:val="14"/>
                <w:szCs w:val="14"/>
                <w:lang w:val="es-ES"/>
              </w:rPr>
              <w:t>TOTAL INMOVILIZADO MATERIAL</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21.994.653,25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(3.383.404,43)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18.611.248,82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30471" w:rsidRPr="00E30471" w:rsidRDefault="00E30471" w:rsidP="00E30471">
            <w:pPr>
              <w:rPr>
                <w:rFonts w:ascii="Lucida Bright" w:hAnsi="Lucida Bright" w:cs="Calibri"/>
                <w:b/>
                <w:bCs/>
                <w:sz w:val="14"/>
                <w:szCs w:val="14"/>
                <w:lang w:val="es-ES"/>
              </w:rPr>
            </w:pPr>
            <w:r w:rsidRPr="00E30471">
              <w:rPr>
                <w:rFonts w:ascii="Lucida Bright" w:hAnsi="Lucida Bright" w:cs="Calibri"/>
                <w:b/>
                <w:bCs/>
                <w:sz w:val="14"/>
                <w:szCs w:val="14"/>
                <w:lang w:val="es-ES"/>
              </w:rPr>
              <w:t xml:space="preserve"> b) Construcciones</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833.672,57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9.894.763,83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(2.505.201,47)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8.223.234,93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Accesos marítimos</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Obras de abrigo y defensa</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Obras de atraque</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196.710,83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2.581.727,51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(427.754,27)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2.350.684,07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Instalaciones para reparación de barcos</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Edificaciones</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636.961,74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5.983.123,60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(1.807.358,21)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4.812.727,13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Instalaciones generales</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1.317.628,05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(264.663,22)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1.052.964,83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Pavimentos, calzadas y vías de circulación</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12.284,67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(5.425,77)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6.858,90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jc w:val="center"/>
              <w:rPr>
                <w:rFonts w:ascii="Lucida Bright" w:hAnsi="Lucida Bright" w:cs="Calibri"/>
                <w:b/>
                <w:bCs/>
                <w:sz w:val="14"/>
                <w:szCs w:val="14"/>
                <w:lang w:val="es-ES"/>
              </w:rPr>
            </w:pPr>
            <w:r w:rsidRPr="00E30471">
              <w:rPr>
                <w:rFonts w:ascii="Lucida Bright" w:hAnsi="Lucida Bright" w:cs="Calibri"/>
                <w:b/>
                <w:bCs/>
                <w:sz w:val="14"/>
                <w:szCs w:val="14"/>
                <w:lang w:val="es-ES"/>
              </w:rPr>
              <w:t>TOTAL INVERSIONES INMOBILIARIAS</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833.672,57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9.894.763,83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(2.505.201,47)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8.223.234,93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0471" w:rsidRPr="00E30471" w:rsidRDefault="00E30471" w:rsidP="00E30471">
            <w:pPr>
              <w:rPr>
                <w:rFonts w:ascii="Lucida Bright" w:hAnsi="Lucida Bright" w:cs="Calibri"/>
                <w:sz w:val="14"/>
                <w:szCs w:val="14"/>
                <w:lang w:val="es-ES"/>
              </w:rPr>
            </w:pPr>
            <w:r w:rsidRPr="00E30471">
              <w:rPr>
                <w:rFonts w:ascii="Lucida Bright" w:hAnsi="Lucida Bright" w:cs="Calibri"/>
                <w:sz w:val="14"/>
                <w:szCs w:val="14"/>
                <w:lang w:val="es-ES"/>
              </w:rPr>
              <w:t xml:space="preserve">    Gastos y/o pérdidas de inmovilizado</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color w:val="000000"/>
                <w:sz w:val="14"/>
                <w:szCs w:val="14"/>
                <w:lang w:val="es-ES"/>
              </w:rPr>
            </w:pPr>
            <w:r w:rsidRPr="00E30471">
              <w:rPr>
                <w:rFonts w:ascii="Lucida Bright" w:hAnsi="Lucida Bright" w:cs="Calibri"/>
                <w:color w:val="000000"/>
                <w:sz w:val="14"/>
                <w:szCs w:val="14"/>
                <w:lang w:val="es-ES"/>
              </w:rPr>
              <w:t xml:space="preserve">2.762.958,24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2.762.958,24 </w:t>
            </w:r>
          </w:p>
        </w:tc>
      </w:tr>
      <w:tr w:rsidR="00E30471" w:rsidRPr="00E30471" w:rsidTr="00E30471">
        <w:trPr>
          <w:trHeight w:val="210"/>
        </w:trPr>
        <w:tc>
          <w:tcPr>
            <w:tcW w:w="34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471" w:rsidRPr="00E30471" w:rsidRDefault="00E30471" w:rsidP="00E30471">
            <w:pPr>
              <w:jc w:val="center"/>
              <w:rPr>
                <w:rFonts w:ascii="Lucida Bright" w:hAnsi="Lucida Bright" w:cs="Calibri"/>
                <w:b/>
                <w:bCs/>
                <w:sz w:val="14"/>
                <w:szCs w:val="14"/>
                <w:lang w:val="es-ES"/>
              </w:rPr>
            </w:pPr>
            <w:r w:rsidRPr="00E30471">
              <w:rPr>
                <w:rFonts w:ascii="Lucida Bright" w:hAnsi="Lucida Bright" w:cs="Calibri"/>
                <w:b/>
                <w:bCs/>
                <w:sz w:val="14"/>
                <w:szCs w:val="14"/>
                <w:lang w:val="es-ES"/>
              </w:rPr>
              <w:t>ANTICIPOS E INMOVILIZADO EN CURSO</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(30.083.702,69)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(30.083.702,69) </w:t>
            </w:r>
          </w:p>
        </w:tc>
      </w:tr>
      <w:tr w:rsidR="00E30471" w:rsidRPr="00E30471" w:rsidTr="00E30471">
        <w:trPr>
          <w:trHeight w:val="210"/>
        </w:trPr>
        <w:tc>
          <w:tcPr>
            <w:tcW w:w="3353" w:type="dxa"/>
            <w:tcBorders>
              <w:top w:val="nil"/>
              <w:left w:val="single" w:sz="4" w:space="0" w:color="auto"/>
              <w:bottom w:val="single" w:sz="4" w:space="0" w:color="auto"/>
              <w:right w:val="nil"/>
            </w:tcBorders>
            <w:shd w:val="clear" w:color="auto" w:fill="auto"/>
            <w:noWrap/>
            <w:vAlign w:val="center"/>
            <w:hideMark/>
          </w:tcPr>
          <w:p w:rsidR="00E30471" w:rsidRPr="00E30471" w:rsidRDefault="00E30471" w:rsidP="00E30471">
            <w:pPr>
              <w:jc w:val="center"/>
              <w:rPr>
                <w:rFonts w:ascii="Lucida Bright" w:hAnsi="Lucida Bright" w:cs="Calibri"/>
                <w:b/>
                <w:bCs/>
                <w:sz w:val="14"/>
                <w:szCs w:val="14"/>
                <w:lang w:val="es-ES"/>
              </w:rPr>
            </w:pPr>
            <w:r w:rsidRPr="00E30471">
              <w:rPr>
                <w:rFonts w:ascii="Lucida Bright" w:hAnsi="Lucida Bright" w:cs="Calibri"/>
                <w:b/>
                <w:bCs/>
                <w:sz w:val="14"/>
                <w:szCs w:val="14"/>
                <w:lang w:val="es-ES"/>
              </w:rPr>
              <w:t>TOTAL</w:t>
            </w:r>
          </w:p>
        </w:tc>
        <w:tc>
          <w:tcPr>
            <w:tcW w:w="123" w:type="dxa"/>
            <w:tcBorders>
              <w:top w:val="nil"/>
              <w:left w:val="nil"/>
              <w:bottom w:val="single" w:sz="4" w:space="0" w:color="auto"/>
              <w:right w:val="single" w:sz="4" w:space="0" w:color="auto"/>
            </w:tcBorders>
            <w:shd w:val="clear" w:color="auto" w:fill="auto"/>
            <w:noWrap/>
            <w:vAlign w:val="center"/>
            <w:hideMark/>
          </w:tcPr>
          <w:p w:rsidR="00E30471" w:rsidRPr="00E30471" w:rsidRDefault="00E30471" w:rsidP="00E30471">
            <w:pPr>
              <w:jc w:val="center"/>
              <w:rPr>
                <w:rFonts w:ascii="Lucida Bright" w:hAnsi="Lucida Bright" w:cs="Calibri"/>
                <w:b/>
                <w:bCs/>
                <w:sz w:val="14"/>
                <w:szCs w:val="14"/>
                <w:lang w:val="es-ES"/>
              </w:rPr>
            </w:pPr>
            <w:r w:rsidRPr="00E30471">
              <w:rPr>
                <w:rFonts w:ascii="Lucida Bright" w:hAnsi="Lucida Bright" w:cs="Calibri"/>
                <w:b/>
                <w:bCs/>
                <w:sz w:val="14"/>
                <w:szCs w:val="14"/>
                <w:lang w:val="es-ES"/>
              </w:rPr>
              <w:t> </w:t>
            </w:r>
          </w:p>
        </w:tc>
        <w:tc>
          <w:tcPr>
            <w:tcW w:w="151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9.894.763,83 </w:t>
            </w:r>
          </w:p>
        </w:tc>
        <w:tc>
          <w:tcPr>
            <w:tcW w:w="137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jc w:val="right"/>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xml:space="preserve">(6.981.361,32) </w:t>
            </w:r>
          </w:p>
        </w:tc>
        <w:tc>
          <w:tcPr>
            <w:tcW w:w="1556" w:type="dxa"/>
            <w:tcBorders>
              <w:top w:val="nil"/>
              <w:left w:val="nil"/>
              <w:bottom w:val="single" w:sz="4" w:space="0" w:color="auto"/>
              <w:right w:val="single" w:sz="4" w:space="0" w:color="auto"/>
            </w:tcBorders>
            <w:shd w:val="clear" w:color="auto" w:fill="auto"/>
            <w:noWrap/>
            <w:vAlign w:val="bottom"/>
            <w:hideMark/>
          </w:tcPr>
          <w:p w:rsidR="00E30471" w:rsidRPr="00E30471" w:rsidRDefault="00E30471" w:rsidP="00E30471">
            <w:pPr>
              <w:rPr>
                <w:rFonts w:ascii="Lucida Bright" w:hAnsi="Lucida Bright" w:cs="Calibri"/>
                <w:b/>
                <w:bCs/>
                <w:color w:val="000000"/>
                <w:sz w:val="14"/>
                <w:szCs w:val="14"/>
                <w:lang w:val="es-ES"/>
              </w:rPr>
            </w:pPr>
            <w:r w:rsidRPr="00E30471">
              <w:rPr>
                <w:rFonts w:ascii="Lucida Bright" w:hAnsi="Lucida Bright" w:cs="Calibri"/>
                <w:b/>
                <w:bCs/>
                <w:color w:val="000000"/>
                <w:sz w:val="14"/>
                <w:szCs w:val="14"/>
                <w:lang w:val="es-ES"/>
              </w:rPr>
              <w:t> </w:t>
            </w:r>
          </w:p>
        </w:tc>
      </w:tr>
    </w:tbl>
    <w:p w:rsidR="008C2FF8" w:rsidRDefault="008C2FF8" w:rsidP="008C2FF8">
      <w:pPr>
        <w:pStyle w:val="Prrafodelista"/>
        <w:spacing w:before="100" w:after="100"/>
        <w:ind w:left="0"/>
        <w:jc w:val="both"/>
        <w:rPr>
          <w:rFonts w:ascii="NewBaskerville" w:hAnsi="NewBaskerville"/>
        </w:rPr>
      </w:pPr>
    </w:p>
    <w:p w:rsidR="0046575F" w:rsidRDefault="0046575F" w:rsidP="008C2FF8">
      <w:pPr>
        <w:pStyle w:val="Prrafodelista"/>
        <w:spacing w:before="100" w:after="100"/>
        <w:ind w:left="0"/>
        <w:jc w:val="both"/>
        <w:rPr>
          <w:rFonts w:ascii="NewBaskerville" w:hAnsi="NewBaskerville"/>
        </w:rPr>
      </w:pPr>
    </w:p>
    <w:p w:rsidR="00CD05E8" w:rsidRDefault="00CD05E8" w:rsidP="008C2FF8">
      <w:pPr>
        <w:pStyle w:val="Prrafodelista"/>
        <w:spacing w:before="100" w:after="100"/>
        <w:ind w:left="0"/>
        <w:jc w:val="both"/>
        <w:rPr>
          <w:rFonts w:ascii="NewBaskerville" w:hAnsi="NewBaskerville"/>
        </w:rPr>
      </w:pPr>
    </w:p>
    <w:tbl>
      <w:tblPr>
        <w:tblW w:w="6429" w:type="dxa"/>
        <w:tblInd w:w="70" w:type="dxa"/>
        <w:tblCellMar>
          <w:left w:w="70" w:type="dxa"/>
          <w:right w:w="70" w:type="dxa"/>
        </w:tblCellMar>
        <w:tblLook w:val="04A0" w:firstRow="1" w:lastRow="0" w:firstColumn="1" w:lastColumn="0" w:noHBand="0" w:noVBand="1"/>
      </w:tblPr>
      <w:tblGrid>
        <w:gridCol w:w="3353"/>
        <w:gridCol w:w="184"/>
        <w:gridCol w:w="1516"/>
        <w:gridCol w:w="1376"/>
      </w:tblGrid>
      <w:tr w:rsidR="0090222C" w:rsidRPr="0090222C" w:rsidTr="00660B76">
        <w:trPr>
          <w:trHeight w:val="300"/>
        </w:trPr>
        <w:tc>
          <w:tcPr>
            <w:tcW w:w="3537" w:type="dxa"/>
            <w:gridSpan w:val="2"/>
            <w:tcBorders>
              <w:top w:val="nil"/>
              <w:left w:val="nil"/>
              <w:bottom w:val="nil"/>
              <w:right w:val="nil"/>
            </w:tcBorders>
            <w:shd w:val="clear" w:color="auto" w:fill="auto"/>
            <w:noWrap/>
            <w:vAlign w:val="bottom"/>
            <w:hideMark/>
          </w:tcPr>
          <w:p w:rsidR="0090222C" w:rsidRPr="0090222C" w:rsidRDefault="0090222C" w:rsidP="0090222C">
            <w:pPr>
              <w:rPr>
                <w:rFonts w:ascii="Lucida Bright" w:hAnsi="Lucida Bright" w:cs="Calibri"/>
                <w:b/>
                <w:bCs/>
                <w:color w:val="000000"/>
                <w:sz w:val="18"/>
                <w:szCs w:val="18"/>
                <w:lang w:val="es-ES"/>
              </w:rPr>
            </w:pPr>
            <w:r w:rsidRPr="0090222C">
              <w:rPr>
                <w:rFonts w:ascii="Lucida Bright" w:hAnsi="Lucida Bright" w:cs="Calibri"/>
                <w:b/>
                <w:bCs/>
                <w:color w:val="000000"/>
                <w:sz w:val="18"/>
                <w:szCs w:val="18"/>
                <w:lang w:val="es-ES"/>
              </w:rPr>
              <w:lastRenderedPageBreak/>
              <w:t>CUADRO: ERRORES CONTABLES</w:t>
            </w:r>
          </w:p>
        </w:tc>
        <w:tc>
          <w:tcPr>
            <w:tcW w:w="1516" w:type="dxa"/>
            <w:tcBorders>
              <w:top w:val="nil"/>
              <w:left w:val="nil"/>
              <w:bottom w:val="nil"/>
              <w:right w:val="nil"/>
            </w:tcBorders>
            <w:shd w:val="clear" w:color="auto" w:fill="auto"/>
            <w:noWrap/>
            <w:vAlign w:val="bottom"/>
            <w:hideMark/>
          </w:tcPr>
          <w:p w:rsidR="0090222C" w:rsidRPr="0090222C" w:rsidRDefault="0090222C" w:rsidP="0090222C">
            <w:pPr>
              <w:rPr>
                <w:rFonts w:ascii="Lucida Bright" w:hAnsi="Lucida Bright" w:cs="Calibri"/>
                <w:color w:val="000000"/>
                <w:sz w:val="18"/>
                <w:szCs w:val="18"/>
                <w:lang w:val="es-ES"/>
              </w:rPr>
            </w:pPr>
          </w:p>
        </w:tc>
        <w:tc>
          <w:tcPr>
            <w:tcW w:w="1376" w:type="dxa"/>
            <w:tcBorders>
              <w:top w:val="nil"/>
              <w:left w:val="nil"/>
              <w:bottom w:val="nil"/>
              <w:right w:val="nil"/>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(en euros)</w:t>
            </w:r>
          </w:p>
        </w:tc>
      </w:tr>
      <w:tr w:rsidR="0090222C" w:rsidRPr="0090222C" w:rsidTr="00660B76">
        <w:trPr>
          <w:trHeight w:val="630"/>
        </w:trPr>
        <w:tc>
          <w:tcPr>
            <w:tcW w:w="3537" w:type="dxa"/>
            <w:gridSpan w:val="2"/>
            <w:vMerge w:val="restart"/>
            <w:tcBorders>
              <w:top w:val="single" w:sz="4" w:space="0" w:color="auto"/>
              <w:left w:val="single" w:sz="4" w:space="0" w:color="auto"/>
              <w:bottom w:val="single" w:sz="4" w:space="0" w:color="000000"/>
              <w:right w:val="single" w:sz="4" w:space="0" w:color="000000"/>
            </w:tcBorders>
            <w:shd w:val="clear" w:color="000000" w:fill="CCFFCC"/>
            <w:vAlign w:val="center"/>
            <w:hideMark/>
          </w:tcPr>
          <w:p w:rsidR="0090222C" w:rsidRPr="0090222C" w:rsidRDefault="0090222C" w:rsidP="0090222C">
            <w:pPr>
              <w:jc w:val="center"/>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CONCEPTO</w:t>
            </w:r>
          </w:p>
        </w:tc>
        <w:tc>
          <w:tcPr>
            <w:tcW w:w="1516"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90222C" w:rsidRPr="0090222C" w:rsidRDefault="0090222C" w:rsidP="0090222C">
            <w:pPr>
              <w:jc w:val="center"/>
              <w:rPr>
                <w:rFonts w:ascii="Lucida Bright" w:hAnsi="Lucida Bright" w:cs="Calibri"/>
                <w:b/>
                <w:bCs/>
                <w:sz w:val="14"/>
                <w:szCs w:val="14"/>
                <w:lang w:val="es-ES"/>
              </w:rPr>
            </w:pPr>
            <w:r w:rsidRPr="0090222C">
              <w:rPr>
                <w:rFonts w:ascii="Lucida Bright" w:hAnsi="Lucida Bright" w:cs="Calibri"/>
                <w:b/>
                <w:bCs/>
                <w:sz w:val="14"/>
                <w:szCs w:val="14"/>
                <w:lang w:val="es-ES"/>
              </w:rPr>
              <w:t>Importe devengado por reversión de concesiones (+)</w:t>
            </w:r>
          </w:p>
        </w:tc>
        <w:tc>
          <w:tcPr>
            <w:tcW w:w="1376"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90222C" w:rsidRPr="0090222C" w:rsidRDefault="0090222C" w:rsidP="0090222C">
            <w:pPr>
              <w:jc w:val="center"/>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Importe traspasado al resultado del ejercicio (-)</w:t>
            </w:r>
          </w:p>
        </w:tc>
      </w:tr>
      <w:tr w:rsidR="0090222C" w:rsidRPr="0090222C" w:rsidTr="00660B76">
        <w:trPr>
          <w:trHeight w:val="630"/>
        </w:trPr>
        <w:tc>
          <w:tcPr>
            <w:tcW w:w="3537" w:type="dxa"/>
            <w:gridSpan w:val="2"/>
            <w:vMerge/>
            <w:tcBorders>
              <w:top w:val="single" w:sz="4" w:space="0" w:color="auto"/>
              <w:left w:val="single" w:sz="4" w:space="0" w:color="auto"/>
              <w:bottom w:val="single" w:sz="4" w:space="0" w:color="000000"/>
              <w:right w:val="single" w:sz="4" w:space="0" w:color="000000"/>
            </w:tcBorders>
            <w:vAlign w:val="center"/>
            <w:hideMark/>
          </w:tcPr>
          <w:p w:rsidR="0090222C" w:rsidRPr="0090222C" w:rsidRDefault="0090222C" w:rsidP="0090222C">
            <w:pPr>
              <w:rPr>
                <w:rFonts w:ascii="Lucida Bright" w:hAnsi="Lucida Bright" w:cs="Calibri"/>
                <w:b/>
                <w:bCs/>
                <w:color w:val="000000"/>
                <w:sz w:val="14"/>
                <w:szCs w:val="14"/>
                <w:lang w:val="es-ES"/>
              </w:rPr>
            </w:pPr>
          </w:p>
        </w:tc>
        <w:tc>
          <w:tcPr>
            <w:tcW w:w="1516" w:type="dxa"/>
            <w:vMerge/>
            <w:tcBorders>
              <w:top w:val="single" w:sz="4" w:space="0" w:color="auto"/>
              <w:left w:val="single" w:sz="4" w:space="0" w:color="auto"/>
              <w:bottom w:val="single" w:sz="4" w:space="0" w:color="000000"/>
              <w:right w:val="single" w:sz="4" w:space="0" w:color="auto"/>
            </w:tcBorders>
            <w:vAlign w:val="center"/>
            <w:hideMark/>
          </w:tcPr>
          <w:p w:rsidR="0090222C" w:rsidRPr="0090222C" w:rsidRDefault="0090222C" w:rsidP="0090222C">
            <w:pPr>
              <w:rPr>
                <w:rFonts w:ascii="Lucida Bright" w:hAnsi="Lucida Bright" w:cs="Calibri"/>
                <w:b/>
                <w:bCs/>
                <w:sz w:val="14"/>
                <w:szCs w:val="14"/>
                <w:lang w:val="es-ES"/>
              </w:rPr>
            </w:pPr>
          </w:p>
        </w:tc>
        <w:tc>
          <w:tcPr>
            <w:tcW w:w="1376" w:type="dxa"/>
            <w:vMerge/>
            <w:tcBorders>
              <w:top w:val="single" w:sz="4" w:space="0" w:color="auto"/>
              <w:left w:val="single" w:sz="4" w:space="0" w:color="auto"/>
              <w:bottom w:val="single" w:sz="4" w:space="0" w:color="000000"/>
              <w:right w:val="single" w:sz="4" w:space="0" w:color="auto"/>
            </w:tcBorders>
            <w:vAlign w:val="center"/>
            <w:hideMark/>
          </w:tcPr>
          <w:p w:rsidR="0090222C" w:rsidRPr="0090222C" w:rsidRDefault="0090222C" w:rsidP="0090222C">
            <w:pPr>
              <w:rPr>
                <w:rFonts w:ascii="Lucida Bright" w:hAnsi="Lucida Bright" w:cs="Calibri"/>
                <w:b/>
                <w:bCs/>
                <w:color w:val="000000"/>
                <w:sz w:val="14"/>
                <w:szCs w:val="14"/>
                <w:lang w:val="es-ES"/>
              </w:rPr>
            </w:pP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Aplicaciones informáticas</w:t>
            </w:r>
          </w:p>
        </w:tc>
        <w:tc>
          <w:tcPr>
            <w:tcW w:w="1516" w:type="dxa"/>
            <w:tcBorders>
              <w:top w:val="nil"/>
              <w:left w:val="nil"/>
              <w:bottom w:val="single" w:sz="4" w:space="0" w:color="auto"/>
              <w:right w:val="single" w:sz="4" w:space="0" w:color="auto"/>
            </w:tcBorders>
            <w:shd w:val="clear" w:color="auto" w:fill="auto"/>
            <w:vAlign w:val="center"/>
            <w:hideMark/>
          </w:tcPr>
          <w:p w:rsidR="0090222C" w:rsidRPr="0090222C" w:rsidRDefault="0090222C" w:rsidP="0090222C">
            <w:pPr>
              <w:jc w:val="cente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vAlign w:val="center"/>
            <w:hideMark/>
          </w:tcPr>
          <w:p w:rsidR="0090222C" w:rsidRPr="0090222C" w:rsidRDefault="0090222C" w:rsidP="0090222C">
            <w:pPr>
              <w:jc w:val="cente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jc w:val="center"/>
              <w:rPr>
                <w:rFonts w:ascii="Lucida Bright" w:hAnsi="Lucida Bright" w:cs="Calibri"/>
                <w:b/>
                <w:bCs/>
                <w:sz w:val="14"/>
                <w:szCs w:val="14"/>
                <w:lang w:val="es-ES"/>
              </w:rPr>
            </w:pPr>
            <w:r w:rsidRPr="0090222C">
              <w:rPr>
                <w:rFonts w:ascii="Lucida Bright" w:hAnsi="Lucida Bright" w:cs="Calibri"/>
                <w:b/>
                <w:bCs/>
                <w:sz w:val="14"/>
                <w:szCs w:val="14"/>
                <w:lang w:val="es-ES"/>
              </w:rPr>
              <w:t>TOTAL INMOVILIZADO INTANGIBLE</w:t>
            </w:r>
          </w:p>
        </w:tc>
        <w:tc>
          <w:tcPr>
            <w:tcW w:w="1516" w:type="dxa"/>
            <w:tcBorders>
              <w:top w:val="nil"/>
              <w:left w:val="nil"/>
              <w:bottom w:val="single" w:sz="4" w:space="0" w:color="auto"/>
              <w:right w:val="single" w:sz="4" w:space="0" w:color="auto"/>
            </w:tcBorders>
            <w:shd w:val="clear" w:color="auto" w:fill="auto"/>
            <w:noWrap/>
            <w:vAlign w:val="center"/>
            <w:hideMark/>
          </w:tcPr>
          <w:p w:rsidR="0090222C" w:rsidRPr="0090222C" w:rsidRDefault="0090222C" w:rsidP="0090222C">
            <w:pPr>
              <w:jc w:val="right"/>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xml:space="preserve">- </w:t>
            </w:r>
          </w:p>
        </w:tc>
        <w:tc>
          <w:tcPr>
            <w:tcW w:w="1376" w:type="dxa"/>
            <w:tcBorders>
              <w:top w:val="nil"/>
              <w:left w:val="nil"/>
              <w:bottom w:val="single" w:sz="4" w:space="0" w:color="auto"/>
              <w:right w:val="single" w:sz="4" w:space="0" w:color="auto"/>
            </w:tcBorders>
            <w:shd w:val="clear" w:color="auto" w:fill="auto"/>
            <w:noWrap/>
            <w:vAlign w:val="center"/>
            <w:hideMark/>
          </w:tcPr>
          <w:p w:rsidR="0090222C" w:rsidRPr="0090222C" w:rsidRDefault="0090222C" w:rsidP="0090222C">
            <w:pPr>
              <w:jc w:val="right"/>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xml:space="preserve">-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rPr>
                <w:rFonts w:ascii="Lucida Bright" w:hAnsi="Lucida Bright" w:cs="Calibri"/>
                <w:b/>
                <w:bCs/>
                <w:sz w:val="14"/>
                <w:szCs w:val="14"/>
                <w:lang w:val="es-ES"/>
              </w:rPr>
            </w:pPr>
            <w:r w:rsidRPr="0090222C">
              <w:rPr>
                <w:rFonts w:ascii="Lucida Bright" w:hAnsi="Lucida Bright" w:cs="Calibri"/>
                <w:b/>
                <w:bCs/>
                <w:sz w:val="14"/>
                <w:szCs w:val="14"/>
                <w:lang w:val="es-ES"/>
              </w:rPr>
              <w:t xml:space="preserve"> a) Terrenos y bienes naturales</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rPr>
                <w:rFonts w:ascii="Lucida Bright" w:hAnsi="Lucida Bright" w:cs="Calibri"/>
                <w:b/>
                <w:bCs/>
                <w:sz w:val="14"/>
                <w:szCs w:val="14"/>
                <w:lang w:val="es-ES"/>
              </w:rPr>
            </w:pPr>
            <w:r w:rsidRPr="0090222C">
              <w:rPr>
                <w:rFonts w:ascii="Lucida Bright" w:hAnsi="Lucida Bright" w:cs="Calibri"/>
                <w:b/>
                <w:bCs/>
                <w:sz w:val="14"/>
                <w:szCs w:val="14"/>
                <w:lang w:val="es-ES"/>
              </w:rPr>
              <w:t xml:space="preserve"> b) Construcciones</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Accesos marítimos</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Obras de abrigo y defensa</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Obras de atraque</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Instalaciones para reparación de barcos</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353" w:type="dxa"/>
            <w:tcBorders>
              <w:top w:val="nil"/>
              <w:left w:val="single" w:sz="4" w:space="0" w:color="auto"/>
              <w:bottom w:val="single" w:sz="4" w:space="0" w:color="auto"/>
              <w:right w:val="nil"/>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Edificaciones</w:t>
            </w:r>
          </w:p>
        </w:tc>
        <w:tc>
          <w:tcPr>
            <w:tcW w:w="184" w:type="dxa"/>
            <w:tcBorders>
              <w:top w:val="nil"/>
              <w:left w:val="nil"/>
              <w:bottom w:val="single" w:sz="4" w:space="0" w:color="auto"/>
              <w:right w:val="single" w:sz="4" w:space="0" w:color="auto"/>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Instalaciones generales</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Pavimentos, calzadas y vías de circulación</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rPr>
                <w:rFonts w:ascii="Lucida Bright" w:hAnsi="Lucida Bright" w:cs="Calibri"/>
                <w:b/>
                <w:bCs/>
                <w:sz w:val="14"/>
                <w:szCs w:val="14"/>
                <w:lang w:val="es-ES"/>
              </w:rPr>
            </w:pPr>
            <w:r w:rsidRPr="0090222C">
              <w:rPr>
                <w:rFonts w:ascii="Lucida Bright" w:hAnsi="Lucida Bright" w:cs="Calibri"/>
                <w:b/>
                <w:bCs/>
                <w:sz w:val="14"/>
                <w:szCs w:val="14"/>
                <w:lang w:val="es-ES"/>
              </w:rPr>
              <w:t xml:space="preserve"> c) Equipamientos e instalaciones técnicas</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Instalaciones de ayuda a la navegación</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Equipos de manipulación de </w:t>
            </w:r>
            <w:r w:rsidR="00416638" w:rsidRPr="0090222C">
              <w:rPr>
                <w:rFonts w:ascii="Lucida Bright" w:hAnsi="Lucida Bright" w:cs="Calibri"/>
                <w:sz w:val="14"/>
                <w:szCs w:val="14"/>
                <w:lang w:val="es-ES"/>
              </w:rPr>
              <w:t>mercancías</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Material flotante</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Material ferroviario</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353" w:type="dxa"/>
            <w:tcBorders>
              <w:top w:val="nil"/>
              <w:left w:val="single" w:sz="4" w:space="0" w:color="auto"/>
              <w:bottom w:val="single" w:sz="4" w:space="0" w:color="auto"/>
              <w:right w:val="nil"/>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Equipo de taller</w:t>
            </w:r>
          </w:p>
        </w:tc>
        <w:tc>
          <w:tcPr>
            <w:tcW w:w="184" w:type="dxa"/>
            <w:tcBorders>
              <w:top w:val="nil"/>
              <w:left w:val="nil"/>
              <w:bottom w:val="single" w:sz="4" w:space="0" w:color="auto"/>
              <w:right w:val="single" w:sz="4" w:space="0" w:color="auto"/>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rPr>
                <w:rFonts w:ascii="Lucida Bright" w:hAnsi="Lucida Bright" w:cs="Calibri"/>
                <w:b/>
                <w:bCs/>
                <w:sz w:val="14"/>
                <w:szCs w:val="14"/>
                <w:lang w:val="es-ES"/>
              </w:rPr>
            </w:pPr>
            <w:r w:rsidRPr="0090222C">
              <w:rPr>
                <w:rFonts w:ascii="Lucida Bright" w:hAnsi="Lucida Bright" w:cs="Calibri"/>
                <w:b/>
                <w:bCs/>
                <w:sz w:val="14"/>
                <w:szCs w:val="14"/>
                <w:lang w:val="es-ES"/>
              </w:rPr>
              <w:t xml:space="preserve"> d) Otro inmovilizado</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w:t>
            </w:r>
          </w:p>
        </w:tc>
      </w:tr>
      <w:tr w:rsidR="0090222C" w:rsidRPr="0090222C" w:rsidTr="00660B76">
        <w:trPr>
          <w:trHeight w:val="210"/>
        </w:trPr>
        <w:tc>
          <w:tcPr>
            <w:tcW w:w="3353" w:type="dxa"/>
            <w:tcBorders>
              <w:top w:val="nil"/>
              <w:left w:val="single" w:sz="4" w:space="0" w:color="auto"/>
              <w:bottom w:val="single" w:sz="4" w:space="0" w:color="auto"/>
              <w:right w:val="nil"/>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Mobiliario</w:t>
            </w:r>
          </w:p>
        </w:tc>
        <w:tc>
          <w:tcPr>
            <w:tcW w:w="184" w:type="dxa"/>
            <w:tcBorders>
              <w:top w:val="nil"/>
              <w:left w:val="nil"/>
              <w:bottom w:val="single" w:sz="4" w:space="0" w:color="auto"/>
              <w:right w:val="single" w:sz="4" w:space="0" w:color="auto"/>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Equipos para proceso de información</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Elementos de transporte</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Otro inmovilizado material</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jc w:val="center"/>
              <w:rPr>
                <w:rFonts w:ascii="Lucida Bright" w:hAnsi="Lucida Bright" w:cs="Calibri"/>
                <w:b/>
                <w:bCs/>
                <w:sz w:val="14"/>
                <w:szCs w:val="14"/>
                <w:lang w:val="es-ES"/>
              </w:rPr>
            </w:pPr>
            <w:r w:rsidRPr="0090222C">
              <w:rPr>
                <w:rFonts w:ascii="Lucida Bright" w:hAnsi="Lucida Bright" w:cs="Calibri"/>
                <w:b/>
                <w:bCs/>
                <w:sz w:val="14"/>
                <w:szCs w:val="14"/>
                <w:lang w:val="es-ES"/>
              </w:rPr>
              <w:t>TOTAL INMOVILIZADO MATERIAL</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0222C" w:rsidRPr="0090222C" w:rsidRDefault="0090222C" w:rsidP="0090222C">
            <w:pPr>
              <w:rPr>
                <w:rFonts w:ascii="Lucida Bright" w:hAnsi="Lucida Bright" w:cs="Calibri"/>
                <w:b/>
                <w:bCs/>
                <w:sz w:val="14"/>
                <w:szCs w:val="14"/>
                <w:lang w:val="es-ES"/>
              </w:rPr>
            </w:pPr>
            <w:r w:rsidRPr="0090222C">
              <w:rPr>
                <w:rFonts w:ascii="Lucida Bright" w:hAnsi="Lucida Bright" w:cs="Calibri"/>
                <w:b/>
                <w:bCs/>
                <w:sz w:val="14"/>
                <w:szCs w:val="14"/>
                <w:lang w:val="es-ES"/>
              </w:rPr>
              <w:t xml:space="preserve"> b) Construcciones</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jc w:val="right"/>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xml:space="preserve">9.894.763,83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jc w:val="right"/>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xml:space="preserve">(2.439.023,27)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Accesos marítimos</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Obras de abrigo y defensa</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Obras de atraque</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jc w:val="right"/>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xml:space="preserve">2.581.727,51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jc w:val="right"/>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xml:space="preserve">(407.236,78)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Instalaciones para reparación de barcos</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Edificaciones</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jc w:val="right"/>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xml:space="preserve">5.983.123,60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jc w:val="right"/>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xml:space="preserve">(1.761.697,50)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Instalaciones generales</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jc w:val="right"/>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xml:space="preserve">1.317.628,05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jc w:val="right"/>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xml:space="preserve">(264.663,22)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Pavimentos, calzadas y vías de circulación</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jc w:val="right"/>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xml:space="preserve">12.284,67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jc w:val="right"/>
              <w:rPr>
                <w:rFonts w:ascii="Lucida Bright" w:hAnsi="Lucida Bright" w:cs="Calibri"/>
                <w:color w:val="000000"/>
                <w:sz w:val="14"/>
                <w:szCs w:val="14"/>
                <w:lang w:val="es-ES"/>
              </w:rPr>
            </w:pPr>
            <w:r w:rsidRPr="0090222C">
              <w:rPr>
                <w:rFonts w:ascii="Lucida Bright" w:hAnsi="Lucida Bright" w:cs="Calibri"/>
                <w:color w:val="000000"/>
                <w:sz w:val="14"/>
                <w:szCs w:val="14"/>
                <w:lang w:val="es-ES"/>
              </w:rPr>
              <w:t xml:space="preserve">(5.425,77)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jc w:val="center"/>
              <w:rPr>
                <w:rFonts w:ascii="Lucida Bright" w:hAnsi="Lucida Bright" w:cs="Calibri"/>
                <w:b/>
                <w:bCs/>
                <w:sz w:val="14"/>
                <w:szCs w:val="14"/>
                <w:lang w:val="es-ES"/>
              </w:rPr>
            </w:pPr>
            <w:r w:rsidRPr="0090222C">
              <w:rPr>
                <w:rFonts w:ascii="Lucida Bright" w:hAnsi="Lucida Bright" w:cs="Calibri"/>
                <w:b/>
                <w:bCs/>
                <w:sz w:val="14"/>
                <w:szCs w:val="14"/>
                <w:lang w:val="es-ES"/>
              </w:rPr>
              <w:t>TOTAL INVERSIONES INMOBILIARIAS</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jc w:val="right"/>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xml:space="preserve">9.894.763,83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jc w:val="right"/>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xml:space="preserve">(2.439.023,27)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222C" w:rsidRPr="0090222C" w:rsidRDefault="0090222C" w:rsidP="0090222C">
            <w:pPr>
              <w:rPr>
                <w:rFonts w:ascii="Lucida Bright" w:hAnsi="Lucida Bright" w:cs="Calibri"/>
                <w:sz w:val="14"/>
                <w:szCs w:val="14"/>
                <w:lang w:val="es-ES"/>
              </w:rPr>
            </w:pPr>
            <w:r w:rsidRPr="0090222C">
              <w:rPr>
                <w:rFonts w:ascii="Lucida Bright" w:hAnsi="Lucida Bright" w:cs="Calibri"/>
                <w:sz w:val="14"/>
                <w:szCs w:val="14"/>
                <w:lang w:val="es-ES"/>
              </w:rPr>
              <w:t xml:space="preserve">    Gastos y/o pérdidas de inmovilizado</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w:t>
            </w:r>
          </w:p>
        </w:tc>
      </w:tr>
      <w:tr w:rsidR="0090222C" w:rsidRPr="0090222C" w:rsidTr="00660B76">
        <w:trPr>
          <w:trHeight w:val="210"/>
        </w:trPr>
        <w:tc>
          <w:tcPr>
            <w:tcW w:w="3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22C" w:rsidRPr="0090222C" w:rsidRDefault="0090222C" w:rsidP="0090222C">
            <w:pPr>
              <w:jc w:val="center"/>
              <w:rPr>
                <w:rFonts w:ascii="Lucida Bright" w:hAnsi="Lucida Bright" w:cs="Calibri"/>
                <w:b/>
                <w:bCs/>
                <w:sz w:val="14"/>
                <w:szCs w:val="14"/>
                <w:lang w:val="es-ES"/>
              </w:rPr>
            </w:pPr>
            <w:r w:rsidRPr="0090222C">
              <w:rPr>
                <w:rFonts w:ascii="Lucida Bright" w:hAnsi="Lucida Bright" w:cs="Calibri"/>
                <w:b/>
                <w:bCs/>
                <w:sz w:val="14"/>
                <w:szCs w:val="14"/>
                <w:lang w:val="es-ES"/>
              </w:rPr>
              <w:t>ANTICIPOS E INMOVILIZADO EN CURSO</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w:t>
            </w:r>
          </w:p>
        </w:tc>
      </w:tr>
      <w:tr w:rsidR="0090222C" w:rsidRPr="0090222C" w:rsidTr="00660B76">
        <w:trPr>
          <w:trHeight w:val="210"/>
        </w:trPr>
        <w:tc>
          <w:tcPr>
            <w:tcW w:w="3353" w:type="dxa"/>
            <w:tcBorders>
              <w:top w:val="nil"/>
              <w:left w:val="single" w:sz="4" w:space="0" w:color="auto"/>
              <w:bottom w:val="single" w:sz="4" w:space="0" w:color="auto"/>
              <w:right w:val="nil"/>
            </w:tcBorders>
            <w:shd w:val="clear" w:color="auto" w:fill="auto"/>
            <w:noWrap/>
            <w:vAlign w:val="center"/>
            <w:hideMark/>
          </w:tcPr>
          <w:p w:rsidR="0090222C" w:rsidRPr="0090222C" w:rsidRDefault="0090222C" w:rsidP="0090222C">
            <w:pPr>
              <w:jc w:val="center"/>
              <w:rPr>
                <w:rFonts w:ascii="Lucida Bright" w:hAnsi="Lucida Bright" w:cs="Calibri"/>
                <w:b/>
                <w:bCs/>
                <w:sz w:val="14"/>
                <w:szCs w:val="14"/>
                <w:lang w:val="es-ES"/>
              </w:rPr>
            </w:pPr>
            <w:r w:rsidRPr="0090222C">
              <w:rPr>
                <w:rFonts w:ascii="Lucida Bright" w:hAnsi="Lucida Bright" w:cs="Calibri"/>
                <w:b/>
                <w:bCs/>
                <w:sz w:val="14"/>
                <w:szCs w:val="14"/>
                <w:lang w:val="es-ES"/>
              </w:rPr>
              <w:t>TOTAL</w:t>
            </w:r>
          </w:p>
        </w:tc>
        <w:tc>
          <w:tcPr>
            <w:tcW w:w="184" w:type="dxa"/>
            <w:tcBorders>
              <w:top w:val="nil"/>
              <w:left w:val="nil"/>
              <w:bottom w:val="single" w:sz="4" w:space="0" w:color="auto"/>
              <w:right w:val="single" w:sz="4" w:space="0" w:color="auto"/>
            </w:tcBorders>
            <w:shd w:val="clear" w:color="auto" w:fill="auto"/>
            <w:noWrap/>
            <w:vAlign w:val="center"/>
            <w:hideMark/>
          </w:tcPr>
          <w:p w:rsidR="0090222C" w:rsidRPr="0090222C" w:rsidRDefault="0090222C" w:rsidP="0090222C">
            <w:pPr>
              <w:jc w:val="center"/>
              <w:rPr>
                <w:rFonts w:ascii="Lucida Bright" w:hAnsi="Lucida Bright" w:cs="Calibri"/>
                <w:b/>
                <w:bCs/>
                <w:sz w:val="14"/>
                <w:szCs w:val="14"/>
                <w:lang w:val="es-ES"/>
              </w:rPr>
            </w:pPr>
            <w:r w:rsidRPr="0090222C">
              <w:rPr>
                <w:rFonts w:ascii="Lucida Bright" w:hAnsi="Lucida Bright" w:cs="Calibri"/>
                <w:b/>
                <w:bCs/>
                <w:sz w:val="14"/>
                <w:szCs w:val="14"/>
                <w:lang w:val="es-ES"/>
              </w:rPr>
              <w:t> </w:t>
            </w:r>
          </w:p>
        </w:tc>
        <w:tc>
          <w:tcPr>
            <w:tcW w:w="151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jc w:val="right"/>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xml:space="preserve">9.894.763,83 </w:t>
            </w:r>
          </w:p>
        </w:tc>
        <w:tc>
          <w:tcPr>
            <w:tcW w:w="1376" w:type="dxa"/>
            <w:tcBorders>
              <w:top w:val="nil"/>
              <w:left w:val="nil"/>
              <w:bottom w:val="single" w:sz="4" w:space="0" w:color="auto"/>
              <w:right w:val="single" w:sz="4" w:space="0" w:color="auto"/>
            </w:tcBorders>
            <w:shd w:val="clear" w:color="auto" w:fill="auto"/>
            <w:noWrap/>
            <w:vAlign w:val="bottom"/>
            <w:hideMark/>
          </w:tcPr>
          <w:p w:rsidR="0090222C" w:rsidRPr="0090222C" w:rsidRDefault="0090222C" w:rsidP="0090222C">
            <w:pPr>
              <w:jc w:val="right"/>
              <w:rPr>
                <w:rFonts w:ascii="Lucida Bright" w:hAnsi="Lucida Bright" w:cs="Calibri"/>
                <w:b/>
                <w:bCs/>
                <w:color w:val="000000"/>
                <w:sz w:val="14"/>
                <w:szCs w:val="14"/>
                <w:lang w:val="es-ES"/>
              </w:rPr>
            </w:pPr>
            <w:r w:rsidRPr="0090222C">
              <w:rPr>
                <w:rFonts w:ascii="Lucida Bright" w:hAnsi="Lucida Bright" w:cs="Calibri"/>
                <w:b/>
                <w:bCs/>
                <w:color w:val="000000"/>
                <w:sz w:val="14"/>
                <w:szCs w:val="14"/>
                <w:lang w:val="es-ES"/>
              </w:rPr>
              <w:t xml:space="preserve">(2.439.023,27) </w:t>
            </w:r>
          </w:p>
        </w:tc>
      </w:tr>
    </w:tbl>
    <w:p w:rsidR="008C2FF8" w:rsidRDefault="008C2FF8" w:rsidP="008C2FF8">
      <w:pPr>
        <w:pStyle w:val="Prrafodelista"/>
        <w:spacing w:before="100" w:after="100"/>
        <w:ind w:left="0"/>
        <w:jc w:val="both"/>
        <w:rPr>
          <w:rFonts w:ascii="NewBaskerville" w:hAnsi="NewBaskerville"/>
        </w:rPr>
      </w:pPr>
    </w:p>
    <w:p w:rsidR="008C2FF8" w:rsidRDefault="008C2FF8" w:rsidP="008C2FF8">
      <w:pPr>
        <w:pStyle w:val="Prrafodelista"/>
        <w:spacing w:before="100" w:after="100"/>
        <w:ind w:left="0"/>
        <w:jc w:val="both"/>
        <w:rPr>
          <w:rFonts w:ascii="NewBaskerville" w:hAnsi="NewBaskerville"/>
        </w:rPr>
      </w:pPr>
    </w:p>
    <w:p w:rsidR="008C2FF8" w:rsidRDefault="008C2FF8" w:rsidP="008C2FF8">
      <w:pPr>
        <w:pStyle w:val="Prrafodelista"/>
        <w:spacing w:before="100" w:after="100"/>
        <w:ind w:left="0"/>
        <w:jc w:val="both"/>
        <w:rPr>
          <w:rFonts w:ascii="NewBaskerville" w:hAnsi="NewBaskerville"/>
        </w:rPr>
      </w:pPr>
    </w:p>
    <w:p w:rsidR="008C2FF8" w:rsidRDefault="008C2FF8" w:rsidP="008C2FF8">
      <w:pPr>
        <w:pStyle w:val="Prrafodelista"/>
        <w:spacing w:before="100" w:after="100"/>
        <w:ind w:left="0"/>
        <w:jc w:val="both"/>
        <w:rPr>
          <w:rFonts w:ascii="NewBaskerville" w:hAnsi="NewBaskerville"/>
        </w:rPr>
      </w:pPr>
    </w:p>
    <w:p w:rsidR="008C2FF8" w:rsidRDefault="008C2FF8" w:rsidP="008C2FF8">
      <w:pPr>
        <w:pStyle w:val="Prrafodelista"/>
        <w:spacing w:before="100" w:after="100"/>
        <w:ind w:left="0"/>
        <w:jc w:val="both"/>
        <w:rPr>
          <w:rFonts w:ascii="NewBaskerville" w:hAnsi="NewBaskerville"/>
        </w:rPr>
      </w:pPr>
    </w:p>
    <w:p w:rsidR="008C2FF8" w:rsidRDefault="008C2FF8" w:rsidP="002358D1">
      <w:pPr>
        <w:pStyle w:val="Prrafodelista"/>
        <w:spacing w:before="100" w:after="100"/>
        <w:ind w:left="0" w:firstLine="709"/>
        <w:jc w:val="both"/>
        <w:rPr>
          <w:rFonts w:ascii="NewBaskerville" w:hAnsi="NewBaskerville"/>
        </w:rPr>
      </w:pPr>
    </w:p>
    <w:p w:rsidR="0046575F" w:rsidRDefault="0046575F" w:rsidP="002358D1">
      <w:pPr>
        <w:pStyle w:val="Prrafodelista"/>
        <w:spacing w:before="100" w:after="100"/>
        <w:ind w:left="0" w:firstLine="709"/>
        <w:jc w:val="both"/>
        <w:rPr>
          <w:rFonts w:ascii="NewBaskerville" w:hAnsi="NewBaskerville"/>
        </w:rPr>
      </w:pPr>
    </w:p>
    <w:p w:rsidR="008C2FF8" w:rsidRDefault="008C2FF8" w:rsidP="002358D1">
      <w:pPr>
        <w:pStyle w:val="Prrafodelista"/>
        <w:spacing w:before="100" w:after="100"/>
        <w:ind w:left="0" w:firstLine="709"/>
        <w:jc w:val="both"/>
        <w:rPr>
          <w:rFonts w:ascii="NewBaskerville" w:hAnsi="NewBaskerville"/>
        </w:rPr>
      </w:pPr>
    </w:p>
    <w:p w:rsidR="008C2FF8" w:rsidRDefault="008C2FF8" w:rsidP="002358D1">
      <w:pPr>
        <w:pStyle w:val="Prrafodelista"/>
        <w:spacing w:before="100" w:after="100"/>
        <w:ind w:left="0" w:firstLine="709"/>
        <w:jc w:val="both"/>
        <w:rPr>
          <w:rFonts w:ascii="NewBaskerville" w:hAnsi="NewBaskerville"/>
        </w:rPr>
      </w:pPr>
    </w:p>
    <w:p w:rsidR="008C2FF8" w:rsidRDefault="008C2FF8" w:rsidP="002358D1">
      <w:pPr>
        <w:pStyle w:val="Prrafodelista"/>
        <w:spacing w:before="100" w:after="100"/>
        <w:ind w:left="0" w:firstLine="709"/>
        <w:jc w:val="both"/>
        <w:rPr>
          <w:rFonts w:ascii="NewBaskerville" w:hAnsi="NewBaskerville"/>
        </w:rPr>
      </w:pPr>
    </w:p>
    <w:p w:rsidR="0030255B" w:rsidRDefault="005B1077" w:rsidP="00F333F2">
      <w:pPr>
        <w:pStyle w:val="Prrafodelista"/>
        <w:spacing w:before="100" w:after="100"/>
        <w:ind w:left="646"/>
        <w:jc w:val="both"/>
        <w:rPr>
          <w:rFonts w:ascii="NewBaskerville" w:hAnsi="NewBaskerville"/>
        </w:rPr>
      </w:pPr>
      <w:r>
        <w:rPr>
          <w:rFonts w:ascii="NewBaskerville" w:hAnsi="NewBaskerville"/>
        </w:rPr>
        <w:lastRenderedPageBreak/>
        <w:t xml:space="preserve">g.1.) </w:t>
      </w:r>
      <w:r w:rsidR="009E448A">
        <w:rPr>
          <w:rFonts w:ascii="NewBaskerville" w:hAnsi="NewBaskerville"/>
        </w:rPr>
        <w:t>Naturaleza de los errores y ejercicios en que se produjeron:</w:t>
      </w: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E42878" w:rsidRPr="00E42878" w:rsidTr="00E42878">
        <w:trPr>
          <w:trHeight w:val="300"/>
        </w:trPr>
        <w:tc>
          <w:tcPr>
            <w:tcW w:w="4840" w:type="dxa"/>
            <w:tcBorders>
              <w:top w:val="nil"/>
              <w:left w:val="nil"/>
              <w:bottom w:val="nil"/>
              <w:right w:val="nil"/>
            </w:tcBorders>
            <w:shd w:val="clear" w:color="000000" w:fill="FFFFFF"/>
            <w:noWrap/>
            <w:vAlign w:val="bottom"/>
            <w:hideMark/>
          </w:tcPr>
          <w:p w:rsidR="00E42878" w:rsidRPr="00E42878" w:rsidRDefault="00E42878" w:rsidP="00E42878">
            <w:pPr>
              <w:rPr>
                <w:rFonts w:ascii="Lucida Bright" w:hAnsi="Lucida Bright" w:cs="Calibri"/>
                <w:b/>
                <w:bCs/>
                <w:sz w:val="16"/>
                <w:szCs w:val="16"/>
                <w:lang w:val="es-ES"/>
              </w:rPr>
            </w:pPr>
            <w:r w:rsidRPr="00E42878">
              <w:rPr>
                <w:rFonts w:ascii="Lucida Bright" w:hAnsi="Lucida Bright" w:cs="Calibri"/>
                <w:b/>
                <w:bCs/>
                <w:sz w:val="16"/>
                <w:szCs w:val="16"/>
                <w:lang w:val="es-ES"/>
              </w:rPr>
              <w:t>Balance al cierre del ejercicio</w:t>
            </w:r>
          </w:p>
        </w:tc>
        <w:tc>
          <w:tcPr>
            <w:tcW w:w="1720" w:type="dxa"/>
            <w:tcBorders>
              <w:top w:val="nil"/>
              <w:left w:val="nil"/>
              <w:bottom w:val="nil"/>
              <w:right w:val="nil"/>
            </w:tcBorders>
            <w:shd w:val="clear" w:color="000000" w:fill="FFFFFF"/>
            <w:noWrap/>
            <w:vAlign w:val="bottom"/>
            <w:hideMark/>
          </w:tcPr>
          <w:p w:rsidR="00E42878" w:rsidRPr="00E42878" w:rsidRDefault="00E42878" w:rsidP="00E42878">
            <w:pPr>
              <w:rPr>
                <w:rFonts w:ascii="Lucida Bright" w:hAnsi="Lucida Bright" w:cs="Calibri"/>
                <w:b/>
                <w:bCs/>
                <w:sz w:val="16"/>
                <w:szCs w:val="16"/>
                <w:lang w:val="es-ES"/>
              </w:rPr>
            </w:pPr>
            <w:r w:rsidRPr="00E42878">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E42878" w:rsidRPr="00E42878" w:rsidRDefault="00E42878" w:rsidP="00E42878">
            <w:pPr>
              <w:rPr>
                <w:rFonts w:ascii="Lucida Bright" w:hAnsi="Lucida Bright" w:cs="Calibri"/>
                <w:sz w:val="16"/>
                <w:szCs w:val="16"/>
                <w:lang w:val="es-ES"/>
              </w:rPr>
            </w:pPr>
            <w:r w:rsidRPr="00E42878">
              <w:rPr>
                <w:rFonts w:ascii="Lucida Bright" w:hAnsi="Lucida Bright" w:cs="Calibri"/>
                <w:sz w:val="16"/>
                <w:szCs w:val="16"/>
                <w:lang w:val="es-ES"/>
              </w:rPr>
              <w:t>(en euros)</w:t>
            </w:r>
          </w:p>
        </w:tc>
      </w:tr>
      <w:tr w:rsidR="00E42878" w:rsidRPr="00E42878" w:rsidTr="00E42878">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2000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2000 Imputación en patrimonio neto</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(263.313,95) </w:t>
            </w:r>
          </w:p>
        </w:tc>
        <w:tc>
          <w:tcPr>
            <w:tcW w:w="1720" w:type="dxa"/>
            <w:tcBorders>
              <w:top w:val="nil"/>
              <w:left w:val="nil"/>
              <w:bottom w:val="nil"/>
              <w:right w:val="single" w:sz="4" w:space="0" w:color="auto"/>
            </w:tcBorders>
            <w:shd w:val="clear" w:color="000000" w:fill="CCFFCC"/>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(263.313,95)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(263.313,95)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E42878" w:rsidRPr="00E42878" w:rsidRDefault="00E42878" w:rsidP="00E42878">
            <w:pPr>
              <w:rPr>
                <w:rFonts w:ascii="Lucida Bright" w:hAnsi="Lucida Bright" w:cs="Calibri"/>
                <w:b/>
                <w:bCs/>
                <w:sz w:val="16"/>
                <w:szCs w:val="16"/>
                <w:lang w:val="es-ES"/>
              </w:rPr>
            </w:pPr>
            <w:r w:rsidRPr="00E42878">
              <w:rPr>
                <w:rFonts w:ascii="Lucida Bright" w:hAnsi="Lucida Bright" w:cs="Calibri"/>
                <w:b/>
                <w:bCs/>
                <w:sz w:val="16"/>
                <w:szCs w:val="16"/>
                <w:lang w:val="es-ES"/>
              </w:rPr>
              <w:t xml:space="preserve">Cuenta de Pérdidas y Ganancias correspondiente al ejercicio terminado </w:t>
            </w:r>
            <w:r w:rsidRPr="00E42878">
              <w:rPr>
                <w:rFonts w:ascii="Lucida Bright" w:hAnsi="Lucida Bright" w:cs="Calibri"/>
                <w:sz w:val="16"/>
                <w:szCs w:val="16"/>
                <w:lang w:val="es-ES"/>
              </w:rPr>
              <w:t>(en euros)</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(Debe) Haber</w:t>
            </w:r>
          </w:p>
        </w:tc>
      </w:tr>
      <w:tr w:rsidR="00E42878" w:rsidRPr="00E42878" w:rsidTr="00E42878">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2000 ajustes</w:t>
            </w:r>
          </w:p>
        </w:tc>
        <w:tc>
          <w:tcPr>
            <w:tcW w:w="1720" w:type="dxa"/>
            <w:tcBorders>
              <w:top w:val="nil"/>
              <w:left w:val="nil"/>
              <w:bottom w:val="single" w:sz="4" w:space="0" w:color="auto"/>
              <w:right w:val="single" w:sz="4" w:space="0" w:color="auto"/>
            </w:tcBorders>
            <w:shd w:val="clear" w:color="000000" w:fill="CCFFCC"/>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2000 Imputación en patrimonio neto</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60"/>
        </w:trPr>
        <w:tc>
          <w:tcPr>
            <w:tcW w:w="4840" w:type="dxa"/>
            <w:tcBorders>
              <w:top w:val="nil"/>
              <w:left w:val="single" w:sz="4" w:space="0" w:color="auto"/>
              <w:bottom w:val="nil"/>
              <w:right w:val="nil"/>
            </w:tcBorders>
            <w:shd w:val="clear" w:color="auto" w:fill="auto"/>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300" w:firstLine="420"/>
              <w:rPr>
                <w:rFonts w:ascii="Lucida Bright" w:hAnsi="Lucida Bright" w:cs="Calibri"/>
                <w:i/>
                <w:iCs/>
                <w:sz w:val="14"/>
                <w:szCs w:val="14"/>
                <w:lang w:val="es-ES"/>
              </w:rPr>
            </w:pPr>
            <w:r w:rsidRPr="00E42878">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300" w:firstLine="420"/>
              <w:rPr>
                <w:rFonts w:ascii="Lucida Bright" w:hAnsi="Lucida Bright" w:cs="Calibri"/>
                <w:i/>
                <w:iCs/>
                <w:sz w:val="14"/>
                <w:szCs w:val="14"/>
                <w:lang w:val="es-ES"/>
              </w:rPr>
            </w:pPr>
            <w:r w:rsidRPr="00E42878">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(263.313,95)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(263.313,95)  </w:t>
            </w:r>
          </w:p>
        </w:tc>
        <w:tc>
          <w:tcPr>
            <w:tcW w:w="1720" w:type="dxa"/>
            <w:tcBorders>
              <w:top w:val="nil"/>
              <w:left w:val="nil"/>
              <w:bottom w:val="single" w:sz="4" w:space="0" w:color="auto"/>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(263.313,95)  </w:t>
            </w:r>
          </w:p>
        </w:tc>
      </w:tr>
    </w:tbl>
    <w:p w:rsidR="009E448A" w:rsidRDefault="009E448A"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46575F" w:rsidRDefault="0046575F"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E42878" w:rsidRPr="00E42878" w:rsidTr="00E42878">
        <w:trPr>
          <w:trHeight w:val="300"/>
        </w:trPr>
        <w:tc>
          <w:tcPr>
            <w:tcW w:w="4840" w:type="dxa"/>
            <w:tcBorders>
              <w:top w:val="nil"/>
              <w:left w:val="nil"/>
              <w:bottom w:val="nil"/>
              <w:right w:val="nil"/>
            </w:tcBorders>
            <w:shd w:val="clear" w:color="000000" w:fill="FFFFFF"/>
            <w:noWrap/>
            <w:vAlign w:val="bottom"/>
            <w:hideMark/>
          </w:tcPr>
          <w:p w:rsidR="00E42878" w:rsidRPr="00E42878" w:rsidRDefault="00E42878" w:rsidP="00E42878">
            <w:pPr>
              <w:rPr>
                <w:rFonts w:ascii="Lucida Bright" w:hAnsi="Lucida Bright" w:cs="Calibri"/>
                <w:b/>
                <w:bCs/>
                <w:sz w:val="16"/>
                <w:szCs w:val="16"/>
                <w:lang w:val="es-ES"/>
              </w:rPr>
            </w:pPr>
            <w:r w:rsidRPr="00E42878">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E42878" w:rsidRPr="00E42878" w:rsidRDefault="00E42878" w:rsidP="00E42878">
            <w:pPr>
              <w:rPr>
                <w:rFonts w:ascii="Lucida Bright" w:hAnsi="Lucida Bright" w:cs="Calibri"/>
                <w:b/>
                <w:bCs/>
                <w:sz w:val="16"/>
                <w:szCs w:val="16"/>
                <w:lang w:val="es-ES"/>
              </w:rPr>
            </w:pPr>
            <w:r w:rsidRPr="00E42878">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E42878" w:rsidRPr="00E42878" w:rsidRDefault="00E42878" w:rsidP="00E42878">
            <w:pPr>
              <w:rPr>
                <w:rFonts w:ascii="Lucida Bright" w:hAnsi="Lucida Bright" w:cs="Calibri"/>
                <w:sz w:val="16"/>
                <w:szCs w:val="16"/>
                <w:lang w:val="es-ES"/>
              </w:rPr>
            </w:pPr>
            <w:r w:rsidRPr="00E42878">
              <w:rPr>
                <w:rFonts w:ascii="Lucida Bright" w:hAnsi="Lucida Bright" w:cs="Calibri"/>
                <w:sz w:val="16"/>
                <w:szCs w:val="16"/>
                <w:lang w:val="es-ES"/>
              </w:rPr>
              <w:t>(en euros)</w:t>
            </w:r>
          </w:p>
        </w:tc>
      </w:tr>
      <w:tr w:rsidR="00E42878" w:rsidRPr="00E42878" w:rsidTr="00E42878">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2001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2001 Imputación en patrimonio neto</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(30.050,61) </w:t>
            </w:r>
          </w:p>
        </w:tc>
        <w:tc>
          <w:tcPr>
            <w:tcW w:w="1720" w:type="dxa"/>
            <w:tcBorders>
              <w:top w:val="nil"/>
              <w:left w:val="nil"/>
              <w:bottom w:val="nil"/>
              <w:right w:val="single" w:sz="4" w:space="0" w:color="auto"/>
            </w:tcBorders>
            <w:shd w:val="clear" w:color="000000" w:fill="CCFFCC"/>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(30.050,61)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(30.050,61)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E42878" w:rsidRPr="00E42878" w:rsidRDefault="00E42878" w:rsidP="00E42878">
            <w:pPr>
              <w:rPr>
                <w:rFonts w:ascii="Lucida Bright" w:hAnsi="Lucida Bright" w:cs="Calibri"/>
                <w:b/>
                <w:bCs/>
                <w:sz w:val="16"/>
                <w:szCs w:val="16"/>
                <w:lang w:val="es-ES"/>
              </w:rPr>
            </w:pPr>
            <w:r w:rsidRPr="00E42878">
              <w:rPr>
                <w:rFonts w:ascii="Lucida Bright" w:hAnsi="Lucida Bright" w:cs="Calibri"/>
                <w:b/>
                <w:bCs/>
                <w:sz w:val="16"/>
                <w:szCs w:val="16"/>
                <w:lang w:val="es-ES"/>
              </w:rPr>
              <w:t xml:space="preserve">Cuenta de Pérdidas y Ganancias correspondiente al ejercicio terminado </w:t>
            </w:r>
            <w:r w:rsidRPr="00E42878">
              <w:rPr>
                <w:rFonts w:ascii="Lucida Bright" w:hAnsi="Lucida Bright" w:cs="Calibri"/>
                <w:sz w:val="16"/>
                <w:szCs w:val="16"/>
                <w:lang w:val="es-ES"/>
              </w:rPr>
              <w:t>(en euros)</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(Debe) Haber</w:t>
            </w:r>
          </w:p>
        </w:tc>
      </w:tr>
      <w:tr w:rsidR="00E42878" w:rsidRPr="00E42878" w:rsidTr="00E42878">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2001 ajustes</w:t>
            </w:r>
          </w:p>
        </w:tc>
        <w:tc>
          <w:tcPr>
            <w:tcW w:w="1720" w:type="dxa"/>
            <w:tcBorders>
              <w:top w:val="nil"/>
              <w:left w:val="nil"/>
              <w:bottom w:val="single" w:sz="4" w:space="0" w:color="auto"/>
              <w:right w:val="single" w:sz="4" w:space="0" w:color="auto"/>
            </w:tcBorders>
            <w:shd w:val="clear" w:color="000000" w:fill="CCFFCC"/>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2001 Imputación en patrimonio neto</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300" w:firstLine="420"/>
              <w:rPr>
                <w:rFonts w:ascii="Lucida Bright" w:hAnsi="Lucida Bright" w:cs="Calibri"/>
                <w:i/>
                <w:iCs/>
                <w:sz w:val="14"/>
                <w:szCs w:val="14"/>
                <w:lang w:val="es-ES"/>
              </w:rPr>
            </w:pPr>
            <w:r w:rsidRPr="00E42878">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300" w:firstLine="420"/>
              <w:rPr>
                <w:rFonts w:ascii="Lucida Bright" w:hAnsi="Lucida Bright" w:cs="Calibri"/>
                <w:i/>
                <w:iCs/>
                <w:sz w:val="14"/>
                <w:szCs w:val="14"/>
                <w:lang w:val="es-ES"/>
              </w:rPr>
            </w:pPr>
            <w:r w:rsidRPr="00E42878">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(30.050,61)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(30.050,61)  </w:t>
            </w:r>
          </w:p>
        </w:tc>
        <w:tc>
          <w:tcPr>
            <w:tcW w:w="1720" w:type="dxa"/>
            <w:tcBorders>
              <w:top w:val="nil"/>
              <w:left w:val="nil"/>
              <w:bottom w:val="single" w:sz="4" w:space="0" w:color="auto"/>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(30.050,61)  </w:t>
            </w:r>
          </w:p>
        </w:tc>
      </w:tr>
    </w:tbl>
    <w:p w:rsidR="009E448A" w:rsidRDefault="009E448A"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E42878" w:rsidRPr="00E42878" w:rsidTr="00E42878">
        <w:trPr>
          <w:trHeight w:val="300"/>
        </w:trPr>
        <w:tc>
          <w:tcPr>
            <w:tcW w:w="4840" w:type="dxa"/>
            <w:tcBorders>
              <w:top w:val="nil"/>
              <w:left w:val="nil"/>
              <w:bottom w:val="nil"/>
              <w:right w:val="nil"/>
            </w:tcBorders>
            <w:shd w:val="clear" w:color="000000" w:fill="FFFFFF"/>
            <w:noWrap/>
            <w:vAlign w:val="bottom"/>
            <w:hideMark/>
          </w:tcPr>
          <w:p w:rsidR="00E42878" w:rsidRPr="00E42878" w:rsidRDefault="00E42878" w:rsidP="00E42878">
            <w:pPr>
              <w:rPr>
                <w:rFonts w:ascii="Lucida Bright" w:hAnsi="Lucida Bright" w:cs="Calibri"/>
                <w:b/>
                <w:bCs/>
                <w:sz w:val="16"/>
                <w:szCs w:val="16"/>
                <w:lang w:val="es-ES"/>
              </w:rPr>
            </w:pPr>
            <w:r w:rsidRPr="00E42878">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E42878" w:rsidRPr="00E42878" w:rsidRDefault="00E42878" w:rsidP="00E42878">
            <w:pPr>
              <w:rPr>
                <w:rFonts w:ascii="Lucida Bright" w:hAnsi="Lucida Bright" w:cs="Calibri"/>
                <w:b/>
                <w:bCs/>
                <w:sz w:val="16"/>
                <w:szCs w:val="16"/>
                <w:lang w:val="es-ES"/>
              </w:rPr>
            </w:pPr>
            <w:r w:rsidRPr="00E42878">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E42878" w:rsidRPr="00E42878" w:rsidRDefault="00E42878" w:rsidP="00E42878">
            <w:pPr>
              <w:rPr>
                <w:rFonts w:ascii="Lucida Bright" w:hAnsi="Lucida Bright" w:cs="Calibri"/>
                <w:sz w:val="16"/>
                <w:szCs w:val="16"/>
                <w:lang w:val="es-ES"/>
              </w:rPr>
            </w:pPr>
            <w:r w:rsidRPr="00E42878">
              <w:rPr>
                <w:rFonts w:ascii="Lucida Bright" w:hAnsi="Lucida Bright" w:cs="Calibri"/>
                <w:sz w:val="16"/>
                <w:szCs w:val="16"/>
                <w:lang w:val="es-ES"/>
              </w:rPr>
              <w:t>(en euros)</w:t>
            </w:r>
          </w:p>
        </w:tc>
      </w:tr>
      <w:tr w:rsidR="00E42878" w:rsidRPr="00E42878" w:rsidTr="00E42878">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2002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2002 Imputación en patrimonio neto</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(213.911,86) </w:t>
            </w:r>
          </w:p>
        </w:tc>
        <w:tc>
          <w:tcPr>
            <w:tcW w:w="1720" w:type="dxa"/>
            <w:tcBorders>
              <w:top w:val="nil"/>
              <w:left w:val="nil"/>
              <w:bottom w:val="nil"/>
              <w:right w:val="single" w:sz="4" w:space="0" w:color="auto"/>
            </w:tcBorders>
            <w:shd w:val="clear" w:color="000000" w:fill="CCFFCC"/>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(213.911,86)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(213.911,86)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E42878" w:rsidRPr="00E42878" w:rsidRDefault="00E42878" w:rsidP="00E42878">
            <w:pPr>
              <w:rPr>
                <w:rFonts w:ascii="Lucida Bright" w:hAnsi="Lucida Bright" w:cs="Calibri"/>
                <w:b/>
                <w:bCs/>
                <w:sz w:val="16"/>
                <w:szCs w:val="16"/>
                <w:lang w:val="es-ES"/>
              </w:rPr>
            </w:pPr>
            <w:r w:rsidRPr="00E42878">
              <w:rPr>
                <w:rFonts w:ascii="Lucida Bright" w:hAnsi="Lucida Bright" w:cs="Calibri"/>
                <w:b/>
                <w:bCs/>
                <w:sz w:val="16"/>
                <w:szCs w:val="16"/>
                <w:lang w:val="es-ES"/>
              </w:rPr>
              <w:t xml:space="preserve">Cuenta de Pérdidas y Ganancias correspondiente al ejercicio terminado </w:t>
            </w:r>
            <w:r w:rsidRPr="00E42878">
              <w:rPr>
                <w:rFonts w:ascii="Lucida Bright" w:hAnsi="Lucida Bright" w:cs="Calibri"/>
                <w:sz w:val="16"/>
                <w:szCs w:val="16"/>
                <w:lang w:val="es-ES"/>
              </w:rPr>
              <w:t>(en euros)</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(Debe) Haber</w:t>
            </w:r>
          </w:p>
        </w:tc>
      </w:tr>
      <w:tr w:rsidR="00E42878" w:rsidRPr="00E42878" w:rsidTr="00E42878">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2002 ajustes</w:t>
            </w:r>
          </w:p>
        </w:tc>
        <w:tc>
          <w:tcPr>
            <w:tcW w:w="1720" w:type="dxa"/>
            <w:tcBorders>
              <w:top w:val="nil"/>
              <w:left w:val="nil"/>
              <w:bottom w:val="single" w:sz="4" w:space="0" w:color="auto"/>
              <w:right w:val="single" w:sz="4" w:space="0" w:color="auto"/>
            </w:tcBorders>
            <w:shd w:val="clear" w:color="000000" w:fill="CCFFCC"/>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2002 Imputación en patrimonio neto</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300" w:firstLine="420"/>
              <w:rPr>
                <w:rFonts w:ascii="Lucida Bright" w:hAnsi="Lucida Bright" w:cs="Calibri"/>
                <w:i/>
                <w:iCs/>
                <w:sz w:val="14"/>
                <w:szCs w:val="14"/>
                <w:lang w:val="es-ES"/>
              </w:rPr>
            </w:pPr>
            <w:r w:rsidRPr="00E42878">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300" w:firstLine="420"/>
              <w:rPr>
                <w:rFonts w:ascii="Lucida Bright" w:hAnsi="Lucida Bright" w:cs="Calibri"/>
                <w:i/>
                <w:iCs/>
                <w:sz w:val="14"/>
                <w:szCs w:val="14"/>
                <w:lang w:val="es-ES"/>
              </w:rPr>
            </w:pPr>
            <w:r w:rsidRPr="00E42878">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(213.911,86)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(213.911,86)  </w:t>
            </w:r>
          </w:p>
        </w:tc>
        <w:tc>
          <w:tcPr>
            <w:tcW w:w="1720" w:type="dxa"/>
            <w:tcBorders>
              <w:top w:val="nil"/>
              <w:left w:val="nil"/>
              <w:bottom w:val="single" w:sz="4" w:space="0" w:color="auto"/>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(213.911,86)  </w:t>
            </w:r>
          </w:p>
        </w:tc>
      </w:tr>
    </w:tbl>
    <w:p w:rsidR="00E42878" w:rsidRDefault="00E42878"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E42878" w:rsidRPr="00E42878" w:rsidTr="00E42878">
        <w:trPr>
          <w:trHeight w:val="300"/>
        </w:trPr>
        <w:tc>
          <w:tcPr>
            <w:tcW w:w="4840" w:type="dxa"/>
            <w:tcBorders>
              <w:top w:val="nil"/>
              <w:left w:val="nil"/>
              <w:bottom w:val="nil"/>
              <w:right w:val="nil"/>
            </w:tcBorders>
            <w:shd w:val="clear" w:color="000000" w:fill="FFFFFF"/>
            <w:noWrap/>
            <w:vAlign w:val="bottom"/>
            <w:hideMark/>
          </w:tcPr>
          <w:p w:rsidR="00E42878" w:rsidRPr="00E42878" w:rsidRDefault="00E42878" w:rsidP="00E42878">
            <w:pPr>
              <w:rPr>
                <w:rFonts w:ascii="Lucida Bright" w:hAnsi="Lucida Bright" w:cs="Calibri"/>
                <w:b/>
                <w:bCs/>
                <w:sz w:val="16"/>
                <w:szCs w:val="16"/>
                <w:lang w:val="es-ES"/>
              </w:rPr>
            </w:pPr>
            <w:r w:rsidRPr="00E42878">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E42878" w:rsidRPr="00E42878" w:rsidRDefault="00E42878" w:rsidP="00E42878">
            <w:pPr>
              <w:rPr>
                <w:rFonts w:ascii="Lucida Bright" w:hAnsi="Lucida Bright" w:cs="Calibri"/>
                <w:b/>
                <w:bCs/>
                <w:sz w:val="16"/>
                <w:szCs w:val="16"/>
                <w:lang w:val="es-ES"/>
              </w:rPr>
            </w:pPr>
            <w:r w:rsidRPr="00E42878">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E42878" w:rsidRPr="00E42878" w:rsidRDefault="00E42878" w:rsidP="00E42878">
            <w:pPr>
              <w:rPr>
                <w:rFonts w:ascii="Lucida Bright" w:hAnsi="Lucida Bright" w:cs="Calibri"/>
                <w:sz w:val="16"/>
                <w:szCs w:val="16"/>
                <w:lang w:val="es-ES"/>
              </w:rPr>
            </w:pPr>
            <w:r w:rsidRPr="00E42878">
              <w:rPr>
                <w:rFonts w:ascii="Lucida Bright" w:hAnsi="Lucida Bright" w:cs="Calibri"/>
                <w:sz w:val="16"/>
                <w:szCs w:val="16"/>
                <w:lang w:val="es-ES"/>
              </w:rPr>
              <w:t>(en euros)</w:t>
            </w:r>
          </w:p>
        </w:tc>
      </w:tr>
      <w:tr w:rsidR="00E42878" w:rsidRPr="00E42878" w:rsidTr="00E42878">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2003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2003 Imputación en patrimonio neto</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(17.486,49) </w:t>
            </w:r>
          </w:p>
        </w:tc>
        <w:tc>
          <w:tcPr>
            <w:tcW w:w="1720" w:type="dxa"/>
            <w:tcBorders>
              <w:top w:val="nil"/>
              <w:left w:val="nil"/>
              <w:bottom w:val="nil"/>
              <w:right w:val="single" w:sz="4" w:space="0" w:color="auto"/>
            </w:tcBorders>
            <w:shd w:val="clear" w:color="000000" w:fill="CCFFCC"/>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(17.486,49)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(17.486,49)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E42878" w:rsidRPr="00E42878" w:rsidRDefault="00E42878" w:rsidP="00E42878">
            <w:pPr>
              <w:rPr>
                <w:rFonts w:ascii="Lucida Bright" w:hAnsi="Lucida Bright" w:cs="Calibri"/>
                <w:b/>
                <w:bCs/>
                <w:sz w:val="16"/>
                <w:szCs w:val="16"/>
                <w:lang w:val="es-ES"/>
              </w:rPr>
            </w:pPr>
            <w:r w:rsidRPr="00E42878">
              <w:rPr>
                <w:rFonts w:ascii="Lucida Bright" w:hAnsi="Lucida Bright" w:cs="Calibri"/>
                <w:b/>
                <w:bCs/>
                <w:sz w:val="16"/>
                <w:szCs w:val="16"/>
                <w:lang w:val="es-ES"/>
              </w:rPr>
              <w:t xml:space="preserve">Cuenta de Pérdidas y Ganancias correspondiente al ejercicio terminado </w:t>
            </w:r>
            <w:r w:rsidRPr="00E42878">
              <w:rPr>
                <w:rFonts w:ascii="Lucida Bright" w:hAnsi="Lucida Bright" w:cs="Calibri"/>
                <w:sz w:val="16"/>
                <w:szCs w:val="16"/>
                <w:lang w:val="es-ES"/>
              </w:rPr>
              <w:t>(en euros)</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(Debe) Haber</w:t>
            </w:r>
          </w:p>
        </w:tc>
      </w:tr>
      <w:tr w:rsidR="00E42878" w:rsidRPr="00E42878" w:rsidTr="00E42878">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2003 ajustes</w:t>
            </w:r>
          </w:p>
        </w:tc>
        <w:tc>
          <w:tcPr>
            <w:tcW w:w="1720" w:type="dxa"/>
            <w:tcBorders>
              <w:top w:val="nil"/>
              <w:left w:val="nil"/>
              <w:bottom w:val="single" w:sz="4" w:space="0" w:color="auto"/>
              <w:right w:val="single" w:sz="4" w:space="0" w:color="auto"/>
            </w:tcBorders>
            <w:shd w:val="clear" w:color="000000" w:fill="CCFFCC"/>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2003 Imputación en patrimonio neto</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300" w:firstLine="420"/>
              <w:rPr>
                <w:rFonts w:ascii="Lucida Bright" w:hAnsi="Lucida Bright" w:cs="Calibri"/>
                <w:i/>
                <w:iCs/>
                <w:sz w:val="14"/>
                <w:szCs w:val="14"/>
                <w:lang w:val="es-ES"/>
              </w:rPr>
            </w:pPr>
            <w:r w:rsidRPr="00E42878">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300" w:firstLine="420"/>
              <w:rPr>
                <w:rFonts w:ascii="Lucida Bright" w:hAnsi="Lucida Bright" w:cs="Calibri"/>
                <w:i/>
                <w:iCs/>
                <w:sz w:val="14"/>
                <w:szCs w:val="14"/>
                <w:lang w:val="es-ES"/>
              </w:rPr>
            </w:pPr>
            <w:r w:rsidRPr="00E42878">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(17.486,49)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(17.486,49)  </w:t>
            </w:r>
          </w:p>
        </w:tc>
        <w:tc>
          <w:tcPr>
            <w:tcW w:w="1720" w:type="dxa"/>
            <w:tcBorders>
              <w:top w:val="nil"/>
              <w:left w:val="nil"/>
              <w:bottom w:val="single" w:sz="4" w:space="0" w:color="auto"/>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(17.486,49)  </w:t>
            </w:r>
          </w:p>
        </w:tc>
      </w:tr>
    </w:tbl>
    <w:p w:rsidR="00E42878" w:rsidRDefault="00E42878"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E42878" w:rsidRPr="00E42878" w:rsidTr="00E42878">
        <w:trPr>
          <w:trHeight w:val="300"/>
        </w:trPr>
        <w:tc>
          <w:tcPr>
            <w:tcW w:w="4840" w:type="dxa"/>
            <w:tcBorders>
              <w:top w:val="nil"/>
              <w:left w:val="nil"/>
              <w:bottom w:val="nil"/>
              <w:right w:val="nil"/>
            </w:tcBorders>
            <w:shd w:val="clear" w:color="000000" w:fill="FFFFFF"/>
            <w:noWrap/>
            <w:vAlign w:val="bottom"/>
            <w:hideMark/>
          </w:tcPr>
          <w:p w:rsidR="00E42878" w:rsidRPr="00E42878" w:rsidRDefault="00E42878" w:rsidP="00E42878">
            <w:pPr>
              <w:rPr>
                <w:rFonts w:ascii="Lucida Bright" w:hAnsi="Lucida Bright" w:cs="Calibri"/>
                <w:b/>
                <w:bCs/>
                <w:sz w:val="16"/>
                <w:szCs w:val="16"/>
                <w:lang w:val="es-ES"/>
              </w:rPr>
            </w:pPr>
            <w:r w:rsidRPr="00E42878">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E42878" w:rsidRPr="00E42878" w:rsidRDefault="00E42878" w:rsidP="00E42878">
            <w:pPr>
              <w:rPr>
                <w:rFonts w:ascii="Lucida Bright" w:hAnsi="Lucida Bright" w:cs="Calibri"/>
                <w:b/>
                <w:bCs/>
                <w:sz w:val="16"/>
                <w:szCs w:val="16"/>
                <w:lang w:val="es-ES"/>
              </w:rPr>
            </w:pPr>
            <w:r w:rsidRPr="00E42878">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E42878" w:rsidRPr="00E42878" w:rsidRDefault="00E42878" w:rsidP="00E42878">
            <w:pPr>
              <w:rPr>
                <w:rFonts w:ascii="Lucida Bright" w:hAnsi="Lucida Bright" w:cs="Calibri"/>
                <w:sz w:val="16"/>
                <w:szCs w:val="16"/>
                <w:lang w:val="es-ES"/>
              </w:rPr>
            </w:pPr>
            <w:r w:rsidRPr="00E42878">
              <w:rPr>
                <w:rFonts w:ascii="Lucida Bright" w:hAnsi="Lucida Bright" w:cs="Calibri"/>
                <w:sz w:val="16"/>
                <w:szCs w:val="16"/>
                <w:lang w:val="es-ES"/>
              </w:rPr>
              <w:t>(en euros)</w:t>
            </w:r>
          </w:p>
        </w:tc>
      </w:tr>
      <w:tr w:rsidR="00E42878" w:rsidRPr="00E42878" w:rsidTr="00E42878">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2005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2005 Imputación en patrimonio neto</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(3.819,00) </w:t>
            </w:r>
          </w:p>
        </w:tc>
        <w:tc>
          <w:tcPr>
            <w:tcW w:w="1720" w:type="dxa"/>
            <w:tcBorders>
              <w:top w:val="nil"/>
              <w:left w:val="nil"/>
              <w:bottom w:val="nil"/>
              <w:right w:val="single" w:sz="4" w:space="0" w:color="auto"/>
            </w:tcBorders>
            <w:shd w:val="clear" w:color="000000" w:fill="CCFFCC"/>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(3.819,00)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(3.819,00)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E42878" w:rsidRPr="00E42878" w:rsidRDefault="00E42878" w:rsidP="00E42878">
            <w:pPr>
              <w:rPr>
                <w:rFonts w:ascii="Lucida Bright" w:hAnsi="Lucida Bright" w:cs="Calibri"/>
                <w:b/>
                <w:bCs/>
                <w:sz w:val="16"/>
                <w:szCs w:val="16"/>
                <w:lang w:val="es-ES"/>
              </w:rPr>
            </w:pPr>
            <w:r w:rsidRPr="00E42878">
              <w:rPr>
                <w:rFonts w:ascii="Lucida Bright" w:hAnsi="Lucida Bright" w:cs="Calibri"/>
                <w:b/>
                <w:bCs/>
                <w:sz w:val="16"/>
                <w:szCs w:val="16"/>
                <w:lang w:val="es-ES"/>
              </w:rPr>
              <w:t xml:space="preserve">Cuenta de Pérdidas y Ganancias correspondiente al ejercicio terminado </w:t>
            </w:r>
            <w:r w:rsidRPr="00E42878">
              <w:rPr>
                <w:rFonts w:ascii="Lucida Bright" w:hAnsi="Lucida Bright" w:cs="Calibri"/>
                <w:sz w:val="16"/>
                <w:szCs w:val="16"/>
                <w:lang w:val="es-ES"/>
              </w:rPr>
              <w:t>(en euros)</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(Debe) Haber</w:t>
            </w:r>
          </w:p>
        </w:tc>
      </w:tr>
      <w:tr w:rsidR="00E42878" w:rsidRPr="00E42878" w:rsidTr="00E42878">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2005 ajustes</w:t>
            </w:r>
          </w:p>
        </w:tc>
        <w:tc>
          <w:tcPr>
            <w:tcW w:w="1720" w:type="dxa"/>
            <w:tcBorders>
              <w:top w:val="nil"/>
              <w:left w:val="nil"/>
              <w:bottom w:val="single" w:sz="4" w:space="0" w:color="auto"/>
              <w:right w:val="single" w:sz="4" w:space="0" w:color="auto"/>
            </w:tcBorders>
            <w:shd w:val="clear" w:color="000000" w:fill="CCFFCC"/>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2005 Imputación en patrimonio neto</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300" w:firstLine="420"/>
              <w:rPr>
                <w:rFonts w:ascii="Lucida Bright" w:hAnsi="Lucida Bright" w:cs="Calibri"/>
                <w:i/>
                <w:iCs/>
                <w:sz w:val="14"/>
                <w:szCs w:val="14"/>
                <w:lang w:val="es-ES"/>
              </w:rPr>
            </w:pPr>
            <w:r w:rsidRPr="00E42878">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300" w:firstLine="420"/>
              <w:rPr>
                <w:rFonts w:ascii="Lucida Bright" w:hAnsi="Lucida Bright" w:cs="Calibri"/>
                <w:i/>
                <w:iCs/>
                <w:sz w:val="14"/>
                <w:szCs w:val="14"/>
                <w:lang w:val="es-ES"/>
              </w:rPr>
            </w:pPr>
            <w:r w:rsidRPr="00E42878">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(3.819,00)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(3.819,00)  </w:t>
            </w:r>
          </w:p>
        </w:tc>
        <w:tc>
          <w:tcPr>
            <w:tcW w:w="1720" w:type="dxa"/>
            <w:tcBorders>
              <w:top w:val="nil"/>
              <w:left w:val="nil"/>
              <w:bottom w:val="single" w:sz="4" w:space="0" w:color="auto"/>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(3.819,00)  </w:t>
            </w:r>
          </w:p>
        </w:tc>
      </w:tr>
    </w:tbl>
    <w:p w:rsidR="00E42878" w:rsidRDefault="00E42878"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E42878" w:rsidRPr="00E42878" w:rsidTr="00E42878">
        <w:trPr>
          <w:trHeight w:val="300"/>
        </w:trPr>
        <w:tc>
          <w:tcPr>
            <w:tcW w:w="4840" w:type="dxa"/>
            <w:tcBorders>
              <w:top w:val="nil"/>
              <w:left w:val="nil"/>
              <w:bottom w:val="nil"/>
              <w:right w:val="nil"/>
            </w:tcBorders>
            <w:shd w:val="clear" w:color="000000" w:fill="FFFFFF"/>
            <w:noWrap/>
            <w:vAlign w:val="bottom"/>
            <w:hideMark/>
          </w:tcPr>
          <w:p w:rsidR="00E42878" w:rsidRPr="00E42878" w:rsidRDefault="00E42878" w:rsidP="00E42878">
            <w:pPr>
              <w:rPr>
                <w:rFonts w:ascii="Lucida Bright" w:hAnsi="Lucida Bright" w:cs="Calibri"/>
                <w:b/>
                <w:bCs/>
                <w:sz w:val="16"/>
                <w:szCs w:val="16"/>
                <w:lang w:val="es-ES"/>
              </w:rPr>
            </w:pPr>
            <w:r w:rsidRPr="00E42878">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E42878" w:rsidRPr="00E42878" w:rsidRDefault="00E42878" w:rsidP="00E42878">
            <w:pPr>
              <w:rPr>
                <w:rFonts w:ascii="Lucida Bright" w:hAnsi="Lucida Bright" w:cs="Calibri"/>
                <w:b/>
                <w:bCs/>
                <w:sz w:val="16"/>
                <w:szCs w:val="16"/>
                <w:lang w:val="es-ES"/>
              </w:rPr>
            </w:pPr>
            <w:r w:rsidRPr="00E42878">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E42878" w:rsidRPr="00E42878" w:rsidRDefault="00E42878" w:rsidP="00E42878">
            <w:pPr>
              <w:rPr>
                <w:rFonts w:ascii="Lucida Bright" w:hAnsi="Lucida Bright" w:cs="Calibri"/>
                <w:sz w:val="16"/>
                <w:szCs w:val="16"/>
                <w:lang w:val="es-ES"/>
              </w:rPr>
            </w:pPr>
            <w:r w:rsidRPr="00E42878">
              <w:rPr>
                <w:rFonts w:ascii="Lucida Bright" w:hAnsi="Lucida Bright" w:cs="Calibri"/>
                <w:sz w:val="16"/>
                <w:szCs w:val="16"/>
                <w:lang w:val="es-ES"/>
              </w:rPr>
              <w:t>(en euros)</w:t>
            </w:r>
          </w:p>
        </w:tc>
      </w:tr>
      <w:tr w:rsidR="00E42878" w:rsidRPr="00E42878" w:rsidTr="00E42878">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2007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2007 Imputación en patrimonio neto</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(46.921,29) </w:t>
            </w:r>
          </w:p>
        </w:tc>
        <w:tc>
          <w:tcPr>
            <w:tcW w:w="1720" w:type="dxa"/>
            <w:tcBorders>
              <w:top w:val="nil"/>
              <w:left w:val="nil"/>
              <w:bottom w:val="nil"/>
              <w:right w:val="single" w:sz="4" w:space="0" w:color="auto"/>
            </w:tcBorders>
            <w:shd w:val="clear" w:color="000000" w:fill="CCFFCC"/>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(46.921,29)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(46.921,29)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E42878" w:rsidRPr="00E42878" w:rsidRDefault="00E42878" w:rsidP="00E42878">
            <w:pPr>
              <w:rPr>
                <w:rFonts w:ascii="Lucida Bright" w:hAnsi="Lucida Bright" w:cs="Calibri"/>
                <w:b/>
                <w:bCs/>
                <w:sz w:val="16"/>
                <w:szCs w:val="16"/>
                <w:lang w:val="es-ES"/>
              </w:rPr>
            </w:pPr>
            <w:r w:rsidRPr="00E42878">
              <w:rPr>
                <w:rFonts w:ascii="Lucida Bright" w:hAnsi="Lucida Bright" w:cs="Calibri"/>
                <w:b/>
                <w:bCs/>
                <w:sz w:val="16"/>
                <w:szCs w:val="16"/>
                <w:lang w:val="es-ES"/>
              </w:rPr>
              <w:t xml:space="preserve">Cuenta de Pérdidas y Ganancias correspondiente al ejercicio terminado </w:t>
            </w:r>
            <w:r w:rsidRPr="00E42878">
              <w:rPr>
                <w:rFonts w:ascii="Lucida Bright" w:hAnsi="Lucida Bright" w:cs="Calibri"/>
                <w:sz w:val="16"/>
                <w:szCs w:val="16"/>
                <w:lang w:val="es-ES"/>
              </w:rPr>
              <w:t>(en euros)</w:t>
            </w:r>
          </w:p>
        </w:tc>
      </w:tr>
      <w:tr w:rsidR="00E42878" w:rsidRPr="00E42878" w:rsidTr="00E42878">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(Debe) Haber</w:t>
            </w:r>
          </w:p>
        </w:tc>
      </w:tr>
      <w:tr w:rsidR="00E42878" w:rsidRPr="00E42878" w:rsidTr="00E42878">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2007 ajustes</w:t>
            </w:r>
          </w:p>
        </w:tc>
        <w:tc>
          <w:tcPr>
            <w:tcW w:w="1720" w:type="dxa"/>
            <w:tcBorders>
              <w:top w:val="nil"/>
              <w:left w:val="nil"/>
              <w:bottom w:val="single" w:sz="4" w:space="0" w:color="auto"/>
              <w:right w:val="single" w:sz="4" w:space="0" w:color="auto"/>
            </w:tcBorders>
            <w:shd w:val="clear" w:color="000000" w:fill="CCFFCC"/>
            <w:vAlign w:val="center"/>
            <w:hideMark/>
          </w:tcPr>
          <w:p w:rsidR="00E42878" w:rsidRPr="00E42878" w:rsidRDefault="00E42878" w:rsidP="00E42878">
            <w:pPr>
              <w:jc w:val="center"/>
              <w:rPr>
                <w:rFonts w:ascii="Lucida Bright" w:hAnsi="Lucida Bright" w:cs="Calibri"/>
                <w:b/>
                <w:bCs/>
                <w:sz w:val="18"/>
                <w:szCs w:val="18"/>
                <w:lang w:val="es-ES"/>
              </w:rPr>
            </w:pPr>
            <w:r w:rsidRPr="00E42878">
              <w:rPr>
                <w:rFonts w:ascii="Lucida Bright" w:hAnsi="Lucida Bright" w:cs="Calibri"/>
                <w:b/>
                <w:bCs/>
                <w:sz w:val="18"/>
                <w:szCs w:val="18"/>
                <w:lang w:val="es-ES"/>
              </w:rPr>
              <w:t>2007 Imputación en patrimonio neto</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sz w:val="14"/>
                <w:szCs w:val="14"/>
                <w:lang w:val="es-ES"/>
              </w:rPr>
            </w:pPr>
            <w:r w:rsidRPr="00E42878">
              <w:rPr>
                <w:rFonts w:ascii="Lucida Bright" w:hAnsi="Lucida Bright" w:cs="Calibri"/>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300" w:firstLine="420"/>
              <w:rPr>
                <w:rFonts w:ascii="Lucida Bright" w:hAnsi="Lucida Bright" w:cs="Calibri"/>
                <w:i/>
                <w:iCs/>
                <w:sz w:val="14"/>
                <w:szCs w:val="14"/>
                <w:lang w:val="es-ES"/>
              </w:rPr>
            </w:pPr>
            <w:r w:rsidRPr="00E42878">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300" w:firstLine="420"/>
              <w:rPr>
                <w:rFonts w:ascii="Lucida Bright" w:hAnsi="Lucida Bright" w:cs="Calibri"/>
                <w:i/>
                <w:iCs/>
                <w:sz w:val="14"/>
                <w:szCs w:val="14"/>
                <w:lang w:val="es-ES"/>
              </w:rPr>
            </w:pPr>
            <w:r w:rsidRPr="00E42878">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i/>
                <w:iCs/>
                <w:sz w:val="14"/>
                <w:szCs w:val="14"/>
                <w:lang w:val="es-ES"/>
              </w:rPr>
            </w:pPr>
            <w:r w:rsidRPr="00E42878">
              <w:rPr>
                <w:rFonts w:ascii="Lucida Bright" w:hAnsi="Lucida Bright" w:cs="Calibri"/>
                <w:i/>
                <w:i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center"/>
            <w:hideMark/>
          </w:tcPr>
          <w:p w:rsidR="00E42878" w:rsidRPr="00E42878" w:rsidRDefault="00E42878" w:rsidP="00E42878">
            <w:pPr>
              <w:ind w:firstLineChars="100" w:firstLine="141"/>
              <w:rPr>
                <w:rFonts w:ascii="Lucida Bright" w:hAnsi="Lucida Bright" w:cs="Calibri"/>
                <w:b/>
                <w:bCs/>
                <w:sz w:val="14"/>
                <w:szCs w:val="14"/>
                <w:lang w:val="es-ES"/>
              </w:rPr>
            </w:pPr>
            <w:r w:rsidRPr="00E42878">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(46.921,29)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nil"/>
              <w:right w:val="nil"/>
            </w:tcBorders>
            <w:shd w:val="clear" w:color="auto" w:fill="auto"/>
            <w:noWrap/>
            <w:vAlign w:val="bottom"/>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E42878" w:rsidRPr="00E42878" w:rsidRDefault="00E42878" w:rsidP="00E42878">
            <w:pPr>
              <w:rPr>
                <w:rFonts w:ascii="Lucida Bright" w:hAnsi="Lucida Bright" w:cs="Calibri"/>
                <w:b/>
                <w:bCs/>
                <w:sz w:val="14"/>
                <w:szCs w:val="14"/>
                <w:lang w:val="es-ES"/>
              </w:rPr>
            </w:pPr>
            <w:r w:rsidRPr="00E42878">
              <w:rPr>
                <w:rFonts w:ascii="Lucida Bright" w:hAnsi="Lucida Bright" w:cs="Calibri"/>
                <w:b/>
                <w:bCs/>
                <w:sz w:val="14"/>
                <w:szCs w:val="14"/>
                <w:lang w:val="es-ES"/>
              </w:rPr>
              <w:t> </w:t>
            </w:r>
          </w:p>
        </w:tc>
      </w:tr>
      <w:tr w:rsidR="00E42878" w:rsidRPr="00E42878" w:rsidTr="00E42878">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E42878" w:rsidRPr="00E42878" w:rsidRDefault="00E42878" w:rsidP="00E42878">
            <w:pPr>
              <w:ind w:firstLineChars="200" w:firstLine="280"/>
              <w:rPr>
                <w:rFonts w:ascii="Lucida Bright" w:hAnsi="Lucida Bright" w:cs="Calibri"/>
                <w:sz w:val="14"/>
                <w:szCs w:val="14"/>
                <w:lang w:val="es-ES"/>
              </w:rPr>
            </w:pPr>
            <w:r w:rsidRPr="00E42878">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sz w:val="14"/>
                <w:szCs w:val="14"/>
                <w:lang w:val="es-ES"/>
              </w:rPr>
            </w:pPr>
            <w:r w:rsidRPr="00E42878">
              <w:rPr>
                <w:rFonts w:ascii="Lucida Bright" w:hAnsi="Lucida Bright" w:cs="Calibri"/>
                <w:sz w:val="14"/>
                <w:szCs w:val="14"/>
                <w:lang w:val="es-ES"/>
              </w:rPr>
              <w:t xml:space="preserve">(46.921,29)  </w:t>
            </w:r>
          </w:p>
        </w:tc>
        <w:tc>
          <w:tcPr>
            <w:tcW w:w="1720" w:type="dxa"/>
            <w:tcBorders>
              <w:top w:val="nil"/>
              <w:left w:val="nil"/>
              <w:bottom w:val="single" w:sz="4" w:space="0" w:color="auto"/>
              <w:right w:val="single" w:sz="4" w:space="0" w:color="auto"/>
            </w:tcBorders>
            <w:shd w:val="clear" w:color="auto" w:fill="auto"/>
            <w:noWrap/>
            <w:vAlign w:val="center"/>
            <w:hideMark/>
          </w:tcPr>
          <w:p w:rsidR="00E42878" w:rsidRPr="00E42878" w:rsidRDefault="00E42878" w:rsidP="00E42878">
            <w:pPr>
              <w:jc w:val="right"/>
              <w:rPr>
                <w:rFonts w:ascii="Lucida Bright" w:hAnsi="Lucida Bright" w:cs="Calibri"/>
                <w:b/>
                <w:bCs/>
                <w:sz w:val="14"/>
                <w:szCs w:val="14"/>
                <w:lang w:val="es-ES"/>
              </w:rPr>
            </w:pPr>
            <w:r w:rsidRPr="00E42878">
              <w:rPr>
                <w:rFonts w:ascii="Lucida Bright" w:hAnsi="Lucida Bright" w:cs="Calibri"/>
                <w:b/>
                <w:bCs/>
                <w:sz w:val="14"/>
                <w:szCs w:val="14"/>
                <w:lang w:val="es-ES"/>
              </w:rPr>
              <w:t xml:space="preserve">(46.921,29)  </w:t>
            </w:r>
          </w:p>
        </w:tc>
      </w:tr>
    </w:tbl>
    <w:p w:rsidR="00E42878" w:rsidRDefault="00E42878"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p w:rsidR="00E42878" w:rsidRDefault="00E42878"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FC7232" w:rsidRPr="00FC7232" w:rsidTr="00FC7232">
        <w:trPr>
          <w:trHeight w:val="300"/>
        </w:trPr>
        <w:tc>
          <w:tcPr>
            <w:tcW w:w="484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FC7232" w:rsidRPr="00FC7232" w:rsidRDefault="00FC7232" w:rsidP="00FC7232">
            <w:pPr>
              <w:rPr>
                <w:rFonts w:ascii="Lucida Bright" w:hAnsi="Lucida Bright" w:cs="Calibri"/>
                <w:sz w:val="16"/>
                <w:szCs w:val="16"/>
                <w:lang w:val="es-ES"/>
              </w:rPr>
            </w:pPr>
            <w:r w:rsidRPr="00FC7232">
              <w:rPr>
                <w:rFonts w:ascii="Lucida Bright" w:hAnsi="Lucida Bright" w:cs="Calibri"/>
                <w:sz w:val="16"/>
                <w:szCs w:val="16"/>
                <w:lang w:val="es-ES"/>
              </w:rPr>
              <w:t>(en euros)</w:t>
            </w:r>
          </w:p>
        </w:tc>
      </w:tr>
      <w:tr w:rsidR="00FC7232" w:rsidRPr="00FC7232" w:rsidTr="00FC7232">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2008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2008 Imputación en patrimonio neto</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(62.540,75) </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(62.540,75)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(62.540,75)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xml:space="preserve">Cuenta de Pérdidas y Ganancias correspondiente al ejercicio terminado </w:t>
            </w:r>
            <w:r w:rsidRPr="00FC7232">
              <w:rPr>
                <w:rFonts w:ascii="Lucida Bright" w:hAnsi="Lucida Bright" w:cs="Calibri"/>
                <w:sz w:val="16"/>
                <w:szCs w:val="16"/>
                <w:lang w:val="es-ES"/>
              </w:rPr>
              <w:t>(en euros)</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(Debe) Haber</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2008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2008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(62.540,75)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(62.540,75)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(62.540,75)  </w:t>
            </w:r>
          </w:p>
        </w:tc>
      </w:tr>
    </w:tbl>
    <w:p w:rsidR="00E42878" w:rsidRDefault="00E42878"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FC7232" w:rsidRPr="00FC7232" w:rsidTr="00FC7232">
        <w:trPr>
          <w:trHeight w:val="300"/>
        </w:trPr>
        <w:tc>
          <w:tcPr>
            <w:tcW w:w="484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FC7232" w:rsidRPr="00FC7232" w:rsidRDefault="00FC7232" w:rsidP="00FC7232">
            <w:pPr>
              <w:rPr>
                <w:rFonts w:ascii="Lucida Bright" w:hAnsi="Lucida Bright" w:cs="Calibri"/>
                <w:sz w:val="16"/>
                <w:szCs w:val="16"/>
                <w:lang w:val="es-ES"/>
              </w:rPr>
            </w:pPr>
            <w:r w:rsidRPr="00FC7232">
              <w:rPr>
                <w:rFonts w:ascii="Lucida Bright" w:hAnsi="Lucida Bright" w:cs="Calibri"/>
                <w:sz w:val="16"/>
                <w:szCs w:val="16"/>
                <w:lang w:val="es-ES"/>
              </w:rPr>
              <w:t>(en euros)</w:t>
            </w:r>
          </w:p>
        </w:tc>
      </w:tr>
      <w:tr w:rsidR="00FC7232" w:rsidRPr="00FC7232" w:rsidTr="00FC7232">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2009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2009 Imputación en patrimonio neto</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(9.541,65) </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(9.541,65)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1.458,35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(11.000,00)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xml:space="preserve">Cuenta de Pérdidas y Ganancias correspondiente al ejercicio terminado </w:t>
            </w:r>
            <w:r w:rsidRPr="00FC7232">
              <w:rPr>
                <w:rFonts w:ascii="Lucida Bright" w:hAnsi="Lucida Bright" w:cs="Calibri"/>
                <w:sz w:val="16"/>
                <w:szCs w:val="16"/>
                <w:lang w:val="es-ES"/>
              </w:rPr>
              <w:t>(en euros)</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(Debe) Haber</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2009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2009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(41,65)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(41,65)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(9.500,00)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(9.500,00)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(9.500,00)  </w:t>
            </w:r>
          </w:p>
        </w:tc>
      </w:tr>
    </w:tbl>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FC7232" w:rsidRPr="00FC7232" w:rsidTr="00FC7232">
        <w:trPr>
          <w:trHeight w:val="300"/>
        </w:trPr>
        <w:tc>
          <w:tcPr>
            <w:tcW w:w="484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FC7232" w:rsidRPr="00FC7232" w:rsidRDefault="00FC7232" w:rsidP="00FC7232">
            <w:pPr>
              <w:rPr>
                <w:rFonts w:ascii="Lucida Bright" w:hAnsi="Lucida Bright" w:cs="Calibri"/>
                <w:sz w:val="16"/>
                <w:szCs w:val="16"/>
                <w:lang w:val="es-ES"/>
              </w:rPr>
            </w:pPr>
            <w:r w:rsidRPr="00FC7232">
              <w:rPr>
                <w:rFonts w:ascii="Lucida Bright" w:hAnsi="Lucida Bright" w:cs="Calibri"/>
                <w:sz w:val="16"/>
                <w:szCs w:val="16"/>
                <w:lang w:val="es-ES"/>
              </w:rPr>
              <w:t>(en euros)</w:t>
            </w:r>
          </w:p>
        </w:tc>
      </w:tr>
      <w:tr w:rsidR="00FC7232" w:rsidRPr="00FC7232" w:rsidTr="00FC7232">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2010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2010 Imputación en patrimonio neto</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(141.550,00) </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(141.550,00)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(50,00)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(141.500,00)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xml:space="preserve">Cuenta de Pérdidas y Ganancias correspondiente al ejercicio terminado </w:t>
            </w:r>
            <w:r w:rsidRPr="00FC7232">
              <w:rPr>
                <w:rFonts w:ascii="Lucida Bright" w:hAnsi="Lucida Bright" w:cs="Calibri"/>
                <w:sz w:val="16"/>
                <w:szCs w:val="16"/>
                <w:lang w:val="es-ES"/>
              </w:rPr>
              <w:t>(en euros)</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(Debe) Haber</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2010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2010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(50,00)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(50,00)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(141.500,00)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(141.500,00)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(141.500,00)  </w:t>
            </w:r>
          </w:p>
        </w:tc>
      </w:tr>
    </w:tbl>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FC7232" w:rsidRPr="00FC7232" w:rsidTr="00FC7232">
        <w:trPr>
          <w:trHeight w:val="300"/>
        </w:trPr>
        <w:tc>
          <w:tcPr>
            <w:tcW w:w="484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FC7232" w:rsidRPr="00FC7232" w:rsidRDefault="00FC7232" w:rsidP="00FC7232">
            <w:pPr>
              <w:rPr>
                <w:rFonts w:ascii="Lucida Bright" w:hAnsi="Lucida Bright" w:cs="Calibri"/>
                <w:sz w:val="16"/>
                <w:szCs w:val="16"/>
                <w:lang w:val="es-ES"/>
              </w:rPr>
            </w:pPr>
            <w:r w:rsidRPr="00FC7232">
              <w:rPr>
                <w:rFonts w:ascii="Lucida Bright" w:hAnsi="Lucida Bright" w:cs="Calibri"/>
                <w:sz w:val="16"/>
                <w:szCs w:val="16"/>
                <w:lang w:val="es-ES"/>
              </w:rPr>
              <w:t>(en euros)</w:t>
            </w:r>
          </w:p>
        </w:tc>
      </w:tr>
      <w:tr w:rsidR="00FC7232" w:rsidRPr="00FC7232" w:rsidTr="00FC7232">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2011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2011 Imputación en patrimonio neto</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(571,52) </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(571,52)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18.497,36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19.331,12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(38.400,00)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xml:space="preserve">Cuenta de Pérdidas y Ganancias correspondiente al ejercicio terminado </w:t>
            </w:r>
            <w:r w:rsidRPr="00FC7232">
              <w:rPr>
                <w:rFonts w:ascii="Lucida Bright" w:hAnsi="Lucida Bright" w:cs="Calibri"/>
                <w:sz w:val="16"/>
                <w:szCs w:val="16"/>
                <w:lang w:val="es-ES"/>
              </w:rPr>
              <w:t>(en euros)</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(Debe) Haber</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2011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2011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(571,52)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(571,52)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bl>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FC7232" w:rsidRPr="00FC7232" w:rsidTr="00FC7232">
        <w:trPr>
          <w:trHeight w:val="300"/>
        </w:trPr>
        <w:tc>
          <w:tcPr>
            <w:tcW w:w="484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FC7232" w:rsidRPr="00FC7232" w:rsidRDefault="00FC7232" w:rsidP="00FC7232">
            <w:pPr>
              <w:rPr>
                <w:rFonts w:ascii="Lucida Bright" w:hAnsi="Lucida Bright" w:cs="Calibri"/>
                <w:sz w:val="16"/>
                <w:szCs w:val="16"/>
                <w:lang w:val="es-ES"/>
              </w:rPr>
            </w:pPr>
            <w:r w:rsidRPr="00FC7232">
              <w:rPr>
                <w:rFonts w:ascii="Lucida Bright" w:hAnsi="Lucida Bright" w:cs="Calibri"/>
                <w:sz w:val="16"/>
                <w:szCs w:val="16"/>
                <w:lang w:val="es-ES"/>
              </w:rPr>
              <w:t>(en euros)</w:t>
            </w:r>
          </w:p>
        </w:tc>
      </w:tr>
      <w:tr w:rsidR="00FC7232" w:rsidRPr="00FC7232" w:rsidTr="00FC7232">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2012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2012 Imputación en patrimonio neto</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(38.221,09) </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30.983,30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30.983,30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(69.204,39)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47.206,79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(978,79)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(146.415,69)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30.983,30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xml:space="preserve">Cuenta de Pérdidas y Ganancias correspondiente al ejercicio terminado </w:t>
            </w:r>
            <w:r w:rsidRPr="00FC7232">
              <w:rPr>
                <w:rFonts w:ascii="Lucida Bright" w:hAnsi="Lucida Bright" w:cs="Calibri"/>
                <w:sz w:val="16"/>
                <w:szCs w:val="16"/>
                <w:lang w:val="es-ES"/>
              </w:rPr>
              <w:t>(en euros)</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(Debe) Haber</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2012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2012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(15.100,40)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(15.100,40)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(23.120,69)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(23.120,69)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(23.120,69)  </w:t>
            </w:r>
          </w:p>
        </w:tc>
      </w:tr>
    </w:tbl>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FC7232" w:rsidRPr="00FC7232" w:rsidTr="00FC7232">
        <w:trPr>
          <w:trHeight w:val="300"/>
        </w:trPr>
        <w:tc>
          <w:tcPr>
            <w:tcW w:w="484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FC7232" w:rsidRPr="00FC7232" w:rsidRDefault="00FC7232" w:rsidP="00FC7232">
            <w:pPr>
              <w:rPr>
                <w:rFonts w:ascii="Lucida Bright" w:hAnsi="Lucida Bright" w:cs="Calibri"/>
                <w:sz w:val="16"/>
                <w:szCs w:val="16"/>
                <w:lang w:val="es-ES"/>
              </w:rPr>
            </w:pPr>
            <w:r w:rsidRPr="00FC7232">
              <w:rPr>
                <w:rFonts w:ascii="Lucida Bright" w:hAnsi="Lucida Bright" w:cs="Calibri"/>
                <w:sz w:val="16"/>
                <w:szCs w:val="16"/>
                <w:lang w:val="es-ES"/>
              </w:rPr>
              <w:t>(en euros)</w:t>
            </w:r>
          </w:p>
        </w:tc>
      </w:tr>
      <w:tr w:rsidR="00FC7232" w:rsidRPr="00FC7232" w:rsidTr="00FC7232">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2013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2013 Imputación en patrimonio neto</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(103.362,85) </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(7.436,04)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(7.436,04)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(95.926,81)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221.762,68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70.505,46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(385.955,90)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(2.239,05)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xml:space="preserve">Cuenta de Pérdidas y Ganancias correspondiente al ejercicio terminado </w:t>
            </w:r>
            <w:r w:rsidRPr="00FC7232">
              <w:rPr>
                <w:rFonts w:ascii="Lucida Bright" w:hAnsi="Lucida Bright" w:cs="Calibri"/>
                <w:sz w:val="16"/>
                <w:szCs w:val="16"/>
                <w:lang w:val="es-ES"/>
              </w:rPr>
              <w:t>(en euros)</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(Debe) Haber</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2013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2013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(21.349,98)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(21.349,98)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(82.012,87)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(82.012,87)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(82.012,87)  </w:t>
            </w:r>
          </w:p>
        </w:tc>
      </w:tr>
    </w:tbl>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FC7232" w:rsidRPr="00FC7232" w:rsidTr="00FC7232">
        <w:trPr>
          <w:trHeight w:val="300"/>
        </w:trPr>
        <w:tc>
          <w:tcPr>
            <w:tcW w:w="484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FC7232" w:rsidRPr="00FC7232" w:rsidRDefault="00FC7232" w:rsidP="00FC7232">
            <w:pPr>
              <w:rPr>
                <w:rFonts w:ascii="Lucida Bright" w:hAnsi="Lucida Bright" w:cs="Calibri"/>
                <w:sz w:val="16"/>
                <w:szCs w:val="16"/>
                <w:lang w:val="es-ES"/>
              </w:rPr>
            </w:pPr>
            <w:r w:rsidRPr="00FC7232">
              <w:rPr>
                <w:rFonts w:ascii="Lucida Bright" w:hAnsi="Lucida Bright" w:cs="Calibri"/>
                <w:sz w:val="16"/>
                <w:szCs w:val="16"/>
                <w:lang w:val="es-ES"/>
              </w:rPr>
              <w:t>(en euros)</w:t>
            </w:r>
          </w:p>
        </w:tc>
      </w:tr>
      <w:tr w:rsidR="00FC7232" w:rsidRPr="00FC7232" w:rsidTr="00FC7232">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2014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2014 Imputación en patrimonio neto</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(82.409,98) </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65.233,26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65.233,26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(147.643,24)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113.300,22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(4.553,03)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(321.104,00)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64.713,57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xml:space="preserve">Cuenta de Pérdidas y Ganancias correspondiente al ejercicio terminado </w:t>
            </w:r>
            <w:r w:rsidRPr="00FC7232">
              <w:rPr>
                <w:rFonts w:ascii="Lucida Bright" w:hAnsi="Lucida Bright" w:cs="Calibri"/>
                <w:sz w:val="16"/>
                <w:szCs w:val="16"/>
                <w:lang w:val="es-ES"/>
              </w:rPr>
              <w:t>(en euros)</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(Debe) Haber</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2014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2014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(10.450,00)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(10.450,00)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i/>
                <w:iCs/>
                <w:sz w:val="14"/>
                <w:szCs w:val="14"/>
                <w:lang w:val="es-ES"/>
              </w:rPr>
            </w:pPr>
            <w:r w:rsidRPr="00FC7232">
              <w:rPr>
                <w:rFonts w:ascii="Lucida Bright" w:hAnsi="Lucida Bright" w:cs="Calibri"/>
                <w:i/>
                <w:iCs/>
                <w:sz w:val="14"/>
                <w:szCs w:val="14"/>
                <w:lang w:val="es-ES"/>
              </w:rPr>
              <w:t xml:space="preserve">(10.450,00)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(10.450,00)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(43.959,98)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(43.959,98)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(28.000,00)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(28.000,00)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(28.000,00)  </w:t>
            </w:r>
          </w:p>
        </w:tc>
      </w:tr>
    </w:tbl>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FC7232" w:rsidRPr="00FC7232" w:rsidTr="00FC7232">
        <w:trPr>
          <w:trHeight w:val="300"/>
        </w:trPr>
        <w:tc>
          <w:tcPr>
            <w:tcW w:w="484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FC7232" w:rsidRPr="00FC7232" w:rsidRDefault="00FC7232" w:rsidP="00FC7232">
            <w:pPr>
              <w:rPr>
                <w:rFonts w:ascii="Lucida Bright" w:hAnsi="Lucida Bright" w:cs="Calibri"/>
                <w:sz w:val="16"/>
                <w:szCs w:val="16"/>
                <w:lang w:val="es-ES"/>
              </w:rPr>
            </w:pPr>
            <w:r w:rsidRPr="00FC7232">
              <w:rPr>
                <w:rFonts w:ascii="Lucida Bright" w:hAnsi="Lucida Bright" w:cs="Calibri"/>
                <w:sz w:val="16"/>
                <w:szCs w:val="16"/>
                <w:lang w:val="es-ES"/>
              </w:rPr>
              <w:t>(en euros)</w:t>
            </w:r>
          </w:p>
        </w:tc>
      </w:tr>
      <w:tr w:rsidR="00FC7232" w:rsidRPr="00FC7232" w:rsidTr="00FC7232">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2015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2015 Imputación en patrimonio neto</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(326.709,93) </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(22.734,84)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(22.734,84)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(303.975,09)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323.224,38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(4.553,00)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(608.166,93)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(14.479,54)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xml:space="preserve">Cuenta de Pérdidas y Ganancias correspondiente al ejercicio terminado </w:t>
            </w:r>
            <w:r w:rsidRPr="00FC7232">
              <w:rPr>
                <w:rFonts w:ascii="Lucida Bright" w:hAnsi="Lucida Bright" w:cs="Calibri"/>
                <w:sz w:val="16"/>
                <w:szCs w:val="16"/>
                <w:lang w:val="es-ES"/>
              </w:rPr>
              <w:t>(en euros)</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(Debe) Haber</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2015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2015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(14.850,00)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(14.850,00)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i/>
                <w:iCs/>
                <w:sz w:val="14"/>
                <w:szCs w:val="14"/>
                <w:lang w:val="es-ES"/>
              </w:rPr>
            </w:pPr>
            <w:r w:rsidRPr="00FC7232">
              <w:rPr>
                <w:rFonts w:ascii="Lucida Bright" w:hAnsi="Lucida Bright" w:cs="Calibri"/>
                <w:i/>
                <w:iCs/>
                <w:sz w:val="14"/>
                <w:szCs w:val="14"/>
                <w:lang w:val="es-ES"/>
              </w:rPr>
              <w:t xml:space="preserve">(14.850,00)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(14.850,00)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(76.724,10)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(76.724,10)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(235.135,83)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(235.135,83)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(235.135,83)  </w:t>
            </w:r>
          </w:p>
        </w:tc>
      </w:tr>
    </w:tbl>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FC7232" w:rsidRPr="00FC7232" w:rsidTr="00FC7232">
        <w:trPr>
          <w:trHeight w:val="300"/>
        </w:trPr>
        <w:tc>
          <w:tcPr>
            <w:tcW w:w="484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FC7232" w:rsidRPr="00FC7232" w:rsidRDefault="00FC7232" w:rsidP="00FC7232">
            <w:pPr>
              <w:rPr>
                <w:rFonts w:ascii="Lucida Bright" w:hAnsi="Lucida Bright" w:cs="Calibri"/>
                <w:sz w:val="16"/>
                <w:szCs w:val="16"/>
                <w:lang w:val="es-ES"/>
              </w:rPr>
            </w:pPr>
            <w:r w:rsidRPr="00FC7232">
              <w:rPr>
                <w:rFonts w:ascii="Lucida Bright" w:hAnsi="Lucida Bright" w:cs="Calibri"/>
                <w:sz w:val="16"/>
                <w:szCs w:val="16"/>
                <w:lang w:val="es-ES"/>
              </w:rPr>
              <w:t>(en euros)</w:t>
            </w:r>
          </w:p>
        </w:tc>
      </w:tr>
      <w:tr w:rsidR="00FC7232" w:rsidRPr="00FC7232" w:rsidTr="00FC7232">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2016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2016 Imputación en patrimonio neto</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(146.509,51) </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(22.734,84)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(22.734,84)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(123.774,67)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98.574,03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(640,92)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(225.879,24)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4.171,46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xml:space="preserve">Cuenta de Pérdidas y Ganancias correspondiente al ejercicio terminado </w:t>
            </w:r>
            <w:r w:rsidRPr="00FC7232">
              <w:rPr>
                <w:rFonts w:ascii="Lucida Bright" w:hAnsi="Lucida Bright" w:cs="Calibri"/>
                <w:sz w:val="16"/>
                <w:szCs w:val="16"/>
                <w:lang w:val="es-ES"/>
              </w:rPr>
              <w:t>(en euros)</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(Debe) Haber</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2016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2016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(2.779,35)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(2.779,35)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i/>
                <w:iCs/>
                <w:sz w:val="14"/>
                <w:szCs w:val="14"/>
                <w:lang w:val="es-ES"/>
              </w:rPr>
            </w:pPr>
            <w:r w:rsidRPr="00FC7232">
              <w:rPr>
                <w:rFonts w:ascii="Lucida Bright" w:hAnsi="Lucida Bright" w:cs="Calibri"/>
                <w:i/>
                <w:iCs/>
                <w:sz w:val="14"/>
                <w:szCs w:val="14"/>
                <w:lang w:val="es-ES"/>
              </w:rPr>
              <w:t xml:space="preserve">(2.779,35)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(2.779,35)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(97.751,16)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(97.751,16)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(45.979,00)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(45.979,00)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(45.979,00)  </w:t>
            </w:r>
          </w:p>
        </w:tc>
      </w:tr>
    </w:tbl>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FC7232" w:rsidRPr="00FC7232" w:rsidTr="00FC7232">
        <w:trPr>
          <w:trHeight w:val="300"/>
        </w:trPr>
        <w:tc>
          <w:tcPr>
            <w:tcW w:w="484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FC7232" w:rsidRPr="00FC7232" w:rsidRDefault="00FC7232" w:rsidP="00FC7232">
            <w:pPr>
              <w:rPr>
                <w:rFonts w:ascii="Lucida Bright" w:hAnsi="Lucida Bright" w:cs="Calibri"/>
                <w:sz w:val="16"/>
                <w:szCs w:val="16"/>
                <w:lang w:val="es-ES"/>
              </w:rPr>
            </w:pPr>
            <w:r w:rsidRPr="00FC7232">
              <w:rPr>
                <w:rFonts w:ascii="Lucida Bright" w:hAnsi="Lucida Bright" w:cs="Calibri"/>
                <w:sz w:val="16"/>
                <w:szCs w:val="16"/>
                <w:lang w:val="es-ES"/>
              </w:rPr>
              <w:t>(en euros)</w:t>
            </w:r>
          </w:p>
        </w:tc>
      </w:tr>
      <w:tr w:rsidR="00FC7232" w:rsidRPr="00FC7232" w:rsidTr="00FC7232">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2017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2017 Imputación en patrimonio neto</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(261.726,41) </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9.252,50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9.252,50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(270.978,91)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384.969,83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(4.830,78)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(650.346,94)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(771,02)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xml:space="preserve">Cuenta de Pérdidas y Ganancias correspondiente al ejercicio terminado </w:t>
            </w:r>
            <w:r w:rsidRPr="00FC7232">
              <w:rPr>
                <w:rFonts w:ascii="Lucida Bright" w:hAnsi="Lucida Bright" w:cs="Calibri"/>
                <w:sz w:val="16"/>
                <w:szCs w:val="16"/>
                <w:lang w:val="es-ES"/>
              </w:rPr>
              <w:t>(en euros)</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(Debe) Haber</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2017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2017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(4.958,68)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(4.958,68)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i/>
                <w:iCs/>
                <w:sz w:val="14"/>
                <w:szCs w:val="14"/>
                <w:lang w:val="es-ES"/>
              </w:rPr>
            </w:pPr>
            <w:r w:rsidRPr="00FC7232">
              <w:rPr>
                <w:rFonts w:ascii="Lucida Bright" w:hAnsi="Lucida Bright" w:cs="Calibri"/>
                <w:i/>
                <w:iCs/>
                <w:sz w:val="14"/>
                <w:szCs w:val="14"/>
                <w:lang w:val="es-ES"/>
              </w:rPr>
              <w:t xml:space="preserve">(4.958,68)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(4.958,68)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(107.573,68)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(107.573,68)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(149.194,05)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(149.194,05)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(149.194,05)  </w:t>
            </w:r>
          </w:p>
        </w:tc>
      </w:tr>
    </w:tbl>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FC7232" w:rsidRPr="00FC7232" w:rsidTr="00FC7232">
        <w:trPr>
          <w:trHeight w:val="300"/>
        </w:trPr>
        <w:tc>
          <w:tcPr>
            <w:tcW w:w="484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FC7232" w:rsidRPr="00FC7232" w:rsidRDefault="00FC7232" w:rsidP="00FC7232">
            <w:pPr>
              <w:rPr>
                <w:rFonts w:ascii="Lucida Bright" w:hAnsi="Lucida Bright" w:cs="Calibri"/>
                <w:sz w:val="16"/>
                <w:szCs w:val="16"/>
                <w:lang w:val="es-ES"/>
              </w:rPr>
            </w:pPr>
            <w:r w:rsidRPr="00FC7232">
              <w:rPr>
                <w:rFonts w:ascii="Lucida Bright" w:hAnsi="Lucida Bright" w:cs="Calibri"/>
                <w:sz w:val="16"/>
                <w:szCs w:val="16"/>
                <w:lang w:val="es-ES"/>
              </w:rPr>
              <w:t>(en euros)</w:t>
            </w:r>
          </w:p>
        </w:tc>
      </w:tr>
      <w:tr w:rsidR="00FC7232" w:rsidRPr="00FC7232" w:rsidTr="00FC7232">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2018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2018 Imputación en patrimonio neto</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(209.124,57) </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13.766,21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13.766,21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(302.113,83)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680.331,98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(3.488,94)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(949.707,43)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(29.249,44)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79.223,05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79.223,05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xml:space="preserve">Cuenta de Pérdidas y Ganancias correspondiente al ejercicio terminado </w:t>
            </w:r>
            <w:r w:rsidRPr="00FC7232">
              <w:rPr>
                <w:rFonts w:ascii="Lucida Bright" w:hAnsi="Lucida Bright" w:cs="Calibri"/>
                <w:sz w:val="16"/>
                <w:szCs w:val="16"/>
                <w:lang w:val="es-ES"/>
              </w:rPr>
              <w:t>(en euros)</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(Debe) Haber</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2018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2018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i/>
                <w:iCs/>
                <w:sz w:val="14"/>
                <w:szCs w:val="14"/>
                <w:lang w:val="es-ES"/>
              </w:rPr>
            </w:pPr>
            <w:r w:rsidRPr="00FC7232">
              <w:rPr>
                <w:rFonts w:ascii="Lucida Bright" w:hAnsi="Lucida Bright" w:cs="Calibri"/>
                <w:i/>
                <w:i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(138.794,57)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(138.794,57)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(70.330,00)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(70.330,00)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(70.330,00)  </w:t>
            </w:r>
          </w:p>
        </w:tc>
      </w:tr>
    </w:tbl>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FC7232" w:rsidRPr="00FC7232" w:rsidTr="00FC7232">
        <w:trPr>
          <w:trHeight w:val="300"/>
        </w:trPr>
        <w:tc>
          <w:tcPr>
            <w:tcW w:w="484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FC7232" w:rsidRPr="00FC7232" w:rsidRDefault="00FC7232" w:rsidP="00FC7232">
            <w:pPr>
              <w:rPr>
                <w:rFonts w:ascii="Lucida Bright" w:hAnsi="Lucida Bright" w:cs="Calibri"/>
                <w:sz w:val="16"/>
                <w:szCs w:val="16"/>
                <w:lang w:val="es-ES"/>
              </w:rPr>
            </w:pPr>
            <w:r w:rsidRPr="00FC7232">
              <w:rPr>
                <w:rFonts w:ascii="Lucida Bright" w:hAnsi="Lucida Bright" w:cs="Calibri"/>
                <w:sz w:val="16"/>
                <w:szCs w:val="16"/>
                <w:lang w:val="es-ES"/>
              </w:rPr>
              <w:t>(en euros)</w:t>
            </w:r>
          </w:p>
        </w:tc>
      </w:tr>
      <w:tr w:rsidR="00FC7232" w:rsidRPr="00FC7232" w:rsidTr="00FC7232">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2019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2019 Imputación en patrimonio neto</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8.367.992,76 </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(25.065,78)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(25.065,78)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(401.038,45)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308.179,26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537.600,52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(4.974,55)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(1.306.765,62)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64.921,94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8.794.096,99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8.794.096,99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PATRIMONIO NETO Y PASIVO</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2019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2019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A-3) Subvenciones, donaciones y legados recibidos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8.796.411,38</w:t>
            </w:r>
          </w:p>
        </w:tc>
        <w:tc>
          <w:tcPr>
            <w:tcW w:w="1720" w:type="dxa"/>
            <w:tcBorders>
              <w:top w:val="nil"/>
              <w:left w:val="nil"/>
              <w:bottom w:val="single" w:sz="4" w:space="0" w:color="auto"/>
              <w:right w:val="single" w:sz="4" w:space="0" w:color="auto"/>
            </w:tcBorders>
            <w:shd w:val="clear" w:color="auto" w:fill="auto"/>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xml:space="preserve">Cuenta de Pérdidas y Ganancias correspondiente al ejercicio terminado </w:t>
            </w:r>
            <w:r w:rsidRPr="00FC7232">
              <w:rPr>
                <w:rFonts w:ascii="Lucida Bright" w:hAnsi="Lucida Bright" w:cs="Calibri"/>
                <w:sz w:val="16"/>
                <w:szCs w:val="16"/>
                <w:lang w:val="es-ES"/>
              </w:rPr>
              <w:t>(en euros)</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(Debe) Haber</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2019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2019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221.827,45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221.827,45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221.827,45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(175.265,00)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(175.265,00)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i/>
                <w:iCs/>
                <w:sz w:val="14"/>
                <w:szCs w:val="14"/>
                <w:lang w:val="es-ES"/>
              </w:rPr>
            </w:pPr>
            <w:r w:rsidRPr="00FC7232">
              <w:rPr>
                <w:rFonts w:ascii="Lucida Bright" w:hAnsi="Lucida Bright" w:cs="Calibri"/>
                <w:i/>
                <w:iCs/>
                <w:sz w:val="14"/>
                <w:szCs w:val="14"/>
                <w:lang w:val="es-ES"/>
              </w:rPr>
              <w:t xml:space="preserve">(175.265,00)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(175.265,00)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(458.181,07)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(458.181,07)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(16.800,00)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(16.800,00)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(16.800,00)  </w:t>
            </w:r>
          </w:p>
        </w:tc>
      </w:tr>
    </w:tbl>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FC7232" w:rsidRPr="00FC7232" w:rsidTr="00FC7232">
        <w:trPr>
          <w:trHeight w:val="300"/>
        </w:trPr>
        <w:tc>
          <w:tcPr>
            <w:tcW w:w="484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FC7232" w:rsidRPr="00FC7232" w:rsidRDefault="00FC7232" w:rsidP="00FC7232">
            <w:pPr>
              <w:rPr>
                <w:rFonts w:ascii="Lucida Bright" w:hAnsi="Lucida Bright" w:cs="Calibri"/>
                <w:sz w:val="16"/>
                <w:szCs w:val="16"/>
                <w:lang w:val="es-ES"/>
              </w:rPr>
            </w:pPr>
            <w:r w:rsidRPr="00FC7232">
              <w:rPr>
                <w:rFonts w:ascii="Lucida Bright" w:hAnsi="Lucida Bright" w:cs="Calibri"/>
                <w:sz w:val="16"/>
                <w:szCs w:val="16"/>
                <w:lang w:val="es-ES"/>
              </w:rPr>
              <w:t>(en euros)</w:t>
            </w:r>
          </w:p>
        </w:tc>
      </w:tr>
      <w:tr w:rsidR="00FC7232" w:rsidRPr="00FC7232" w:rsidTr="00FC7232">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2020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2020 Imputación en patrimonio neto</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(894.321,69) </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92.979,39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92.979,39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(621.974,68)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573.181,38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(4.974,55)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(1.318.287,25)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128.105,74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(365.326,40)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(365.326,40)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PATRIMONIO NETO Y PASIVO</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2020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2020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A-3) Subvenciones, donaciones y legados recibidos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(532.385,83)  </w:t>
            </w:r>
          </w:p>
        </w:tc>
        <w:tc>
          <w:tcPr>
            <w:tcW w:w="1720" w:type="dxa"/>
            <w:tcBorders>
              <w:top w:val="nil"/>
              <w:left w:val="nil"/>
              <w:bottom w:val="single" w:sz="4" w:space="0" w:color="auto"/>
              <w:right w:val="single" w:sz="4" w:space="0" w:color="auto"/>
            </w:tcBorders>
            <w:shd w:val="clear" w:color="auto" w:fill="auto"/>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xml:space="preserve">Cuenta de Pérdidas y Ganancias correspondiente al ejercicio terminado </w:t>
            </w:r>
            <w:r w:rsidRPr="00FC7232">
              <w:rPr>
                <w:rFonts w:ascii="Lucida Bright" w:hAnsi="Lucida Bright" w:cs="Calibri"/>
                <w:sz w:val="16"/>
                <w:szCs w:val="16"/>
                <w:lang w:val="es-ES"/>
              </w:rPr>
              <w:t>(en euros)</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(Debe) Haber</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2020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2020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532.385,83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532.385,83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532.385,83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i/>
                <w:iCs/>
                <w:sz w:val="14"/>
                <w:szCs w:val="14"/>
                <w:lang w:val="es-ES"/>
              </w:rPr>
            </w:pPr>
            <w:r w:rsidRPr="00FC7232">
              <w:rPr>
                <w:rFonts w:ascii="Lucida Bright" w:hAnsi="Lucida Bright" w:cs="Calibri"/>
                <w:i/>
                <w:i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(808.608,44)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(808.608,44)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(85.713,25)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(85.713,25)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(85.713,25)  </w:t>
            </w:r>
          </w:p>
        </w:tc>
      </w:tr>
    </w:tbl>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FC7232" w:rsidRPr="00FC7232" w:rsidTr="00FC7232">
        <w:trPr>
          <w:trHeight w:val="300"/>
        </w:trPr>
        <w:tc>
          <w:tcPr>
            <w:tcW w:w="484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FC7232" w:rsidRPr="00FC7232" w:rsidRDefault="00FC7232" w:rsidP="00FC7232">
            <w:pPr>
              <w:rPr>
                <w:rFonts w:ascii="Lucida Bright" w:hAnsi="Lucida Bright" w:cs="Calibri"/>
                <w:sz w:val="16"/>
                <w:szCs w:val="16"/>
                <w:lang w:val="es-ES"/>
              </w:rPr>
            </w:pPr>
            <w:r w:rsidRPr="00FC7232">
              <w:rPr>
                <w:rFonts w:ascii="Lucida Bright" w:hAnsi="Lucida Bright" w:cs="Calibri"/>
                <w:sz w:val="16"/>
                <w:szCs w:val="16"/>
                <w:lang w:val="es-ES"/>
              </w:rPr>
              <w:t>(en euros)</w:t>
            </w:r>
          </w:p>
        </w:tc>
      </w:tr>
      <w:tr w:rsidR="00FC7232" w:rsidRPr="00FC7232" w:rsidTr="00FC7232">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2021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2021 Imputación en patrimonio neto</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(1.356.386,27) </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651.414,37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651.414,37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(1.970.731,88)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77.337,82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4.578.259,78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54.034,11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(7.706.270,02)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1.025.906,43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(37.068,76)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(37.068,76)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PATRIMONIO NETO Y PASIVO</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2021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2021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A-3) Subvenciones, donaciones y legados recibidos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(532.385,83)  </w:t>
            </w:r>
          </w:p>
        </w:tc>
        <w:tc>
          <w:tcPr>
            <w:tcW w:w="1720" w:type="dxa"/>
            <w:tcBorders>
              <w:top w:val="nil"/>
              <w:left w:val="nil"/>
              <w:bottom w:val="single" w:sz="4" w:space="0" w:color="auto"/>
              <w:right w:val="single" w:sz="4" w:space="0" w:color="auto"/>
            </w:tcBorders>
            <w:shd w:val="clear" w:color="auto" w:fill="auto"/>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xml:space="preserve">Cuenta de Pérdidas y Ganancias correspondiente al ejercicio terminado </w:t>
            </w:r>
            <w:r w:rsidRPr="00FC7232">
              <w:rPr>
                <w:rFonts w:ascii="Lucida Bright" w:hAnsi="Lucida Bright" w:cs="Calibri"/>
                <w:sz w:val="16"/>
                <w:szCs w:val="16"/>
                <w:lang w:val="es-ES"/>
              </w:rPr>
              <w:t>(en euros)</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(Debe) Haber</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2021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2021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532.385,83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532.385,83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532.385,83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(73.526,47)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(73.526,47)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i/>
                <w:iCs/>
                <w:sz w:val="14"/>
                <w:szCs w:val="14"/>
                <w:lang w:val="es-ES"/>
              </w:rPr>
            </w:pPr>
            <w:r w:rsidRPr="00FC7232">
              <w:rPr>
                <w:rFonts w:ascii="Lucida Bright" w:hAnsi="Lucida Bright" w:cs="Calibri"/>
                <w:i/>
                <w:iCs/>
                <w:sz w:val="14"/>
                <w:szCs w:val="14"/>
                <w:lang w:val="es-ES"/>
              </w:rPr>
              <w:t xml:space="preserve">(73.526,47)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(73.526,47)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(1.068.828,59)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(1.068.828,59)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(214.031,21)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(214.031,21)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(214.031,21)  </w:t>
            </w:r>
          </w:p>
        </w:tc>
      </w:tr>
    </w:tbl>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FC7232" w:rsidRPr="00FC7232" w:rsidTr="00FC7232">
        <w:trPr>
          <w:trHeight w:val="300"/>
        </w:trPr>
        <w:tc>
          <w:tcPr>
            <w:tcW w:w="484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FC7232" w:rsidRPr="00FC7232" w:rsidRDefault="00FC7232" w:rsidP="00FC7232">
            <w:pPr>
              <w:rPr>
                <w:rFonts w:ascii="Lucida Bright" w:hAnsi="Lucida Bright" w:cs="Calibri"/>
                <w:sz w:val="16"/>
                <w:szCs w:val="16"/>
                <w:lang w:val="es-ES"/>
              </w:rPr>
            </w:pPr>
            <w:r w:rsidRPr="00FC7232">
              <w:rPr>
                <w:rFonts w:ascii="Lucida Bright" w:hAnsi="Lucida Bright" w:cs="Calibri"/>
                <w:sz w:val="16"/>
                <w:szCs w:val="16"/>
                <w:lang w:val="es-ES"/>
              </w:rPr>
              <w:t>(en euros)</w:t>
            </w:r>
          </w:p>
        </w:tc>
      </w:tr>
      <w:tr w:rsidR="00FC7232" w:rsidRPr="00FC7232" w:rsidTr="00FC7232">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2022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2022 Imputación en patrimonio neto</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(1.165.731,23) </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1.188.804,20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1.188.804,20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(2.677.126,60)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1.313.022,97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62.491,47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(4.525.434,45)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472.793,41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322.591,17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322.591,17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PATRIMONIO NETO Y PASIVO</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2022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2022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A-3) Subvenciones, donaciones y legados recibidos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344.139,17  </w:t>
            </w:r>
          </w:p>
        </w:tc>
        <w:tc>
          <w:tcPr>
            <w:tcW w:w="1720" w:type="dxa"/>
            <w:tcBorders>
              <w:top w:val="nil"/>
              <w:left w:val="nil"/>
              <w:bottom w:val="single" w:sz="4" w:space="0" w:color="auto"/>
              <w:right w:val="single" w:sz="4" w:space="0" w:color="auto"/>
            </w:tcBorders>
            <w:shd w:val="clear" w:color="auto" w:fill="auto"/>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xml:space="preserve">Cuenta de Pérdidas y Ganancias correspondiente al ejercicio terminado </w:t>
            </w:r>
            <w:r w:rsidRPr="00FC7232">
              <w:rPr>
                <w:rFonts w:ascii="Lucida Bright" w:hAnsi="Lucida Bright" w:cs="Calibri"/>
                <w:sz w:val="16"/>
                <w:szCs w:val="16"/>
                <w:lang w:val="es-ES"/>
              </w:rPr>
              <w:t>(en euros)</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(Debe) Haber</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2022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2022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532.385,83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532.385,83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532.385,83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(353.665,46)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(353.665,46)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i/>
                <w:iCs/>
                <w:sz w:val="14"/>
                <w:szCs w:val="14"/>
                <w:lang w:val="es-ES"/>
              </w:rPr>
            </w:pPr>
            <w:r w:rsidRPr="00FC7232">
              <w:rPr>
                <w:rFonts w:ascii="Lucida Bright" w:hAnsi="Lucida Bright" w:cs="Calibri"/>
                <w:i/>
                <w:iCs/>
                <w:sz w:val="14"/>
                <w:szCs w:val="14"/>
                <w:lang w:val="es-ES"/>
              </w:rPr>
              <w:t xml:space="preserve">(353.665,46)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(353.665,46)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i/>
                <w:iCs/>
                <w:sz w:val="14"/>
                <w:szCs w:val="14"/>
                <w:lang w:val="es-ES"/>
              </w:rPr>
            </w:pPr>
            <w:r w:rsidRPr="00FC7232">
              <w:rPr>
                <w:rFonts w:ascii="Lucida Bright" w:hAnsi="Lucida Bright" w:cs="Calibri"/>
                <w:i/>
                <w:i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(1.606.244,82)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(1.606.244,82)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(82.345,95)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(82.345,95)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(82.345,95)  </w:t>
            </w:r>
          </w:p>
        </w:tc>
      </w:tr>
    </w:tbl>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FC7232" w:rsidRPr="00FC7232" w:rsidTr="00FC7232">
        <w:trPr>
          <w:trHeight w:val="300"/>
        </w:trPr>
        <w:tc>
          <w:tcPr>
            <w:tcW w:w="484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FC7232" w:rsidRPr="00FC7232" w:rsidRDefault="00FC7232" w:rsidP="00FC7232">
            <w:pPr>
              <w:rPr>
                <w:rFonts w:ascii="Lucida Bright" w:hAnsi="Lucida Bright" w:cs="Calibri"/>
                <w:sz w:val="16"/>
                <w:szCs w:val="16"/>
                <w:lang w:val="es-ES"/>
              </w:rPr>
            </w:pPr>
            <w:r w:rsidRPr="00FC7232">
              <w:rPr>
                <w:rFonts w:ascii="Lucida Bright" w:hAnsi="Lucida Bright" w:cs="Calibri"/>
                <w:sz w:val="16"/>
                <w:szCs w:val="16"/>
                <w:lang w:val="es-ES"/>
              </w:rPr>
              <w:t>(en euros)</w:t>
            </w:r>
          </w:p>
        </w:tc>
      </w:tr>
      <w:tr w:rsidR="00FC7232" w:rsidRPr="00FC7232" w:rsidTr="00FC7232">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2023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2023 Imputación en patrimonio neto</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(2.843.337,84) </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1.425.201,48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1.425.201,48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(3.698.258,20)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37.703,67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5.370.810,88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188.664,67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(11.110.425,27)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1.814.987,85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(570.281,12)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(570.281,12)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PATRIMONIO NETO Y PASIVO</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2023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2023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A-3) Subvenciones, donaciones y legados recibidos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(620.038,33)  </w:t>
            </w:r>
          </w:p>
        </w:tc>
        <w:tc>
          <w:tcPr>
            <w:tcW w:w="1720" w:type="dxa"/>
            <w:tcBorders>
              <w:top w:val="nil"/>
              <w:left w:val="nil"/>
              <w:bottom w:val="single" w:sz="4" w:space="0" w:color="auto"/>
              <w:right w:val="single" w:sz="4" w:space="0" w:color="auto"/>
            </w:tcBorders>
            <w:shd w:val="clear" w:color="auto" w:fill="auto"/>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xml:space="preserve">Cuenta de Pérdidas y Ganancias correspondiente al ejercicio terminado </w:t>
            </w:r>
            <w:r w:rsidRPr="00FC7232">
              <w:rPr>
                <w:rFonts w:ascii="Lucida Bright" w:hAnsi="Lucida Bright" w:cs="Calibri"/>
                <w:sz w:val="16"/>
                <w:szCs w:val="16"/>
                <w:lang w:val="es-ES"/>
              </w:rPr>
              <w:t>(en euros)</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(Debe) Haber</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2023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2023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620.038,33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620.038,33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620.038,33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(305.756,48)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(305.756,48)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i/>
                <w:iCs/>
                <w:sz w:val="14"/>
                <w:szCs w:val="14"/>
                <w:lang w:val="es-ES"/>
              </w:rPr>
            </w:pPr>
            <w:r w:rsidRPr="00FC7232">
              <w:rPr>
                <w:rFonts w:ascii="Lucida Bright" w:hAnsi="Lucida Bright" w:cs="Calibri"/>
                <w:i/>
                <w:iCs/>
                <w:sz w:val="14"/>
                <w:szCs w:val="14"/>
                <w:lang w:val="es-ES"/>
              </w:rPr>
              <w:t xml:space="preserve">(254.353,15)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(254.353,15)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i/>
                <w:iCs/>
                <w:sz w:val="14"/>
                <w:szCs w:val="14"/>
                <w:lang w:val="es-ES"/>
              </w:rPr>
            </w:pPr>
            <w:r w:rsidRPr="00FC7232">
              <w:rPr>
                <w:rFonts w:ascii="Lucida Bright" w:hAnsi="Lucida Bright" w:cs="Calibri"/>
                <w:i/>
                <w:iCs/>
                <w:sz w:val="14"/>
                <w:szCs w:val="14"/>
                <w:lang w:val="es-ES"/>
              </w:rPr>
              <w:t xml:space="preserve">(51.403,33)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(51.403,33)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(2.537.581,36)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(2.537.581,36)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bl>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tbl>
      <w:tblPr>
        <w:tblW w:w="8280" w:type="dxa"/>
        <w:tblInd w:w="55" w:type="dxa"/>
        <w:tblCellMar>
          <w:left w:w="70" w:type="dxa"/>
          <w:right w:w="70" w:type="dxa"/>
        </w:tblCellMar>
        <w:tblLook w:val="04A0" w:firstRow="1" w:lastRow="0" w:firstColumn="1" w:lastColumn="0" w:noHBand="0" w:noVBand="1"/>
      </w:tblPr>
      <w:tblGrid>
        <w:gridCol w:w="4840"/>
        <w:gridCol w:w="1720"/>
        <w:gridCol w:w="1720"/>
      </w:tblGrid>
      <w:tr w:rsidR="00FC7232" w:rsidRPr="00FC7232" w:rsidTr="00FC7232">
        <w:trPr>
          <w:trHeight w:val="300"/>
        </w:trPr>
        <w:tc>
          <w:tcPr>
            <w:tcW w:w="484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lastRenderedPageBreak/>
              <w:t>Balance al cierre del ejercicio</w:t>
            </w:r>
          </w:p>
        </w:tc>
        <w:tc>
          <w:tcPr>
            <w:tcW w:w="1720" w:type="dxa"/>
            <w:tcBorders>
              <w:top w:val="nil"/>
              <w:left w:val="nil"/>
              <w:bottom w:val="nil"/>
              <w:right w:val="nil"/>
            </w:tcBorders>
            <w:shd w:val="clear" w:color="000000" w:fill="FFFFFF"/>
            <w:noWrap/>
            <w:vAlign w:val="bottom"/>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w:t>
            </w:r>
          </w:p>
        </w:tc>
        <w:tc>
          <w:tcPr>
            <w:tcW w:w="1720" w:type="dxa"/>
            <w:tcBorders>
              <w:top w:val="nil"/>
              <w:left w:val="nil"/>
              <w:bottom w:val="nil"/>
              <w:right w:val="nil"/>
            </w:tcBorders>
            <w:shd w:val="clear" w:color="000000" w:fill="FFFFFF"/>
            <w:noWrap/>
            <w:vAlign w:val="center"/>
            <w:hideMark/>
          </w:tcPr>
          <w:p w:rsidR="00FC7232" w:rsidRPr="00FC7232" w:rsidRDefault="00FC7232" w:rsidP="00FC7232">
            <w:pPr>
              <w:rPr>
                <w:rFonts w:ascii="Lucida Bright" w:hAnsi="Lucida Bright" w:cs="Calibri"/>
                <w:sz w:val="16"/>
                <w:szCs w:val="16"/>
                <w:lang w:val="es-ES"/>
              </w:rPr>
            </w:pPr>
            <w:r w:rsidRPr="00FC7232">
              <w:rPr>
                <w:rFonts w:ascii="Lucida Bright" w:hAnsi="Lucida Bright" w:cs="Calibri"/>
                <w:sz w:val="16"/>
                <w:szCs w:val="16"/>
                <w:lang w:val="es-ES"/>
              </w:rPr>
              <w:t>(en euros)</w:t>
            </w:r>
          </w:p>
        </w:tc>
      </w:tr>
      <w:tr w:rsidR="00FC7232" w:rsidRPr="00FC7232" w:rsidTr="00FC7232">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ACTIVO</w:t>
            </w:r>
          </w:p>
        </w:tc>
        <w:tc>
          <w:tcPr>
            <w:tcW w:w="1720" w:type="dxa"/>
            <w:tcBorders>
              <w:top w:val="single" w:sz="4" w:space="0" w:color="auto"/>
              <w:left w:val="nil"/>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totales ajustes</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totales Imputación en patrimonio neto</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bottom"/>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 ACTIVO NO CORRIENTE</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150.444,27 </w:t>
            </w:r>
          </w:p>
        </w:tc>
        <w:tc>
          <w:tcPr>
            <w:tcW w:w="1720" w:type="dxa"/>
            <w:tcBorders>
              <w:top w:val="nil"/>
              <w:left w:val="nil"/>
              <w:bottom w:val="nil"/>
              <w:right w:val="single" w:sz="4" w:space="0" w:color="auto"/>
            </w:tcBorders>
            <w:shd w:val="clear" w:color="000000" w:fill="CCFFCC"/>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3.399.663,21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Propiedad industrial y otro inmovilizado intangible</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Aplicaciones informáticas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3.399.663,21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Anticipos para inmovilizaciones intangibles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 Inmovilizado material</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(11.472.453,87)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 y bienes naturales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423.220,75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14.262.151,15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3. Equipamientos e instalaciones técnicas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366.032,27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4. Inmovilizado en curso y anticipos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(30.083.702,69)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5. Otro inmovilizado</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3.559.844,65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III. Inversiones inmobiliarias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8.223.234,93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1. Terrenos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xml:space="preserve">       2. Construcciones</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8.223.234,93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PATRIMONIO NETO Y PASIVO</w:t>
            </w:r>
          </w:p>
        </w:tc>
        <w:tc>
          <w:tcPr>
            <w:tcW w:w="172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totales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totales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xml:space="preserve"> A-3) Subvenciones, donaciones y legados recibidos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7.455.740,56  </w:t>
            </w:r>
          </w:p>
        </w:tc>
        <w:tc>
          <w:tcPr>
            <w:tcW w:w="1720" w:type="dxa"/>
            <w:tcBorders>
              <w:top w:val="nil"/>
              <w:left w:val="nil"/>
              <w:bottom w:val="single" w:sz="4" w:space="0" w:color="auto"/>
              <w:right w:val="single" w:sz="4" w:space="0" w:color="auto"/>
            </w:tcBorders>
            <w:shd w:val="clear" w:color="auto" w:fill="auto"/>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FC7232" w:rsidRPr="00FC7232" w:rsidRDefault="00FC7232" w:rsidP="00FC7232">
            <w:pPr>
              <w:rPr>
                <w:rFonts w:ascii="Lucida Bright" w:hAnsi="Lucida Bright" w:cs="Calibri"/>
                <w:b/>
                <w:bCs/>
                <w:sz w:val="16"/>
                <w:szCs w:val="16"/>
                <w:lang w:val="es-ES"/>
              </w:rPr>
            </w:pPr>
            <w:r w:rsidRPr="00FC7232">
              <w:rPr>
                <w:rFonts w:ascii="Lucida Bright" w:hAnsi="Lucida Bright" w:cs="Calibri"/>
                <w:b/>
                <w:bCs/>
                <w:sz w:val="16"/>
                <w:szCs w:val="16"/>
                <w:lang w:val="es-ES"/>
              </w:rPr>
              <w:t xml:space="preserve">Cuenta de Pérdidas y Ganancias correspondiente al ejercicio terminado </w:t>
            </w:r>
            <w:r w:rsidRPr="00FC7232">
              <w:rPr>
                <w:rFonts w:ascii="Lucida Bright" w:hAnsi="Lucida Bright" w:cs="Calibri"/>
                <w:sz w:val="16"/>
                <w:szCs w:val="16"/>
                <w:lang w:val="es-ES"/>
              </w:rPr>
              <w:t>(en euros)</w:t>
            </w:r>
          </w:p>
        </w:tc>
      </w:tr>
      <w:tr w:rsidR="00FC7232" w:rsidRPr="00FC7232" w:rsidTr="00FC7232">
        <w:trPr>
          <w:trHeight w:val="300"/>
        </w:trPr>
        <w:tc>
          <w:tcPr>
            <w:tcW w:w="4840" w:type="dxa"/>
            <w:tcBorders>
              <w:top w:val="nil"/>
              <w:left w:val="single" w:sz="4" w:space="0" w:color="auto"/>
              <w:bottom w:val="nil"/>
              <w:right w:val="single" w:sz="4" w:space="0" w:color="auto"/>
            </w:tcBorders>
            <w:shd w:val="clear" w:color="000000" w:fill="CCFFCC"/>
            <w:noWrap/>
            <w:vAlign w:val="bottom"/>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34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(Debe) Haber</w:t>
            </w:r>
          </w:p>
        </w:tc>
      </w:tr>
      <w:tr w:rsidR="00FC7232" w:rsidRPr="00FC7232" w:rsidTr="00FC7232">
        <w:trPr>
          <w:trHeight w:val="720"/>
        </w:trPr>
        <w:tc>
          <w:tcPr>
            <w:tcW w:w="4840" w:type="dxa"/>
            <w:tcBorders>
              <w:top w:val="nil"/>
              <w:left w:val="single" w:sz="4" w:space="0" w:color="auto"/>
              <w:bottom w:val="single" w:sz="4" w:space="0" w:color="auto"/>
              <w:right w:val="nil"/>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totales ajustes</w:t>
            </w:r>
          </w:p>
        </w:tc>
        <w:tc>
          <w:tcPr>
            <w:tcW w:w="1720" w:type="dxa"/>
            <w:tcBorders>
              <w:top w:val="nil"/>
              <w:left w:val="nil"/>
              <w:bottom w:val="single" w:sz="4" w:space="0" w:color="auto"/>
              <w:right w:val="single" w:sz="4" w:space="0" w:color="auto"/>
            </w:tcBorders>
            <w:shd w:val="clear" w:color="000000" w:fill="CCFFCC"/>
            <w:vAlign w:val="center"/>
            <w:hideMark/>
          </w:tcPr>
          <w:p w:rsidR="00FC7232" w:rsidRPr="00FC7232" w:rsidRDefault="00FC7232" w:rsidP="00FC7232">
            <w:pPr>
              <w:jc w:val="center"/>
              <w:rPr>
                <w:rFonts w:ascii="Lucida Bright" w:hAnsi="Lucida Bright" w:cs="Calibri"/>
                <w:b/>
                <w:bCs/>
                <w:sz w:val="18"/>
                <w:szCs w:val="18"/>
                <w:lang w:val="es-ES"/>
              </w:rPr>
            </w:pPr>
            <w:r w:rsidRPr="00FC7232">
              <w:rPr>
                <w:rFonts w:ascii="Lucida Bright" w:hAnsi="Lucida Bright" w:cs="Calibri"/>
                <w:b/>
                <w:bCs/>
                <w:sz w:val="18"/>
                <w:szCs w:val="18"/>
                <w:lang w:val="es-ES"/>
              </w:rPr>
              <w:t>totales Imputación en patrimonio neto</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5. Otros ingresos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2.439.023,27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Ingresos accesorios y otros de gestión corriente</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Subvenciones de explotación incorporadas al resultado del ejercicio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c) Ingresos traspasados al resultado por concesiones revertidas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2.439.023,27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2.439.023,27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d) Fondo de Compensación Interportuario recibido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7. Otros gastos de explotación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(941.251,44)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Servicios exteriores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(941.251,44)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sz w:val="14"/>
                <w:szCs w:val="14"/>
                <w:lang w:val="es-ES"/>
              </w:rPr>
            </w:pPr>
            <w:r w:rsidRPr="00FC7232">
              <w:rPr>
                <w:rFonts w:ascii="Lucida Bright" w:hAnsi="Lucida Bright" w:cs="Calibri"/>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1. Reparaciones y conservación</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(889.848,11)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(889.848,11)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300" w:firstLine="420"/>
              <w:rPr>
                <w:rFonts w:ascii="Lucida Bright" w:hAnsi="Lucida Bright" w:cs="Calibri"/>
                <w:i/>
                <w:iCs/>
                <w:sz w:val="14"/>
                <w:szCs w:val="14"/>
                <w:lang w:val="es-ES"/>
              </w:rPr>
            </w:pPr>
            <w:r w:rsidRPr="00FC7232">
              <w:rPr>
                <w:rFonts w:ascii="Lucida Bright" w:hAnsi="Lucida Bright" w:cs="Calibri"/>
                <w:i/>
                <w:iCs/>
                <w:sz w:val="14"/>
                <w:szCs w:val="14"/>
                <w:lang w:val="es-ES"/>
              </w:rPr>
              <w:t>2. Servicios de profesionales independientes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(51.403,33)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(51.403,33)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8. Amortizaciones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(6.981.361,32)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(6.981.361,32)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center"/>
            <w:hideMark/>
          </w:tcPr>
          <w:p w:rsidR="00FC7232" w:rsidRPr="00FC7232" w:rsidRDefault="00FC7232" w:rsidP="00FC7232">
            <w:pPr>
              <w:ind w:firstLineChars="100" w:firstLine="141"/>
              <w:rPr>
                <w:rFonts w:ascii="Lucida Bright" w:hAnsi="Lucida Bright" w:cs="Calibri"/>
                <w:b/>
                <w:bCs/>
                <w:sz w:val="14"/>
                <w:szCs w:val="14"/>
                <w:lang w:val="es-ES"/>
              </w:rPr>
            </w:pPr>
            <w:r w:rsidRPr="00FC7232">
              <w:rPr>
                <w:rFonts w:ascii="Lucida Bright" w:hAnsi="Lucida Bright" w:cs="Calibri"/>
                <w:b/>
                <w:bCs/>
                <w:sz w:val="14"/>
                <w:szCs w:val="14"/>
                <w:lang w:val="es-ES"/>
              </w:rPr>
              <w:t>11. Deterioro y resultado por enajenaciones del inmovilizado</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(1.821.706,80)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nil"/>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a) Deterioros y pérdidas</w:t>
            </w:r>
          </w:p>
        </w:tc>
        <w:tc>
          <w:tcPr>
            <w:tcW w:w="1720" w:type="dxa"/>
            <w:tcBorders>
              <w:top w:val="nil"/>
              <w:left w:val="single" w:sz="4" w:space="0" w:color="auto"/>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c>
          <w:tcPr>
            <w:tcW w:w="1720" w:type="dxa"/>
            <w:tcBorders>
              <w:top w:val="nil"/>
              <w:left w:val="nil"/>
              <w:bottom w:val="nil"/>
              <w:right w:val="single" w:sz="4" w:space="0" w:color="auto"/>
            </w:tcBorders>
            <w:shd w:val="clear" w:color="auto" w:fill="auto"/>
            <w:noWrap/>
            <w:vAlign w:val="center"/>
            <w:hideMark/>
          </w:tcPr>
          <w:p w:rsidR="00FC7232" w:rsidRPr="00FC7232" w:rsidRDefault="00FC7232" w:rsidP="00FC7232">
            <w:pPr>
              <w:rPr>
                <w:rFonts w:ascii="Lucida Bright" w:hAnsi="Lucida Bright" w:cs="Calibri"/>
                <w:b/>
                <w:bCs/>
                <w:sz w:val="14"/>
                <w:szCs w:val="14"/>
                <w:lang w:val="es-ES"/>
              </w:rPr>
            </w:pPr>
            <w:r w:rsidRPr="00FC7232">
              <w:rPr>
                <w:rFonts w:ascii="Lucida Bright" w:hAnsi="Lucida Bright" w:cs="Calibri"/>
                <w:b/>
                <w:bCs/>
                <w:sz w:val="14"/>
                <w:szCs w:val="14"/>
                <w:lang w:val="es-ES"/>
              </w:rPr>
              <w:t> </w:t>
            </w:r>
          </w:p>
        </w:tc>
      </w:tr>
      <w:tr w:rsidR="00FC7232" w:rsidRPr="00FC7232" w:rsidTr="00FC7232">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FC7232" w:rsidRPr="00FC7232" w:rsidRDefault="00FC7232" w:rsidP="00FC7232">
            <w:pPr>
              <w:ind w:firstLineChars="200" w:firstLine="280"/>
              <w:rPr>
                <w:rFonts w:ascii="Lucida Bright" w:hAnsi="Lucida Bright" w:cs="Calibri"/>
                <w:sz w:val="14"/>
                <w:szCs w:val="14"/>
                <w:lang w:val="es-ES"/>
              </w:rPr>
            </w:pPr>
            <w:r w:rsidRPr="00FC7232">
              <w:rPr>
                <w:rFonts w:ascii="Lucida Bright" w:hAnsi="Lucida Bright" w:cs="Calibri"/>
                <w:sz w:val="14"/>
                <w:szCs w:val="14"/>
                <w:lang w:val="es-ES"/>
              </w:rPr>
              <w:t>b) Resultados por enajenaciones y otras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sz w:val="14"/>
                <w:szCs w:val="14"/>
                <w:lang w:val="es-ES"/>
              </w:rPr>
            </w:pPr>
            <w:r w:rsidRPr="00FC7232">
              <w:rPr>
                <w:rFonts w:ascii="Lucida Bright" w:hAnsi="Lucida Bright" w:cs="Calibri"/>
                <w:sz w:val="14"/>
                <w:szCs w:val="14"/>
                <w:lang w:val="es-ES"/>
              </w:rPr>
              <w:t xml:space="preserve">(1.821.706,80) </w:t>
            </w:r>
          </w:p>
        </w:tc>
        <w:tc>
          <w:tcPr>
            <w:tcW w:w="1720" w:type="dxa"/>
            <w:tcBorders>
              <w:top w:val="nil"/>
              <w:left w:val="nil"/>
              <w:bottom w:val="single" w:sz="4" w:space="0" w:color="auto"/>
              <w:right w:val="single" w:sz="4" w:space="0" w:color="auto"/>
            </w:tcBorders>
            <w:shd w:val="clear" w:color="auto" w:fill="auto"/>
            <w:noWrap/>
            <w:vAlign w:val="center"/>
            <w:hideMark/>
          </w:tcPr>
          <w:p w:rsidR="00FC7232" w:rsidRPr="00FC7232" w:rsidRDefault="00FC7232" w:rsidP="00FC7232">
            <w:pPr>
              <w:jc w:val="right"/>
              <w:rPr>
                <w:rFonts w:ascii="Lucida Bright" w:hAnsi="Lucida Bright" w:cs="Calibri"/>
                <w:b/>
                <w:bCs/>
                <w:sz w:val="14"/>
                <w:szCs w:val="14"/>
                <w:lang w:val="es-ES"/>
              </w:rPr>
            </w:pPr>
            <w:r w:rsidRPr="00FC7232">
              <w:rPr>
                <w:rFonts w:ascii="Lucida Bright" w:hAnsi="Lucida Bright" w:cs="Calibri"/>
                <w:b/>
                <w:bCs/>
                <w:sz w:val="14"/>
                <w:szCs w:val="14"/>
                <w:lang w:val="es-ES"/>
              </w:rPr>
              <w:t xml:space="preserve">(1.821.706,80)  </w:t>
            </w:r>
          </w:p>
        </w:tc>
      </w:tr>
    </w:tbl>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FC7232" w:rsidRDefault="00FC7232" w:rsidP="00F333F2">
      <w:pPr>
        <w:pStyle w:val="Prrafodelista"/>
        <w:spacing w:before="100" w:after="100"/>
        <w:ind w:left="646"/>
        <w:jc w:val="both"/>
        <w:rPr>
          <w:rFonts w:ascii="NewBaskerville" w:hAnsi="NewBaskerville"/>
        </w:rPr>
      </w:pPr>
    </w:p>
    <w:p w:rsidR="0030255B" w:rsidRDefault="005B1077" w:rsidP="00F333F2">
      <w:pPr>
        <w:pStyle w:val="Prrafodelista"/>
        <w:spacing w:before="100" w:after="100"/>
        <w:ind w:left="646"/>
        <w:jc w:val="both"/>
        <w:rPr>
          <w:rFonts w:ascii="NewBaskerville" w:hAnsi="NewBaskerville"/>
        </w:rPr>
      </w:pPr>
      <w:r>
        <w:rPr>
          <w:rFonts w:ascii="NewBaskerville" w:hAnsi="NewBaskerville"/>
        </w:rPr>
        <w:t xml:space="preserve">g.2.) </w:t>
      </w:r>
      <w:r w:rsidR="009E448A">
        <w:rPr>
          <w:rFonts w:ascii="NewBaskerville" w:hAnsi="NewBaskerville"/>
        </w:rPr>
        <w:t xml:space="preserve">Importe de la corrección para cada una de las partidas </w:t>
      </w:r>
      <w:r w:rsidR="005C2F51">
        <w:rPr>
          <w:rFonts w:ascii="NewBaskerville" w:hAnsi="NewBaskerville"/>
        </w:rPr>
        <w:t>en los documentos que integran estas cuentas anuales a efectos comparativos:</w:t>
      </w:r>
    </w:p>
    <w:tbl>
      <w:tblPr>
        <w:tblW w:w="5000" w:type="pct"/>
        <w:tblCellMar>
          <w:left w:w="70" w:type="dxa"/>
          <w:right w:w="70" w:type="dxa"/>
        </w:tblCellMar>
        <w:tblLook w:val="04A0" w:firstRow="1" w:lastRow="0" w:firstColumn="1" w:lastColumn="0" w:noHBand="0" w:noVBand="1"/>
      </w:tblPr>
      <w:tblGrid>
        <w:gridCol w:w="6062"/>
        <w:gridCol w:w="1491"/>
        <w:gridCol w:w="1800"/>
      </w:tblGrid>
      <w:tr w:rsidR="00F04849" w:rsidRPr="00F04849" w:rsidTr="00F04849">
        <w:trPr>
          <w:trHeight w:val="300"/>
        </w:trPr>
        <w:tc>
          <w:tcPr>
            <w:tcW w:w="3241" w:type="pct"/>
            <w:tcBorders>
              <w:top w:val="nil"/>
              <w:left w:val="nil"/>
              <w:bottom w:val="nil"/>
              <w:right w:val="nil"/>
            </w:tcBorders>
            <w:shd w:val="clear" w:color="000000" w:fill="FFFFFF"/>
            <w:noWrap/>
            <w:vAlign w:val="bottom"/>
            <w:hideMark/>
          </w:tcPr>
          <w:p w:rsidR="00F04849" w:rsidRPr="00F04849" w:rsidRDefault="00F04849" w:rsidP="00F04849">
            <w:pPr>
              <w:rPr>
                <w:rFonts w:ascii="Lucida Bright" w:hAnsi="Lucida Bright" w:cs="Calibri"/>
                <w:b/>
                <w:bCs/>
                <w:sz w:val="18"/>
                <w:szCs w:val="18"/>
                <w:lang w:val="es-ES"/>
              </w:rPr>
            </w:pPr>
            <w:r w:rsidRPr="00F04849">
              <w:rPr>
                <w:rFonts w:ascii="Lucida Bright" w:hAnsi="Lucida Bright" w:cs="Calibri"/>
                <w:b/>
                <w:bCs/>
                <w:sz w:val="18"/>
                <w:szCs w:val="18"/>
                <w:lang w:val="es-ES"/>
              </w:rPr>
              <w:t>Balance al cierre del ejercicio 2024</w:t>
            </w:r>
          </w:p>
        </w:tc>
        <w:tc>
          <w:tcPr>
            <w:tcW w:w="797" w:type="pct"/>
            <w:tcBorders>
              <w:top w:val="nil"/>
              <w:left w:val="nil"/>
              <w:bottom w:val="nil"/>
              <w:right w:val="nil"/>
            </w:tcBorders>
            <w:shd w:val="clear" w:color="000000" w:fill="FFFFFF"/>
            <w:noWrap/>
            <w:vAlign w:val="center"/>
            <w:hideMark/>
          </w:tcPr>
          <w:p w:rsidR="00F04849" w:rsidRPr="00F04849" w:rsidRDefault="00F04849" w:rsidP="00F04849">
            <w:pPr>
              <w:rPr>
                <w:rFonts w:ascii="Lucida Bright" w:hAnsi="Lucida Bright" w:cs="Calibri"/>
                <w:sz w:val="18"/>
                <w:szCs w:val="18"/>
                <w:lang w:val="es-ES"/>
              </w:rPr>
            </w:pPr>
            <w:r w:rsidRPr="00F04849">
              <w:rPr>
                <w:rFonts w:ascii="Lucida Bright" w:hAnsi="Lucida Bright" w:cs="Calibri"/>
                <w:sz w:val="18"/>
                <w:szCs w:val="18"/>
                <w:lang w:val="es-ES"/>
              </w:rPr>
              <w:t>(en euros)</w:t>
            </w:r>
          </w:p>
        </w:tc>
        <w:tc>
          <w:tcPr>
            <w:tcW w:w="963" w:type="pct"/>
            <w:tcBorders>
              <w:top w:val="nil"/>
              <w:left w:val="nil"/>
              <w:bottom w:val="nil"/>
              <w:right w:val="nil"/>
            </w:tcBorders>
            <w:shd w:val="clear" w:color="auto" w:fill="auto"/>
            <w:noWrap/>
            <w:vAlign w:val="bottom"/>
            <w:hideMark/>
          </w:tcPr>
          <w:p w:rsidR="00F04849" w:rsidRPr="00F04849" w:rsidRDefault="00F04849" w:rsidP="00F04849">
            <w:pPr>
              <w:rPr>
                <w:rFonts w:ascii="Calibri" w:hAnsi="Calibri" w:cs="Calibri"/>
                <w:color w:val="000000"/>
                <w:sz w:val="22"/>
                <w:szCs w:val="22"/>
                <w:lang w:val="es-ES"/>
              </w:rPr>
            </w:pPr>
          </w:p>
        </w:tc>
      </w:tr>
      <w:tr w:rsidR="00F04849" w:rsidRPr="00F04849" w:rsidTr="00F04849">
        <w:trPr>
          <w:trHeight w:val="300"/>
        </w:trPr>
        <w:tc>
          <w:tcPr>
            <w:tcW w:w="3241"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04849" w:rsidRPr="00F04849" w:rsidRDefault="00F04849" w:rsidP="00F04849">
            <w:pPr>
              <w:jc w:val="center"/>
              <w:rPr>
                <w:rFonts w:ascii="Lucida Bright" w:hAnsi="Lucida Bright" w:cs="Calibri"/>
                <w:b/>
                <w:bCs/>
                <w:sz w:val="18"/>
                <w:szCs w:val="18"/>
                <w:lang w:val="es-ES"/>
              </w:rPr>
            </w:pPr>
            <w:r w:rsidRPr="00F04849">
              <w:rPr>
                <w:rFonts w:ascii="Lucida Bright" w:hAnsi="Lucida Bright" w:cs="Calibri"/>
                <w:b/>
                <w:bCs/>
                <w:sz w:val="18"/>
                <w:szCs w:val="18"/>
                <w:lang w:val="es-ES"/>
              </w:rPr>
              <w:t>ACTIVO</w:t>
            </w:r>
          </w:p>
        </w:tc>
        <w:tc>
          <w:tcPr>
            <w:tcW w:w="797" w:type="pct"/>
            <w:tcBorders>
              <w:top w:val="single" w:sz="4" w:space="0" w:color="auto"/>
              <w:left w:val="nil"/>
              <w:bottom w:val="single" w:sz="4" w:space="0" w:color="auto"/>
              <w:right w:val="single" w:sz="4" w:space="0" w:color="auto"/>
            </w:tcBorders>
            <w:shd w:val="clear" w:color="000000" w:fill="CCFFCC"/>
            <w:noWrap/>
            <w:vAlign w:val="center"/>
            <w:hideMark/>
          </w:tcPr>
          <w:p w:rsidR="00F04849" w:rsidRPr="00F04849" w:rsidRDefault="00F04849" w:rsidP="00F04849">
            <w:pPr>
              <w:jc w:val="center"/>
              <w:rPr>
                <w:rFonts w:ascii="Lucida Bright" w:hAnsi="Lucida Bright" w:cs="Calibri"/>
                <w:b/>
                <w:bCs/>
                <w:sz w:val="18"/>
                <w:szCs w:val="18"/>
                <w:lang w:val="es-ES"/>
              </w:rPr>
            </w:pPr>
            <w:r w:rsidRPr="00F04849">
              <w:rPr>
                <w:rFonts w:ascii="Lucida Bright" w:hAnsi="Lucida Bright" w:cs="Calibri"/>
                <w:b/>
                <w:bCs/>
                <w:sz w:val="18"/>
                <w:szCs w:val="18"/>
                <w:lang w:val="es-ES"/>
              </w:rPr>
              <w:t>2024</w:t>
            </w:r>
          </w:p>
        </w:tc>
        <w:tc>
          <w:tcPr>
            <w:tcW w:w="963" w:type="pct"/>
            <w:tcBorders>
              <w:top w:val="single" w:sz="4" w:space="0" w:color="auto"/>
              <w:left w:val="nil"/>
              <w:bottom w:val="single" w:sz="4" w:space="0" w:color="auto"/>
              <w:right w:val="single" w:sz="4" w:space="0" w:color="auto"/>
            </w:tcBorders>
            <w:shd w:val="clear" w:color="000000" w:fill="CCFFCC"/>
            <w:noWrap/>
            <w:vAlign w:val="center"/>
            <w:hideMark/>
          </w:tcPr>
          <w:p w:rsidR="00F04849" w:rsidRPr="00F04849" w:rsidRDefault="00F04849" w:rsidP="00F04849">
            <w:pPr>
              <w:jc w:val="center"/>
              <w:rPr>
                <w:rFonts w:ascii="Lucida Bright" w:hAnsi="Lucida Bright" w:cs="Calibri"/>
                <w:b/>
                <w:bCs/>
                <w:sz w:val="18"/>
                <w:szCs w:val="18"/>
                <w:lang w:val="es-ES"/>
              </w:rPr>
            </w:pPr>
            <w:r w:rsidRPr="00F04849">
              <w:rPr>
                <w:rFonts w:ascii="Lucida Bright" w:hAnsi="Lucida Bright" w:cs="Calibri"/>
                <w:b/>
                <w:bCs/>
                <w:sz w:val="18"/>
                <w:szCs w:val="18"/>
                <w:lang w:val="es-ES"/>
              </w:rPr>
              <w:t>2023</w:t>
            </w:r>
          </w:p>
        </w:tc>
      </w:tr>
      <w:tr w:rsidR="00F04849" w:rsidRPr="00F04849" w:rsidTr="00F04849">
        <w:trPr>
          <w:trHeight w:val="139"/>
        </w:trPr>
        <w:tc>
          <w:tcPr>
            <w:tcW w:w="3241" w:type="pct"/>
            <w:tcBorders>
              <w:top w:val="nil"/>
              <w:left w:val="single" w:sz="4" w:space="0" w:color="auto"/>
              <w:bottom w:val="nil"/>
              <w:right w:val="single" w:sz="4" w:space="0" w:color="auto"/>
            </w:tcBorders>
            <w:shd w:val="clear" w:color="auto" w:fill="auto"/>
            <w:noWrap/>
            <w:vAlign w:val="bottom"/>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97" w:type="pct"/>
            <w:tcBorders>
              <w:top w:val="nil"/>
              <w:left w:val="nil"/>
              <w:bottom w:val="nil"/>
              <w:right w:val="single" w:sz="4" w:space="0" w:color="auto"/>
            </w:tcBorders>
            <w:shd w:val="clear" w:color="auto" w:fill="auto"/>
            <w:noWrap/>
            <w:vAlign w:val="bottom"/>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963" w:type="pct"/>
            <w:tcBorders>
              <w:top w:val="nil"/>
              <w:left w:val="nil"/>
              <w:bottom w:val="nil"/>
              <w:right w:val="single" w:sz="4" w:space="0" w:color="auto"/>
            </w:tcBorders>
            <w:shd w:val="clear" w:color="auto" w:fill="auto"/>
            <w:noWrap/>
            <w:vAlign w:val="bottom"/>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r>
      <w:tr w:rsidR="00F04849" w:rsidRPr="00F04849" w:rsidTr="00F04849">
        <w:trPr>
          <w:trHeight w:val="210"/>
        </w:trPr>
        <w:tc>
          <w:tcPr>
            <w:tcW w:w="3241" w:type="pct"/>
            <w:tcBorders>
              <w:top w:val="nil"/>
              <w:left w:val="single" w:sz="4" w:space="0" w:color="auto"/>
              <w:bottom w:val="nil"/>
              <w:right w:val="single" w:sz="4" w:space="0" w:color="auto"/>
            </w:tcBorders>
            <w:shd w:val="clear" w:color="000000" w:fill="CCFFCC"/>
            <w:noWrap/>
            <w:vAlign w:val="center"/>
            <w:hideMark/>
          </w:tcPr>
          <w:p w:rsidR="00F04849" w:rsidRPr="00F04849" w:rsidRDefault="00F04849" w:rsidP="00F04849">
            <w:pPr>
              <w:rPr>
                <w:rFonts w:ascii="Lucida Bright" w:hAnsi="Lucida Bright" w:cs="Calibri"/>
                <w:b/>
                <w:bCs/>
                <w:sz w:val="14"/>
                <w:szCs w:val="14"/>
                <w:lang w:val="es-ES"/>
              </w:rPr>
            </w:pPr>
            <w:r w:rsidRPr="00F04849">
              <w:rPr>
                <w:rFonts w:ascii="Lucida Bright" w:hAnsi="Lucida Bright" w:cs="Calibri"/>
                <w:b/>
                <w:bCs/>
                <w:sz w:val="14"/>
                <w:szCs w:val="14"/>
                <w:lang w:val="es-ES"/>
              </w:rPr>
              <w:t xml:space="preserve"> A) ACTIVO NO CORRIENTE</w:t>
            </w:r>
          </w:p>
        </w:tc>
        <w:tc>
          <w:tcPr>
            <w:tcW w:w="797" w:type="pct"/>
            <w:tcBorders>
              <w:top w:val="nil"/>
              <w:left w:val="nil"/>
              <w:bottom w:val="nil"/>
              <w:right w:val="single" w:sz="4" w:space="0" w:color="auto"/>
            </w:tcBorders>
            <w:shd w:val="clear" w:color="000000" w:fill="CCFFCC"/>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c>
          <w:tcPr>
            <w:tcW w:w="963" w:type="pct"/>
            <w:tcBorders>
              <w:top w:val="nil"/>
              <w:left w:val="nil"/>
              <w:bottom w:val="nil"/>
              <w:right w:val="single" w:sz="4" w:space="0" w:color="auto"/>
            </w:tcBorders>
            <w:shd w:val="clear" w:color="000000" w:fill="CCFFCC"/>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150.444,27 </w:t>
            </w:r>
          </w:p>
        </w:tc>
      </w:tr>
      <w:tr w:rsidR="00F04849" w:rsidRPr="00F04849" w:rsidTr="00F04849">
        <w:trPr>
          <w:trHeight w:val="139"/>
        </w:trPr>
        <w:tc>
          <w:tcPr>
            <w:tcW w:w="3241"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97" w:type="pct"/>
            <w:tcBorders>
              <w:top w:val="nil"/>
              <w:left w:val="nil"/>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963" w:type="pct"/>
            <w:tcBorders>
              <w:top w:val="nil"/>
              <w:left w:val="nil"/>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r>
      <w:tr w:rsidR="00F04849" w:rsidRPr="00F04849" w:rsidTr="00F04849">
        <w:trPr>
          <w:trHeight w:val="210"/>
        </w:trPr>
        <w:tc>
          <w:tcPr>
            <w:tcW w:w="3241"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b/>
                <w:bCs/>
                <w:sz w:val="14"/>
                <w:szCs w:val="14"/>
                <w:lang w:val="es-ES"/>
              </w:rPr>
            </w:pPr>
            <w:r w:rsidRPr="00F04849">
              <w:rPr>
                <w:rFonts w:ascii="Lucida Bright" w:hAnsi="Lucida Bright" w:cs="Calibri"/>
                <w:b/>
                <w:bCs/>
                <w:sz w:val="14"/>
                <w:szCs w:val="14"/>
                <w:lang w:val="es-ES"/>
              </w:rPr>
              <w:t xml:space="preserve">    I. Inmovilizado intangible</w:t>
            </w:r>
          </w:p>
        </w:tc>
        <w:tc>
          <w:tcPr>
            <w:tcW w:w="797"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c>
          <w:tcPr>
            <w:tcW w:w="963"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3.399.663,21 </w:t>
            </w:r>
          </w:p>
        </w:tc>
      </w:tr>
      <w:tr w:rsidR="00F04849" w:rsidRPr="00F04849" w:rsidTr="00F04849">
        <w:trPr>
          <w:trHeight w:val="210"/>
        </w:trPr>
        <w:tc>
          <w:tcPr>
            <w:tcW w:w="3241"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xml:space="preserve">       1. Propiedad industrial y otro inmovilizado intangible</w:t>
            </w:r>
          </w:p>
        </w:tc>
        <w:tc>
          <w:tcPr>
            <w:tcW w:w="797"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 </w:t>
            </w:r>
          </w:p>
        </w:tc>
        <w:tc>
          <w:tcPr>
            <w:tcW w:w="963"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 </w:t>
            </w:r>
          </w:p>
        </w:tc>
      </w:tr>
      <w:tr w:rsidR="00F04849" w:rsidRPr="00F04849" w:rsidTr="00F04849">
        <w:trPr>
          <w:trHeight w:val="210"/>
        </w:trPr>
        <w:tc>
          <w:tcPr>
            <w:tcW w:w="3241"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xml:space="preserve">       2. Aplicaciones informáticas</w:t>
            </w:r>
          </w:p>
        </w:tc>
        <w:tc>
          <w:tcPr>
            <w:tcW w:w="797"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 </w:t>
            </w:r>
          </w:p>
        </w:tc>
        <w:tc>
          <w:tcPr>
            <w:tcW w:w="963"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3.399.663,21 </w:t>
            </w:r>
          </w:p>
        </w:tc>
      </w:tr>
      <w:tr w:rsidR="00F04849" w:rsidRPr="00F04849" w:rsidTr="00F04849">
        <w:trPr>
          <w:trHeight w:val="210"/>
        </w:trPr>
        <w:tc>
          <w:tcPr>
            <w:tcW w:w="3241"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xml:space="preserve">       3. Anticipos para inmovilizaciones intangibles</w:t>
            </w:r>
          </w:p>
        </w:tc>
        <w:tc>
          <w:tcPr>
            <w:tcW w:w="797"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 </w:t>
            </w:r>
          </w:p>
        </w:tc>
        <w:tc>
          <w:tcPr>
            <w:tcW w:w="963"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 </w:t>
            </w:r>
          </w:p>
        </w:tc>
      </w:tr>
      <w:tr w:rsidR="00F04849" w:rsidRPr="00F04849" w:rsidTr="00F04849">
        <w:trPr>
          <w:trHeight w:val="139"/>
        </w:trPr>
        <w:tc>
          <w:tcPr>
            <w:tcW w:w="3241"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97" w:type="pct"/>
            <w:tcBorders>
              <w:top w:val="nil"/>
              <w:left w:val="nil"/>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963" w:type="pct"/>
            <w:tcBorders>
              <w:top w:val="nil"/>
              <w:left w:val="nil"/>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r>
      <w:tr w:rsidR="00F04849" w:rsidRPr="00F04849" w:rsidTr="00F04849">
        <w:trPr>
          <w:trHeight w:val="210"/>
        </w:trPr>
        <w:tc>
          <w:tcPr>
            <w:tcW w:w="3241"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b/>
                <w:bCs/>
                <w:sz w:val="14"/>
                <w:szCs w:val="14"/>
                <w:lang w:val="es-ES"/>
              </w:rPr>
            </w:pPr>
            <w:r w:rsidRPr="00F04849">
              <w:rPr>
                <w:rFonts w:ascii="Lucida Bright" w:hAnsi="Lucida Bright" w:cs="Calibri"/>
                <w:b/>
                <w:bCs/>
                <w:sz w:val="14"/>
                <w:szCs w:val="14"/>
                <w:lang w:val="es-ES"/>
              </w:rPr>
              <w:t xml:space="preserve">   II. Inmovilizado material</w:t>
            </w:r>
          </w:p>
        </w:tc>
        <w:tc>
          <w:tcPr>
            <w:tcW w:w="797"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c>
          <w:tcPr>
            <w:tcW w:w="963"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(11.472.453,87) </w:t>
            </w:r>
          </w:p>
        </w:tc>
      </w:tr>
      <w:tr w:rsidR="00F04849" w:rsidRPr="00F04849" w:rsidTr="00F04849">
        <w:trPr>
          <w:trHeight w:val="210"/>
        </w:trPr>
        <w:tc>
          <w:tcPr>
            <w:tcW w:w="3241"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xml:space="preserve">       1. Terrenos y bienes naturales</w:t>
            </w:r>
          </w:p>
        </w:tc>
        <w:tc>
          <w:tcPr>
            <w:tcW w:w="797"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 </w:t>
            </w:r>
          </w:p>
        </w:tc>
        <w:tc>
          <w:tcPr>
            <w:tcW w:w="963"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423.220,75 </w:t>
            </w:r>
          </w:p>
        </w:tc>
      </w:tr>
      <w:tr w:rsidR="00F04849" w:rsidRPr="00F04849" w:rsidTr="00F04849">
        <w:trPr>
          <w:trHeight w:val="210"/>
        </w:trPr>
        <w:tc>
          <w:tcPr>
            <w:tcW w:w="3241"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xml:space="preserve">       2. Construcciones</w:t>
            </w:r>
          </w:p>
        </w:tc>
        <w:tc>
          <w:tcPr>
            <w:tcW w:w="797"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 </w:t>
            </w:r>
          </w:p>
        </w:tc>
        <w:tc>
          <w:tcPr>
            <w:tcW w:w="963"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14.262.151,15 </w:t>
            </w:r>
          </w:p>
        </w:tc>
      </w:tr>
      <w:tr w:rsidR="00F04849" w:rsidRPr="00F04849" w:rsidTr="00F04849">
        <w:trPr>
          <w:trHeight w:val="210"/>
        </w:trPr>
        <w:tc>
          <w:tcPr>
            <w:tcW w:w="3241"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xml:space="preserve">       3. Equipamientos e instalaciones técnicas</w:t>
            </w:r>
          </w:p>
        </w:tc>
        <w:tc>
          <w:tcPr>
            <w:tcW w:w="797"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 </w:t>
            </w:r>
          </w:p>
        </w:tc>
        <w:tc>
          <w:tcPr>
            <w:tcW w:w="963"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366.032,27 </w:t>
            </w:r>
          </w:p>
        </w:tc>
      </w:tr>
      <w:tr w:rsidR="00F04849" w:rsidRPr="00F04849" w:rsidTr="00F04849">
        <w:trPr>
          <w:trHeight w:val="210"/>
        </w:trPr>
        <w:tc>
          <w:tcPr>
            <w:tcW w:w="3241"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xml:space="preserve">       4. Inmovilizado en curso y anticipos</w:t>
            </w:r>
          </w:p>
        </w:tc>
        <w:tc>
          <w:tcPr>
            <w:tcW w:w="797"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 </w:t>
            </w:r>
          </w:p>
        </w:tc>
        <w:tc>
          <w:tcPr>
            <w:tcW w:w="963"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(30.083.702,69) </w:t>
            </w:r>
          </w:p>
        </w:tc>
      </w:tr>
      <w:tr w:rsidR="00F04849" w:rsidRPr="00F04849" w:rsidTr="00F04849">
        <w:trPr>
          <w:trHeight w:val="210"/>
        </w:trPr>
        <w:tc>
          <w:tcPr>
            <w:tcW w:w="3241"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xml:space="preserve">       5. Otro inmovilizado</w:t>
            </w:r>
          </w:p>
        </w:tc>
        <w:tc>
          <w:tcPr>
            <w:tcW w:w="797"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 </w:t>
            </w:r>
          </w:p>
        </w:tc>
        <w:tc>
          <w:tcPr>
            <w:tcW w:w="963"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3.559.844,65 </w:t>
            </w:r>
          </w:p>
        </w:tc>
      </w:tr>
      <w:tr w:rsidR="00F04849" w:rsidRPr="00F04849" w:rsidTr="00F04849">
        <w:trPr>
          <w:trHeight w:val="139"/>
        </w:trPr>
        <w:tc>
          <w:tcPr>
            <w:tcW w:w="3241"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97" w:type="pct"/>
            <w:tcBorders>
              <w:top w:val="nil"/>
              <w:left w:val="nil"/>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963" w:type="pct"/>
            <w:tcBorders>
              <w:top w:val="nil"/>
              <w:left w:val="nil"/>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r>
      <w:tr w:rsidR="00F04849" w:rsidRPr="00F04849" w:rsidTr="00F04849">
        <w:trPr>
          <w:trHeight w:val="210"/>
        </w:trPr>
        <w:tc>
          <w:tcPr>
            <w:tcW w:w="3241"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b/>
                <w:bCs/>
                <w:sz w:val="14"/>
                <w:szCs w:val="14"/>
                <w:lang w:val="es-ES"/>
              </w:rPr>
            </w:pPr>
            <w:r w:rsidRPr="00F04849">
              <w:rPr>
                <w:rFonts w:ascii="Lucida Bright" w:hAnsi="Lucida Bright" w:cs="Calibri"/>
                <w:b/>
                <w:bCs/>
                <w:sz w:val="14"/>
                <w:szCs w:val="14"/>
                <w:lang w:val="es-ES"/>
              </w:rPr>
              <w:t xml:space="preserve">  III. Inversiones inmobiliarias</w:t>
            </w:r>
          </w:p>
        </w:tc>
        <w:tc>
          <w:tcPr>
            <w:tcW w:w="797"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c>
          <w:tcPr>
            <w:tcW w:w="963"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8.223.234,93 </w:t>
            </w:r>
          </w:p>
        </w:tc>
      </w:tr>
      <w:tr w:rsidR="00F04849" w:rsidRPr="00F04849" w:rsidTr="00F04849">
        <w:trPr>
          <w:trHeight w:val="210"/>
        </w:trPr>
        <w:tc>
          <w:tcPr>
            <w:tcW w:w="3241"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xml:space="preserve">       1. Terrenos</w:t>
            </w:r>
          </w:p>
        </w:tc>
        <w:tc>
          <w:tcPr>
            <w:tcW w:w="797"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 </w:t>
            </w:r>
          </w:p>
        </w:tc>
        <w:tc>
          <w:tcPr>
            <w:tcW w:w="963"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 </w:t>
            </w:r>
          </w:p>
        </w:tc>
      </w:tr>
      <w:tr w:rsidR="00F04849" w:rsidRPr="00F04849" w:rsidTr="00F04849">
        <w:trPr>
          <w:trHeight w:val="210"/>
        </w:trPr>
        <w:tc>
          <w:tcPr>
            <w:tcW w:w="3241"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xml:space="preserve">       2. Construcciones</w:t>
            </w:r>
          </w:p>
        </w:tc>
        <w:tc>
          <w:tcPr>
            <w:tcW w:w="797"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 </w:t>
            </w:r>
          </w:p>
        </w:tc>
        <w:tc>
          <w:tcPr>
            <w:tcW w:w="963" w:type="pct"/>
            <w:tcBorders>
              <w:top w:val="nil"/>
              <w:left w:val="nil"/>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xml:space="preserve">8.223.234,93 </w:t>
            </w:r>
          </w:p>
        </w:tc>
      </w:tr>
      <w:tr w:rsidR="00F04849" w:rsidRPr="00F04849" w:rsidTr="00F04849">
        <w:trPr>
          <w:trHeight w:val="139"/>
        </w:trPr>
        <w:tc>
          <w:tcPr>
            <w:tcW w:w="3241" w:type="pct"/>
            <w:tcBorders>
              <w:top w:val="nil"/>
              <w:left w:val="single" w:sz="4" w:space="0" w:color="auto"/>
              <w:bottom w:val="single" w:sz="4" w:space="0" w:color="auto"/>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97" w:type="pct"/>
            <w:tcBorders>
              <w:top w:val="nil"/>
              <w:left w:val="nil"/>
              <w:bottom w:val="single" w:sz="4" w:space="0" w:color="auto"/>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963" w:type="pct"/>
            <w:tcBorders>
              <w:top w:val="nil"/>
              <w:left w:val="nil"/>
              <w:bottom w:val="single" w:sz="4" w:space="0" w:color="auto"/>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r>
    </w:tbl>
    <w:p w:rsidR="005B1077" w:rsidRDefault="005B1077" w:rsidP="00F333F2">
      <w:pPr>
        <w:pStyle w:val="Prrafodelista"/>
        <w:spacing w:before="100" w:after="100"/>
        <w:ind w:left="646"/>
        <w:jc w:val="both"/>
        <w:rPr>
          <w:rFonts w:ascii="NewBaskerville" w:hAnsi="NewBaskerville"/>
        </w:rPr>
      </w:pPr>
    </w:p>
    <w:tbl>
      <w:tblPr>
        <w:tblW w:w="5000" w:type="pct"/>
        <w:tblCellMar>
          <w:left w:w="70" w:type="dxa"/>
          <w:right w:w="70" w:type="dxa"/>
        </w:tblCellMar>
        <w:tblLook w:val="04A0" w:firstRow="1" w:lastRow="0" w:firstColumn="1" w:lastColumn="0" w:noHBand="0" w:noVBand="1"/>
      </w:tblPr>
      <w:tblGrid>
        <w:gridCol w:w="6549"/>
        <w:gridCol w:w="1321"/>
        <w:gridCol w:w="1483"/>
      </w:tblGrid>
      <w:tr w:rsidR="00F04849" w:rsidRPr="00F04849" w:rsidTr="00F04849">
        <w:trPr>
          <w:trHeight w:val="300"/>
        </w:trPr>
        <w:tc>
          <w:tcPr>
            <w:tcW w:w="3501" w:type="pct"/>
            <w:tcBorders>
              <w:top w:val="nil"/>
              <w:left w:val="nil"/>
              <w:bottom w:val="nil"/>
              <w:right w:val="nil"/>
            </w:tcBorders>
            <w:shd w:val="clear" w:color="000000" w:fill="FFFFFF"/>
            <w:noWrap/>
            <w:vAlign w:val="bottom"/>
            <w:hideMark/>
          </w:tcPr>
          <w:p w:rsidR="00F04849" w:rsidRPr="00F04849" w:rsidRDefault="00F04849" w:rsidP="00F04849">
            <w:pPr>
              <w:rPr>
                <w:rFonts w:ascii="Lucida Bright" w:hAnsi="Lucida Bright" w:cs="Calibri"/>
                <w:b/>
                <w:bCs/>
                <w:sz w:val="18"/>
                <w:szCs w:val="18"/>
                <w:lang w:val="es-ES"/>
              </w:rPr>
            </w:pPr>
            <w:r w:rsidRPr="00F04849">
              <w:rPr>
                <w:rFonts w:ascii="Lucida Bright" w:hAnsi="Lucida Bright" w:cs="Calibri"/>
                <w:b/>
                <w:bCs/>
                <w:sz w:val="18"/>
                <w:szCs w:val="18"/>
                <w:lang w:val="es-ES"/>
              </w:rPr>
              <w:t>Balance al cierre del ejercicio 2024</w:t>
            </w:r>
          </w:p>
        </w:tc>
        <w:tc>
          <w:tcPr>
            <w:tcW w:w="706" w:type="pct"/>
            <w:tcBorders>
              <w:top w:val="nil"/>
              <w:left w:val="nil"/>
              <w:bottom w:val="nil"/>
              <w:right w:val="nil"/>
            </w:tcBorders>
            <w:shd w:val="clear" w:color="000000" w:fill="FFFFFF"/>
            <w:noWrap/>
            <w:vAlign w:val="center"/>
            <w:hideMark/>
          </w:tcPr>
          <w:p w:rsidR="00F04849" w:rsidRPr="00F04849" w:rsidRDefault="00F04849" w:rsidP="00F04849">
            <w:pPr>
              <w:rPr>
                <w:rFonts w:ascii="Lucida Bright" w:hAnsi="Lucida Bright" w:cs="Calibri"/>
                <w:sz w:val="18"/>
                <w:szCs w:val="18"/>
                <w:lang w:val="es-ES"/>
              </w:rPr>
            </w:pPr>
            <w:r w:rsidRPr="00F04849">
              <w:rPr>
                <w:rFonts w:ascii="Lucida Bright" w:hAnsi="Lucida Bright" w:cs="Calibri"/>
                <w:sz w:val="18"/>
                <w:szCs w:val="18"/>
                <w:lang w:val="es-ES"/>
              </w:rPr>
              <w:t>(en euros)</w:t>
            </w:r>
          </w:p>
        </w:tc>
        <w:tc>
          <w:tcPr>
            <w:tcW w:w="793" w:type="pct"/>
            <w:tcBorders>
              <w:top w:val="nil"/>
              <w:left w:val="nil"/>
              <w:bottom w:val="nil"/>
              <w:right w:val="nil"/>
            </w:tcBorders>
            <w:shd w:val="clear" w:color="auto" w:fill="auto"/>
            <w:noWrap/>
            <w:vAlign w:val="bottom"/>
            <w:hideMark/>
          </w:tcPr>
          <w:p w:rsidR="00F04849" w:rsidRPr="00F04849" w:rsidRDefault="00F04849" w:rsidP="00F04849">
            <w:pPr>
              <w:rPr>
                <w:rFonts w:ascii="Calibri" w:hAnsi="Calibri" w:cs="Calibri"/>
                <w:color w:val="000000"/>
                <w:sz w:val="22"/>
                <w:szCs w:val="22"/>
                <w:lang w:val="es-ES"/>
              </w:rPr>
            </w:pPr>
          </w:p>
        </w:tc>
      </w:tr>
      <w:tr w:rsidR="00F04849" w:rsidRPr="00F04849" w:rsidTr="00F04849">
        <w:trPr>
          <w:trHeight w:val="210"/>
        </w:trPr>
        <w:tc>
          <w:tcPr>
            <w:tcW w:w="3501" w:type="pct"/>
            <w:tcBorders>
              <w:top w:val="single" w:sz="4" w:space="0" w:color="auto"/>
              <w:left w:val="single" w:sz="4" w:space="0" w:color="auto"/>
              <w:bottom w:val="single" w:sz="4" w:space="0" w:color="auto"/>
              <w:right w:val="nil"/>
            </w:tcBorders>
            <w:shd w:val="clear" w:color="000000" w:fill="CCFFCC"/>
            <w:noWrap/>
            <w:vAlign w:val="center"/>
            <w:hideMark/>
          </w:tcPr>
          <w:p w:rsidR="00F04849" w:rsidRPr="00F04849" w:rsidRDefault="00F04849" w:rsidP="00F04849">
            <w:pPr>
              <w:jc w:val="center"/>
              <w:rPr>
                <w:rFonts w:ascii="Lucida Bright" w:hAnsi="Lucida Bright" w:cs="Calibri"/>
                <w:b/>
                <w:bCs/>
                <w:sz w:val="18"/>
                <w:szCs w:val="18"/>
                <w:lang w:val="es-ES"/>
              </w:rPr>
            </w:pPr>
            <w:r w:rsidRPr="00F04849">
              <w:rPr>
                <w:rFonts w:ascii="Lucida Bright" w:hAnsi="Lucida Bright" w:cs="Calibri"/>
                <w:b/>
                <w:bCs/>
                <w:sz w:val="18"/>
                <w:szCs w:val="18"/>
                <w:lang w:val="es-ES"/>
              </w:rPr>
              <w:t>PATRIMONIO NETO Y PASIVO</w:t>
            </w:r>
          </w:p>
        </w:tc>
        <w:tc>
          <w:tcPr>
            <w:tcW w:w="706"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04849" w:rsidRPr="00F04849" w:rsidRDefault="00F04849" w:rsidP="00F04849">
            <w:pPr>
              <w:jc w:val="center"/>
              <w:rPr>
                <w:rFonts w:ascii="Lucida Bright" w:hAnsi="Lucida Bright" w:cs="Calibri"/>
                <w:b/>
                <w:bCs/>
                <w:sz w:val="18"/>
                <w:szCs w:val="18"/>
                <w:lang w:val="es-ES"/>
              </w:rPr>
            </w:pPr>
            <w:r w:rsidRPr="00F04849">
              <w:rPr>
                <w:rFonts w:ascii="Lucida Bright" w:hAnsi="Lucida Bright" w:cs="Calibri"/>
                <w:b/>
                <w:bCs/>
                <w:sz w:val="18"/>
                <w:szCs w:val="18"/>
                <w:lang w:val="es-ES"/>
              </w:rPr>
              <w:t>2024</w:t>
            </w:r>
          </w:p>
        </w:tc>
        <w:tc>
          <w:tcPr>
            <w:tcW w:w="793" w:type="pct"/>
            <w:tcBorders>
              <w:top w:val="single" w:sz="4" w:space="0" w:color="auto"/>
              <w:left w:val="nil"/>
              <w:bottom w:val="single" w:sz="4" w:space="0" w:color="auto"/>
              <w:right w:val="single" w:sz="4" w:space="0" w:color="auto"/>
            </w:tcBorders>
            <w:shd w:val="clear" w:color="000000" w:fill="CCFFCC"/>
            <w:noWrap/>
            <w:vAlign w:val="center"/>
            <w:hideMark/>
          </w:tcPr>
          <w:p w:rsidR="00F04849" w:rsidRPr="00F04849" w:rsidRDefault="00F04849" w:rsidP="00F04849">
            <w:pPr>
              <w:jc w:val="center"/>
              <w:rPr>
                <w:rFonts w:ascii="Lucida Bright" w:hAnsi="Lucida Bright" w:cs="Calibri"/>
                <w:b/>
                <w:bCs/>
                <w:sz w:val="18"/>
                <w:szCs w:val="18"/>
                <w:lang w:val="es-ES"/>
              </w:rPr>
            </w:pPr>
            <w:r w:rsidRPr="00F04849">
              <w:rPr>
                <w:rFonts w:ascii="Lucida Bright" w:hAnsi="Lucida Bright" w:cs="Calibri"/>
                <w:b/>
                <w:bCs/>
                <w:sz w:val="18"/>
                <w:szCs w:val="18"/>
                <w:lang w:val="es-ES"/>
              </w:rPr>
              <w:t>2023</w:t>
            </w:r>
          </w:p>
        </w:tc>
      </w:tr>
      <w:tr w:rsidR="00F04849" w:rsidRPr="00F04849" w:rsidTr="00F04849">
        <w:trPr>
          <w:trHeight w:val="139"/>
        </w:trPr>
        <w:tc>
          <w:tcPr>
            <w:tcW w:w="3501" w:type="pct"/>
            <w:tcBorders>
              <w:top w:val="nil"/>
              <w:left w:val="single" w:sz="4" w:space="0" w:color="auto"/>
              <w:bottom w:val="nil"/>
              <w:right w:val="nil"/>
            </w:tcBorders>
            <w:shd w:val="clear" w:color="auto" w:fill="auto"/>
            <w:noWrap/>
            <w:vAlign w:val="bottom"/>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06" w:type="pct"/>
            <w:tcBorders>
              <w:top w:val="nil"/>
              <w:left w:val="single" w:sz="4" w:space="0" w:color="auto"/>
              <w:bottom w:val="nil"/>
              <w:right w:val="single" w:sz="4" w:space="0" w:color="auto"/>
            </w:tcBorders>
            <w:shd w:val="clear" w:color="auto" w:fill="auto"/>
            <w:noWrap/>
            <w:vAlign w:val="bottom"/>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93" w:type="pct"/>
            <w:tcBorders>
              <w:top w:val="nil"/>
              <w:left w:val="single" w:sz="4" w:space="0" w:color="auto"/>
              <w:bottom w:val="nil"/>
              <w:right w:val="single" w:sz="4" w:space="0" w:color="auto"/>
            </w:tcBorders>
            <w:shd w:val="clear" w:color="auto" w:fill="auto"/>
            <w:noWrap/>
            <w:vAlign w:val="bottom"/>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r>
      <w:tr w:rsidR="00F04849" w:rsidRPr="00F04849" w:rsidTr="00F04849">
        <w:trPr>
          <w:trHeight w:val="210"/>
        </w:trPr>
        <w:tc>
          <w:tcPr>
            <w:tcW w:w="3501" w:type="pct"/>
            <w:tcBorders>
              <w:top w:val="nil"/>
              <w:left w:val="single" w:sz="4" w:space="0" w:color="auto"/>
              <w:bottom w:val="nil"/>
              <w:right w:val="nil"/>
            </w:tcBorders>
            <w:shd w:val="clear" w:color="000000" w:fill="CCFFCC"/>
            <w:noWrap/>
            <w:vAlign w:val="center"/>
            <w:hideMark/>
          </w:tcPr>
          <w:p w:rsidR="00F04849" w:rsidRPr="00F04849" w:rsidRDefault="00F04849" w:rsidP="00F04849">
            <w:pPr>
              <w:rPr>
                <w:rFonts w:ascii="Lucida Bright" w:hAnsi="Lucida Bright" w:cs="Calibri"/>
                <w:b/>
                <w:bCs/>
                <w:sz w:val="14"/>
                <w:szCs w:val="14"/>
                <w:lang w:val="es-ES"/>
              </w:rPr>
            </w:pPr>
            <w:r w:rsidRPr="00F04849">
              <w:rPr>
                <w:rFonts w:ascii="Lucida Bright" w:hAnsi="Lucida Bright" w:cs="Calibri"/>
                <w:b/>
                <w:bCs/>
                <w:sz w:val="14"/>
                <w:szCs w:val="14"/>
                <w:lang w:val="es-ES"/>
              </w:rPr>
              <w:t xml:space="preserve"> A) PATRIMONIO NETO</w:t>
            </w:r>
          </w:p>
        </w:tc>
        <w:tc>
          <w:tcPr>
            <w:tcW w:w="706" w:type="pct"/>
            <w:tcBorders>
              <w:top w:val="nil"/>
              <w:left w:val="single" w:sz="4" w:space="0" w:color="auto"/>
              <w:bottom w:val="nil"/>
              <w:right w:val="nil"/>
            </w:tcBorders>
            <w:shd w:val="clear" w:color="000000" w:fill="CCFFCC"/>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c>
          <w:tcPr>
            <w:tcW w:w="793" w:type="pct"/>
            <w:tcBorders>
              <w:top w:val="nil"/>
              <w:left w:val="single" w:sz="4" w:space="0" w:color="auto"/>
              <w:bottom w:val="nil"/>
              <w:right w:val="single" w:sz="4" w:space="0" w:color="auto"/>
            </w:tcBorders>
            <w:shd w:val="clear" w:color="000000" w:fill="CCFFCC"/>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150.444,27 </w:t>
            </w:r>
          </w:p>
        </w:tc>
      </w:tr>
      <w:tr w:rsidR="00F04849" w:rsidRPr="00F04849" w:rsidTr="00F04849">
        <w:trPr>
          <w:trHeight w:val="139"/>
        </w:trPr>
        <w:tc>
          <w:tcPr>
            <w:tcW w:w="3501" w:type="pct"/>
            <w:tcBorders>
              <w:top w:val="nil"/>
              <w:left w:val="single" w:sz="4" w:space="0" w:color="auto"/>
              <w:bottom w:val="nil"/>
              <w:right w:val="nil"/>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w:t>
            </w:r>
          </w:p>
        </w:tc>
        <w:tc>
          <w:tcPr>
            <w:tcW w:w="706"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93"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r>
      <w:tr w:rsidR="00F04849" w:rsidRPr="00F04849" w:rsidTr="00F04849">
        <w:trPr>
          <w:trHeight w:val="210"/>
        </w:trPr>
        <w:tc>
          <w:tcPr>
            <w:tcW w:w="3501" w:type="pct"/>
            <w:tcBorders>
              <w:top w:val="nil"/>
              <w:left w:val="single" w:sz="4" w:space="0" w:color="auto"/>
              <w:bottom w:val="nil"/>
              <w:right w:val="nil"/>
            </w:tcBorders>
            <w:shd w:val="clear" w:color="auto" w:fill="auto"/>
            <w:noWrap/>
            <w:vAlign w:val="center"/>
            <w:hideMark/>
          </w:tcPr>
          <w:p w:rsidR="00F04849" w:rsidRPr="00F04849" w:rsidRDefault="00F04849" w:rsidP="00F04849">
            <w:pPr>
              <w:rPr>
                <w:rFonts w:ascii="Lucida Bright" w:hAnsi="Lucida Bright" w:cs="Calibri"/>
                <w:b/>
                <w:bCs/>
                <w:sz w:val="14"/>
                <w:szCs w:val="14"/>
                <w:lang w:val="es-ES"/>
              </w:rPr>
            </w:pPr>
            <w:r w:rsidRPr="00F04849">
              <w:rPr>
                <w:rFonts w:ascii="Lucida Bright" w:hAnsi="Lucida Bright" w:cs="Calibri"/>
                <w:b/>
                <w:bCs/>
                <w:sz w:val="14"/>
                <w:szCs w:val="14"/>
                <w:lang w:val="es-ES"/>
              </w:rPr>
              <w:t xml:space="preserve"> A-1) Fondos propios</w:t>
            </w:r>
          </w:p>
        </w:tc>
        <w:tc>
          <w:tcPr>
            <w:tcW w:w="706" w:type="pct"/>
            <w:tcBorders>
              <w:top w:val="nil"/>
              <w:left w:val="single" w:sz="4" w:space="0" w:color="auto"/>
              <w:bottom w:val="nil"/>
              <w:right w:val="nil"/>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c>
          <w:tcPr>
            <w:tcW w:w="793"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(7.305.296,29) </w:t>
            </w:r>
          </w:p>
        </w:tc>
      </w:tr>
      <w:tr w:rsidR="00F04849" w:rsidRPr="00F04849" w:rsidTr="00F04849">
        <w:trPr>
          <w:trHeight w:val="139"/>
        </w:trPr>
        <w:tc>
          <w:tcPr>
            <w:tcW w:w="3501" w:type="pct"/>
            <w:tcBorders>
              <w:top w:val="nil"/>
              <w:left w:val="single" w:sz="4" w:space="0" w:color="auto"/>
              <w:bottom w:val="nil"/>
              <w:right w:val="nil"/>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w:t>
            </w:r>
          </w:p>
        </w:tc>
        <w:tc>
          <w:tcPr>
            <w:tcW w:w="706"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93"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r>
      <w:tr w:rsidR="00F04849" w:rsidRPr="00F04849" w:rsidTr="00F04849">
        <w:trPr>
          <w:trHeight w:val="210"/>
        </w:trPr>
        <w:tc>
          <w:tcPr>
            <w:tcW w:w="3501" w:type="pct"/>
            <w:tcBorders>
              <w:top w:val="nil"/>
              <w:left w:val="single" w:sz="4" w:space="0" w:color="auto"/>
              <w:bottom w:val="nil"/>
              <w:right w:val="nil"/>
            </w:tcBorders>
            <w:shd w:val="clear" w:color="auto" w:fill="auto"/>
            <w:noWrap/>
            <w:vAlign w:val="center"/>
            <w:hideMark/>
          </w:tcPr>
          <w:p w:rsidR="00F04849" w:rsidRPr="00F04849" w:rsidRDefault="00F04849" w:rsidP="00F04849">
            <w:pPr>
              <w:rPr>
                <w:rFonts w:ascii="Lucida Bright" w:hAnsi="Lucida Bright" w:cs="Calibri"/>
                <w:b/>
                <w:bCs/>
                <w:sz w:val="14"/>
                <w:szCs w:val="14"/>
                <w:lang w:val="es-ES"/>
              </w:rPr>
            </w:pPr>
            <w:r w:rsidRPr="00F04849">
              <w:rPr>
                <w:rFonts w:ascii="Lucida Bright" w:hAnsi="Lucida Bright" w:cs="Calibri"/>
                <w:b/>
                <w:bCs/>
                <w:sz w:val="14"/>
                <w:szCs w:val="14"/>
                <w:lang w:val="es-ES"/>
              </w:rPr>
              <w:t xml:space="preserve">    I. Patrimonio</w:t>
            </w:r>
          </w:p>
        </w:tc>
        <w:tc>
          <w:tcPr>
            <w:tcW w:w="706" w:type="pct"/>
            <w:tcBorders>
              <w:top w:val="nil"/>
              <w:left w:val="single" w:sz="4" w:space="0" w:color="auto"/>
              <w:bottom w:val="nil"/>
              <w:right w:val="nil"/>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c>
          <w:tcPr>
            <w:tcW w:w="793"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r>
      <w:tr w:rsidR="00F04849" w:rsidRPr="00F04849" w:rsidTr="00F04849">
        <w:trPr>
          <w:trHeight w:val="139"/>
        </w:trPr>
        <w:tc>
          <w:tcPr>
            <w:tcW w:w="3501" w:type="pct"/>
            <w:tcBorders>
              <w:top w:val="nil"/>
              <w:left w:val="single" w:sz="4" w:space="0" w:color="auto"/>
              <w:bottom w:val="nil"/>
              <w:right w:val="nil"/>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w:t>
            </w:r>
          </w:p>
        </w:tc>
        <w:tc>
          <w:tcPr>
            <w:tcW w:w="706"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93"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r>
      <w:tr w:rsidR="00F04849" w:rsidRPr="00F04849" w:rsidTr="00F04849">
        <w:trPr>
          <w:trHeight w:val="210"/>
        </w:trPr>
        <w:tc>
          <w:tcPr>
            <w:tcW w:w="3501" w:type="pct"/>
            <w:tcBorders>
              <w:top w:val="nil"/>
              <w:left w:val="single" w:sz="4" w:space="0" w:color="auto"/>
              <w:bottom w:val="nil"/>
              <w:right w:val="nil"/>
            </w:tcBorders>
            <w:shd w:val="clear" w:color="auto" w:fill="auto"/>
            <w:noWrap/>
            <w:vAlign w:val="center"/>
            <w:hideMark/>
          </w:tcPr>
          <w:p w:rsidR="00F04849" w:rsidRPr="00F04849" w:rsidRDefault="00F04849" w:rsidP="00F04849">
            <w:pPr>
              <w:rPr>
                <w:rFonts w:ascii="Lucida Bright" w:hAnsi="Lucida Bright" w:cs="Calibri"/>
                <w:b/>
                <w:bCs/>
                <w:sz w:val="14"/>
                <w:szCs w:val="14"/>
                <w:lang w:val="es-ES"/>
              </w:rPr>
            </w:pPr>
            <w:r w:rsidRPr="00F04849">
              <w:rPr>
                <w:rFonts w:ascii="Lucida Bright" w:hAnsi="Lucida Bright" w:cs="Calibri"/>
                <w:b/>
                <w:bCs/>
                <w:sz w:val="14"/>
                <w:szCs w:val="14"/>
                <w:lang w:val="es-ES"/>
              </w:rPr>
              <w:t xml:space="preserve">   II. Resultados acumulados</w:t>
            </w:r>
          </w:p>
        </w:tc>
        <w:tc>
          <w:tcPr>
            <w:tcW w:w="706"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c>
          <w:tcPr>
            <w:tcW w:w="793"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(5.081.996,78) </w:t>
            </w:r>
          </w:p>
        </w:tc>
      </w:tr>
      <w:tr w:rsidR="00F04849" w:rsidRPr="00F04849" w:rsidTr="00F04849">
        <w:trPr>
          <w:trHeight w:val="139"/>
        </w:trPr>
        <w:tc>
          <w:tcPr>
            <w:tcW w:w="3501" w:type="pct"/>
            <w:tcBorders>
              <w:top w:val="nil"/>
              <w:left w:val="single" w:sz="4" w:space="0" w:color="auto"/>
              <w:bottom w:val="nil"/>
              <w:right w:val="nil"/>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06"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c>
          <w:tcPr>
            <w:tcW w:w="793"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b/>
                <w:bCs/>
                <w:sz w:val="14"/>
                <w:szCs w:val="14"/>
                <w:lang w:val="es-ES"/>
              </w:rPr>
            </w:pPr>
            <w:r w:rsidRPr="00F04849">
              <w:rPr>
                <w:rFonts w:ascii="Lucida Bright" w:hAnsi="Lucida Bright" w:cs="Calibri"/>
                <w:b/>
                <w:bCs/>
                <w:sz w:val="14"/>
                <w:szCs w:val="14"/>
                <w:lang w:val="es-ES"/>
              </w:rPr>
              <w:t> </w:t>
            </w:r>
          </w:p>
        </w:tc>
      </w:tr>
      <w:tr w:rsidR="00F04849" w:rsidRPr="00F04849" w:rsidTr="00F04849">
        <w:trPr>
          <w:trHeight w:val="210"/>
        </w:trPr>
        <w:tc>
          <w:tcPr>
            <w:tcW w:w="3501" w:type="pct"/>
            <w:tcBorders>
              <w:top w:val="nil"/>
              <w:left w:val="single" w:sz="4" w:space="0" w:color="auto"/>
              <w:bottom w:val="nil"/>
              <w:right w:val="nil"/>
            </w:tcBorders>
            <w:shd w:val="clear" w:color="auto" w:fill="auto"/>
            <w:noWrap/>
            <w:vAlign w:val="center"/>
            <w:hideMark/>
          </w:tcPr>
          <w:p w:rsidR="00F04849" w:rsidRPr="00F04849" w:rsidRDefault="00F04849" w:rsidP="00F04849">
            <w:pPr>
              <w:rPr>
                <w:rFonts w:ascii="Lucida Bright" w:hAnsi="Lucida Bright" w:cs="Calibri"/>
                <w:b/>
                <w:bCs/>
                <w:sz w:val="14"/>
                <w:szCs w:val="14"/>
                <w:lang w:val="es-ES"/>
              </w:rPr>
            </w:pPr>
            <w:r w:rsidRPr="00F04849">
              <w:rPr>
                <w:rFonts w:ascii="Lucida Bright" w:hAnsi="Lucida Bright" w:cs="Calibri"/>
                <w:b/>
                <w:bCs/>
                <w:sz w:val="14"/>
                <w:szCs w:val="14"/>
                <w:lang w:val="es-ES"/>
              </w:rPr>
              <w:t xml:space="preserve">  III. Resultado del ejercicio</w:t>
            </w:r>
          </w:p>
        </w:tc>
        <w:tc>
          <w:tcPr>
            <w:tcW w:w="706"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c>
          <w:tcPr>
            <w:tcW w:w="793"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(2.223.299,51) </w:t>
            </w:r>
          </w:p>
        </w:tc>
      </w:tr>
      <w:tr w:rsidR="00F04849" w:rsidRPr="00F04849" w:rsidTr="00F04849">
        <w:trPr>
          <w:trHeight w:val="139"/>
        </w:trPr>
        <w:tc>
          <w:tcPr>
            <w:tcW w:w="3501" w:type="pct"/>
            <w:tcBorders>
              <w:top w:val="nil"/>
              <w:left w:val="single" w:sz="4" w:space="0" w:color="auto"/>
              <w:bottom w:val="nil"/>
              <w:right w:val="nil"/>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06"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93"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r>
      <w:tr w:rsidR="00F04849" w:rsidRPr="00F04849" w:rsidTr="00F04849">
        <w:trPr>
          <w:trHeight w:val="210"/>
        </w:trPr>
        <w:tc>
          <w:tcPr>
            <w:tcW w:w="3501" w:type="pct"/>
            <w:tcBorders>
              <w:top w:val="nil"/>
              <w:left w:val="single" w:sz="4" w:space="0" w:color="auto"/>
              <w:bottom w:val="nil"/>
              <w:right w:val="nil"/>
            </w:tcBorders>
            <w:shd w:val="clear" w:color="auto" w:fill="auto"/>
            <w:noWrap/>
            <w:vAlign w:val="center"/>
            <w:hideMark/>
          </w:tcPr>
          <w:p w:rsidR="00F04849" w:rsidRPr="00F04849" w:rsidRDefault="00F04849" w:rsidP="00F04849">
            <w:pPr>
              <w:rPr>
                <w:rFonts w:ascii="Lucida Bright" w:hAnsi="Lucida Bright" w:cs="Calibri"/>
                <w:b/>
                <w:bCs/>
                <w:sz w:val="14"/>
                <w:szCs w:val="14"/>
                <w:lang w:val="es-ES"/>
              </w:rPr>
            </w:pPr>
            <w:r w:rsidRPr="00F04849">
              <w:rPr>
                <w:rFonts w:ascii="Lucida Bright" w:hAnsi="Lucida Bright" w:cs="Calibri"/>
                <w:b/>
                <w:bCs/>
                <w:sz w:val="14"/>
                <w:szCs w:val="14"/>
                <w:lang w:val="es-ES"/>
              </w:rPr>
              <w:t xml:space="preserve"> A-2) Ajustes por cambios de valor</w:t>
            </w:r>
          </w:p>
        </w:tc>
        <w:tc>
          <w:tcPr>
            <w:tcW w:w="706" w:type="pct"/>
            <w:tcBorders>
              <w:top w:val="nil"/>
              <w:left w:val="single" w:sz="4" w:space="0" w:color="auto"/>
              <w:bottom w:val="nil"/>
              <w:right w:val="nil"/>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c>
          <w:tcPr>
            <w:tcW w:w="793"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r>
      <w:tr w:rsidR="00F04849" w:rsidRPr="00F04849" w:rsidTr="00F04849">
        <w:trPr>
          <w:trHeight w:val="139"/>
        </w:trPr>
        <w:tc>
          <w:tcPr>
            <w:tcW w:w="3501" w:type="pct"/>
            <w:tcBorders>
              <w:top w:val="nil"/>
              <w:left w:val="single" w:sz="4" w:space="0" w:color="auto"/>
              <w:bottom w:val="nil"/>
              <w:right w:val="nil"/>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06"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93"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r>
      <w:tr w:rsidR="00F04849" w:rsidRPr="00F04849" w:rsidTr="00F04849">
        <w:trPr>
          <w:trHeight w:val="210"/>
        </w:trPr>
        <w:tc>
          <w:tcPr>
            <w:tcW w:w="3501" w:type="pct"/>
            <w:tcBorders>
              <w:top w:val="nil"/>
              <w:left w:val="single" w:sz="4" w:space="0" w:color="auto"/>
              <w:bottom w:val="nil"/>
              <w:right w:val="nil"/>
            </w:tcBorders>
            <w:shd w:val="clear" w:color="auto" w:fill="auto"/>
            <w:noWrap/>
            <w:vAlign w:val="center"/>
            <w:hideMark/>
          </w:tcPr>
          <w:p w:rsidR="00F04849" w:rsidRPr="00F04849" w:rsidRDefault="00F04849" w:rsidP="00F04849">
            <w:pPr>
              <w:rPr>
                <w:rFonts w:ascii="Lucida Bright" w:hAnsi="Lucida Bright" w:cs="Calibri"/>
                <w:b/>
                <w:bCs/>
                <w:sz w:val="14"/>
                <w:szCs w:val="14"/>
                <w:lang w:val="es-ES"/>
              </w:rPr>
            </w:pPr>
            <w:r w:rsidRPr="00F04849">
              <w:rPr>
                <w:rFonts w:ascii="Lucida Bright" w:hAnsi="Lucida Bright" w:cs="Calibri"/>
                <w:b/>
                <w:bCs/>
                <w:sz w:val="14"/>
                <w:szCs w:val="14"/>
                <w:lang w:val="es-ES"/>
              </w:rPr>
              <w:t xml:space="preserve">    I. Activos financ. a valor razonable con cambios en el patrim. neto</w:t>
            </w:r>
          </w:p>
        </w:tc>
        <w:tc>
          <w:tcPr>
            <w:tcW w:w="706"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c>
          <w:tcPr>
            <w:tcW w:w="793"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r>
      <w:tr w:rsidR="00F04849" w:rsidRPr="00F04849" w:rsidTr="00F04849">
        <w:trPr>
          <w:trHeight w:val="139"/>
        </w:trPr>
        <w:tc>
          <w:tcPr>
            <w:tcW w:w="3501" w:type="pct"/>
            <w:tcBorders>
              <w:top w:val="nil"/>
              <w:left w:val="single" w:sz="4" w:space="0" w:color="auto"/>
              <w:bottom w:val="nil"/>
              <w:right w:val="nil"/>
            </w:tcBorders>
            <w:shd w:val="clear" w:color="auto" w:fill="auto"/>
            <w:noWrap/>
            <w:vAlign w:val="center"/>
            <w:hideMark/>
          </w:tcPr>
          <w:p w:rsidR="00F04849" w:rsidRPr="00F04849" w:rsidRDefault="00F04849" w:rsidP="00F04849">
            <w:pPr>
              <w:jc w:val="right"/>
              <w:rPr>
                <w:rFonts w:ascii="Lucida Bright" w:hAnsi="Lucida Bright" w:cs="Calibri"/>
                <w:sz w:val="14"/>
                <w:szCs w:val="14"/>
                <w:lang w:val="es-ES"/>
              </w:rPr>
            </w:pPr>
            <w:r w:rsidRPr="00F04849">
              <w:rPr>
                <w:rFonts w:ascii="Lucida Bright" w:hAnsi="Lucida Bright" w:cs="Calibri"/>
                <w:sz w:val="14"/>
                <w:szCs w:val="14"/>
                <w:lang w:val="es-ES"/>
              </w:rPr>
              <w:t> </w:t>
            </w:r>
          </w:p>
        </w:tc>
        <w:tc>
          <w:tcPr>
            <w:tcW w:w="706"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93"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r>
      <w:tr w:rsidR="00F04849" w:rsidRPr="00F04849" w:rsidTr="00F04849">
        <w:trPr>
          <w:trHeight w:val="210"/>
        </w:trPr>
        <w:tc>
          <w:tcPr>
            <w:tcW w:w="3501" w:type="pct"/>
            <w:tcBorders>
              <w:top w:val="nil"/>
              <w:left w:val="single" w:sz="4" w:space="0" w:color="auto"/>
              <w:bottom w:val="nil"/>
              <w:right w:val="nil"/>
            </w:tcBorders>
            <w:shd w:val="clear" w:color="auto" w:fill="auto"/>
            <w:noWrap/>
            <w:vAlign w:val="center"/>
            <w:hideMark/>
          </w:tcPr>
          <w:p w:rsidR="00F04849" w:rsidRPr="00F04849" w:rsidRDefault="00F04849" w:rsidP="00F04849">
            <w:pPr>
              <w:rPr>
                <w:rFonts w:ascii="Lucida Bright" w:hAnsi="Lucida Bright" w:cs="Calibri"/>
                <w:b/>
                <w:bCs/>
                <w:sz w:val="14"/>
                <w:szCs w:val="14"/>
                <w:lang w:val="es-ES"/>
              </w:rPr>
            </w:pPr>
            <w:r w:rsidRPr="00F04849">
              <w:rPr>
                <w:rFonts w:ascii="Lucida Bright" w:hAnsi="Lucida Bright" w:cs="Calibri"/>
                <w:b/>
                <w:bCs/>
                <w:sz w:val="14"/>
                <w:szCs w:val="14"/>
                <w:lang w:val="es-ES"/>
              </w:rPr>
              <w:t xml:space="preserve">   II. Operaciones de cobertura</w:t>
            </w:r>
          </w:p>
        </w:tc>
        <w:tc>
          <w:tcPr>
            <w:tcW w:w="706"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c>
          <w:tcPr>
            <w:tcW w:w="793"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r>
      <w:tr w:rsidR="00F04849" w:rsidRPr="00F04849" w:rsidTr="00F04849">
        <w:trPr>
          <w:trHeight w:val="139"/>
        </w:trPr>
        <w:tc>
          <w:tcPr>
            <w:tcW w:w="3501" w:type="pct"/>
            <w:tcBorders>
              <w:top w:val="nil"/>
              <w:left w:val="single" w:sz="4" w:space="0" w:color="auto"/>
              <w:bottom w:val="nil"/>
              <w:right w:val="nil"/>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06"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93"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r>
      <w:tr w:rsidR="00F04849" w:rsidRPr="00F04849" w:rsidTr="00F04849">
        <w:trPr>
          <w:trHeight w:val="210"/>
        </w:trPr>
        <w:tc>
          <w:tcPr>
            <w:tcW w:w="3501" w:type="pct"/>
            <w:tcBorders>
              <w:top w:val="nil"/>
              <w:left w:val="single" w:sz="4" w:space="0" w:color="auto"/>
              <w:bottom w:val="nil"/>
              <w:right w:val="nil"/>
            </w:tcBorders>
            <w:shd w:val="clear" w:color="auto" w:fill="auto"/>
            <w:noWrap/>
            <w:vAlign w:val="center"/>
            <w:hideMark/>
          </w:tcPr>
          <w:p w:rsidR="00F04849" w:rsidRPr="00F04849" w:rsidRDefault="00F04849" w:rsidP="00F04849">
            <w:pPr>
              <w:rPr>
                <w:rFonts w:ascii="Lucida Bright" w:hAnsi="Lucida Bright" w:cs="Calibri"/>
                <w:b/>
                <w:bCs/>
                <w:sz w:val="14"/>
                <w:szCs w:val="14"/>
                <w:lang w:val="es-ES"/>
              </w:rPr>
            </w:pPr>
            <w:r w:rsidRPr="00F04849">
              <w:rPr>
                <w:rFonts w:ascii="Lucida Bright" w:hAnsi="Lucida Bright" w:cs="Calibri"/>
                <w:b/>
                <w:bCs/>
                <w:sz w:val="14"/>
                <w:szCs w:val="14"/>
                <w:lang w:val="es-ES"/>
              </w:rPr>
              <w:t xml:space="preserve">  III. Otros</w:t>
            </w:r>
          </w:p>
        </w:tc>
        <w:tc>
          <w:tcPr>
            <w:tcW w:w="706"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c>
          <w:tcPr>
            <w:tcW w:w="793"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r>
      <w:tr w:rsidR="00F04849" w:rsidRPr="00F04849" w:rsidTr="00F04849">
        <w:trPr>
          <w:trHeight w:val="139"/>
        </w:trPr>
        <w:tc>
          <w:tcPr>
            <w:tcW w:w="3501" w:type="pct"/>
            <w:tcBorders>
              <w:top w:val="nil"/>
              <w:left w:val="single" w:sz="4" w:space="0" w:color="auto"/>
              <w:bottom w:val="nil"/>
              <w:right w:val="nil"/>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06"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93"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r>
      <w:tr w:rsidR="00F04849" w:rsidRPr="00F04849" w:rsidTr="00F04849">
        <w:trPr>
          <w:trHeight w:val="210"/>
        </w:trPr>
        <w:tc>
          <w:tcPr>
            <w:tcW w:w="3501" w:type="pct"/>
            <w:tcBorders>
              <w:top w:val="nil"/>
              <w:left w:val="single" w:sz="4" w:space="0" w:color="auto"/>
              <w:bottom w:val="nil"/>
              <w:right w:val="nil"/>
            </w:tcBorders>
            <w:shd w:val="clear" w:color="auto" w:fill="auto"/>
            <w:noWrap/>
            <w:vAlign w:val="center"/>
            <w:hideMark/>
          </w:tcPr>
          <w:p w:rsidR="00F04849" w:rsidRPr="00F04849" w:rsidRDefault="00F04849" w:rsidP="00F04849">
            <w:pPr>
              <w:rPr>
                <w:rFonts w:ascii="Lucida Bright" w:hAnsi="Lucida Bright" w:cs="Calibri"/>
                <w:b/>
                <w:bCs/>
                <w:sz w:val="14"/>
                <w:szCs w:val="14"/>
                <w:lang w:val="es-ES"/>
              </w:rPr>
            </w:pPr>
            <w:r w:rsidRPr="00F04849">
              <w:rPr>
                <w:rFonts w:ascii="Lucida Bright" w:hAnsi="Lucida Bright" w:cs="Calibri"/>
                <w:b/>
                <w:bCs/>
                <w:sz w:val="14"/>
                <w:szCs w:val="14"/>
                <w:lang w:val="es-ES"/>
              </w:rPr>
              <w:t xml:space="preserve"> A-3) Subvenciones, donaciones y legados recibidos</w:t>
            </w:r>
          </w:p>
        </w:tc>
        <w:tc>
          <w:tcPr>
            <w:tcW w:w="706"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 </w:t>
            </w:r>
          </w:p>
        </w:tc>
        <w:tc>
          <w:tcPr>
            <w:tcW w:w="793" w:type="pct"/>
            <w:tcBorders>
              <w:top w:val="nil"/>
              <w:left w:val="single" w:sz="4" w:space="0" w:color="auto"/>
              <w:bottom w:val="nil"/>
              <w:right w:val="single" w:sz="4" w:space="0" w:color="auto"/>
            </w:tcBorders>
            <w:shd w:val="clear" w:color="auto" w:fill="auto"/>
            <w:noWrap/>
            <w:vAlign w:val="center"/>
            <w:hideMark/>
          </w:tcPr>
          <w:p w:rsidR="00F04849" w:rsidRPr="00F04849" w:rsidRDefault="00F04849" w:rsidP="00F04849">
            <w:pPr>
              <w:jc w:val="right"/>
              <w:rPr>
                <w:rFonts w:ascii="Lucida Bright" w:hAnsi="Lucida Bright" w:cs="Calibri"/>
                <w:b/>
                <w:bCs/>
                <w:sz w:val="14"/>
                <w:szCs w:val="14"/>
                <w:lang w:val="es-ES"/>
              </w:rPr>
            </w:pPr>
            <w:r w:rsidRPr="00F04849">
              <w:rPr>
                <w:rFonts w:ascii="Lucida Bright" w:hAnsi="Lucida Bright" w:cs="Calibri"/>
                <w:b/>
                <w:bCs/>
                <w:sz w:val="14"/>
                <w:szCs w:val="14"/>
                <w:lang w:val="es-ES"/>
              </w:rPr>
              <w:t xml:space="preserve">7.455.740,56 </w:t>
            </w:r>
          </w:p>
        </w:tc>
      </w:tr>
      <w:tr w:rsidR="00F04849" w:rsidRPr="00F04849" w:rsidTr="00F04849">
        <w:trPr>
          <w:trHeight w:val="139"/>
        </w:trPr>
        <w:tc>
          <w:tcPr>
            <w:tcW w:w="3501" w:type="pct"/>
            <w:tcBorders>
              <w:top w:val="nil"/>
              <w:left w:val="single" w:sz="4" w:space="0" w:color="auto"/>
              <w:bottom w:val="single" w:sz="4" w:space="0" w:color="auto"/>
              <w:right w:val="nil"/>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06" w:type="pct"/>
            <w:tcBorders>
              <w:top w:val="nil"/>
              <w:left w:val="single" w:sz="4" w:space="0" w:color="auto"/>
              <w:bottom w:val="single" w:sz="4" w:space="0" w:color="auto"/>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c>
          <w:tcPr>
            <w:tcW w:w="793" w:type="pct"/>
            <w:tcBorders>
              <w:top w:val="nil"/>
              <w:left w:val="single" w:sz="4" w:space="0" w:color="auto"/>
              <w:bottom w:val="single" w:sz="4" w:space="0" w:color="auto"/>
              <w:right w:val="single" w:sz="4" w:space="0" w:color="auto"/>
            </w:tcBorders>
            <w:shd w:val="clear" w:color="auto" w:fill="auto"/>
            <w:noWrap/>
            <w:vAlign w:val="center"/>
            <w:hideMark/>
          </w:tcPr>
          <w:p w:rsidR="00F04849" w:rsidRPr="00F04849" w:rsidRDefault="00F04849" w:rsidP="00F04849">
            <w:pPr>
              <w:rPr>
                <w:rFonts w:ascii="Lucida Bright" w:hAnsi="Lucida Bright" w:cs="Calibri"/>
                <w:sz w:val="14"/>
                <w:szCs w:val="14"/>
                <w:lang w:val="es-ES"/>
              </w:rPr>
            </w:pPr>
            <w:r w:rsidRPr="00F04849">
              <w:rPr>
                <w:rFonts w:ascii="Lucida Bright" w:hAnsi="Lucida Bright" w:cs="Calibri"/>
                <w:sz w:val="14"/>
                <w:szCs w:val="14"/>
                <w:lang w:val="es-ES"/>
              </w:rPr>
              <w:t> </w:t>
            </w:r>
          </w:p>
        </w:tc>
      </w:tr>
    </w:tbl>
    <w:p w:rsidR="0030255B" w:rsidRDefault="0030255B" w:rsidP="00F333F2">
      <w:pPr>
        <w:pStyle w:val="Prrafodelista"/>
        <w:spacing w:before="100" w:after="100"/>
        <w:ind w:left="646"/>
        <w:jc w:val="both"/>
        <w:rPr>
          <w:rFonts w:ascii="NewBaskerville" w:hAnsi="NewBaskerville"/>
        </w:rPr>
      </w:pPr>
    </w:p>
    <w:p w:rsidR="00F04849" w:rsidRDefault="00F04849" w:rsidP="00F333F2">
      <w:pPr>
        <w:pStyle w:val="Prrafodelista"/>
        <w:spacing w:before="100" w:after="100"/>
        <w:ind w:left="646"/>
        <w:jc w:val="both"/>
        <w:rPr>
          <w:rFonts w:ascii="NewBaskerville" w:hAnsi="NewBaskerville"/>
        </w:rPr>
      </w:pPr>
    </w:p>
    <w:p w:rsidR="00F04849" w:rsidRDefault="00F04849" w:rsidP="00F333F2">
      <w:pPr>
        <w:pStyle w:val="Prrafodelista"/>
        <w:spacing w:before="100" w:after="100"/>
        <w:ind w:left="646"/>
        <w:jc w:val="both"/>
        <w:rPr>
          <w:rFonts w:ascii="NewBaskerville" w:hAnsi="NewBaskerville"/>
        </w:rPr>
      </w:pPr>
    </w:p>
    <w:p w:rsidR="00F04849" w:rsidRDefault="00F04849" w:rsidP="00F333F2">
      <w:pPr>
        <w:pStyle w:val="Prrafodelista"/>
        <w:spacing w:before="100" w:after="100"/>
        <w:ind w:left="646"/>
        <w:jc w:val="both"/>
        <w:rPr>
          <w:rFonts w:ascii="NewBaskerville" w:hAnsi="NewBaskerville"/>
        </w:rPr>
      </w:pPr>
    </w:p>
    <w:p w:rsidR="00F04849" w:rsidRDefault="00F04849" w:rsidP="00F333F2">
      <w:pPr>
        <w:pStyle w:val="Prrafodelista"/>
        <w:spacing w:before="100" w:after="100"/>
        <w:ind w:left="646"/>
        <w:jc w:val="both"/>
        <w:rPr>
          <w:rFonts w:ascii="NewBaskerville" w:hAnsi="NewBaskerville"/>
        </w:rPr>
      </w:pPr>
    </w:p>
    <w:p w:rsidR="00F04849" w:rsidRDefault="00F04849" w:rsidP="00F333F2">
      <w:pPr>
        <w:pStyle w:val="Prrafodelista"/>
        <w:spacing w:before="100" w:after="100"/>
        <w:ind w:left="646"/>
        <w:jc w:val="both"/>
        <w:rPr>
          <w:rFonts w:ascii="NewBaskerville" w:hAnsi="NewBaskerville"/>
        </w:rPr>
      </w:pPr>
    </w:p>
    <w:p w:rsidR="00F04849" w:rsidRDefault="00F04849" w:rsidP="00F333F2">
      <w:pPr>
        <w:pStyle w:val="Prrafodelista"/>
        <w:spacing w:before="100" w:after="100"/>
        <w:ind w:left="646"/>
        <w:jc w:val="both"/>
        <w:rPr>
          <w:rFonts w:ascii="NewBaskerville" w:hAnsi="NewBaskerville"/>
        </w:rPr>
      </w:pPr>
    </w:p>
    <w:p w:rsidR="00F04849" w:rsidRDefault="00F04849" w:rsidP="00F333F2">
      <w:pPr>
        <w:pStyle w:val="Prrafodelista"/>
        <w:spacing w:before="100" w:after="100"/>
        <w:ind w:left="646"/>
        <w:jc w:val="both"/>
        <w:rPr>
          <w:rFonts w:ascii="NewBaskerville" w:hAnsi="NewBaskerville"/>
        </w:rPr>
      </w:pPr>
    </w:p>
    <w:tbl>
      <w:tblPr>
        <w:tblW w:w="8647" w:type="dxa"/>
        <w:tblInd w:w="70" w:type="dxa"/>
        <w:tblCellMar>
          <w:left w:w="70" w:type="dxa"/>
          <w:right w:w="70" w:type="dxa"/>
        </w:tblCellMar>
        <w:tblLook w:val="04A0" w:firstRow="1" w:lastRow="0" w:firstColumn="1" w:lastColumn="0" w:noHBand="0" w:noVBand="1"/>
      </w:tblPr>
      <w:tblGrid>
        <w:gridCol w:w="6403"/>
        <w:gridCol w:w="1110"/>
        <w:gridCol w:w="1134"/>
      </w:tblGrid>
      <w:tr w:rsidR="00225CF1" w:rsidRPr="00225CF1" w:rsidTr="00225CF1">
        <w:trPr>
          <w:trHeight w:val="240"/>
        </w:trPr>
        <w:tc>
          <w:tcPr>
            <w:tcW w:w="8647" w:type="dxa"/>
            <w:gridSpan w:val="3"/>
            <w:tcBorders>
              <w:top w:val="nil"/>
              <w:left w:val="nil"/>
              <w:bottom w:val="single" w:sz="4" w:space="0" w:color="auto"/>
              <w:right w:val="nil"/>
            </w:tcBorders>
            <w:shd w:val="clear" w:color="000000" w:fill="FFFFFF"/>
            <w:noWrap/>
            <w:hideMark/>
          </w:tcPr>
          <w:p w:rsidR="00225CF1" w:rsidRPr="00225CF1" w:rsidRDefault="00225CF1" w:rsidP="00225CF1">
            <w:pPr>
              <w:rPr>
                <w:rFonts w:ascii="Lucida Bright" w:hAnsi="Lucida Bright" w:cs="Calibri"/>
                <w:b/>
                <w:bCs/>
                <w:lang w:val="es-ES"/>
              </w:rPr>
            </w:pPr>
            <w:r w:rsidRPr="00225CF1">
              <w:rPr>
                <w:rFonts w:ascii="Lucida Bright" w:hAnsi="Lucida Bright" w:cs="Calibri"/>
                <w:b/>
                <w:bCs/>
                <w:lang w:val="es-ES"/>
              </w:rPr>
              <w:t xml:space="preserve">Cuenta de Pérdidas y Ganancias correspondiente al ejercicio terminado el 31-12-24 </w:t>
            </w:r>
            <w:r w:rsidRPr="00225CF1">
              <w:rPr>
                <w:rFonts w:ascii="Lucida Bright" w:hAnsi="Lucida Bright" w:cs="Calibri"/>
                <w:sz w:val="14"/>
                <w:szCs w:val="14"/>
                <w:lang w:val="es-ES"/>
              </w:rPr>
              <w:t>(en euros)</w:t>
            </w:r>
          </w:p>
        </w:tc>
      </w:tr>
      <w:tr w:rsidR="00225CF1" w:rsidRPr="00225CF1" w:rsidTr="00225CF1">
        <w:trPr>
          <w:trHeight w:val="199"/>
        </w:trPr>
        <w:tc>
          <w:tcPr>
            <w:tcW w:w="6403" w:type="dxa"/>
            <w:tcBorders>
              <w:top w:val="nil"/>
              <w:left w:val="single" w:sz="4" w:space="0" w:color="auto"/>
              <w:bottom w:val="nil"/>
              <w:right w:val="single" w:sz="4" w:space="0" w:color="auto"/>
            </w:tcBorders>
            <w:shd w:val="clear" w:color="000000" w:fill="CCFFCC"/>
            <w:noWrap/>
            <w:vAlign w:val="bottom"/>
            <w:hideMark/>
          </w:tcPr>
          <w:p w:rsidR="00225CF1" w:rsidRPr="00225CF1" w:rsidRDefault="00225CF1" w:rsidP="00225CF1">
            <w:pPr>
              <w:jc w:val="center"/>
              <w:rPr>
                <w:rFonts w:ascii="Lucida Bright" w:hAnsi="Lucida Bright" w:cs="Calibri"/>
                <w:b/>
                <w:bCs/>
                <w:sz w:val="18"/>
                <w:szCs w:val="18"/>
                <w:lang w:val="es-ES"/>
              </w:rPr>
            </w:pPr>
            <w:r w:rsidRPr="00225CF1">
              <w:rPr>
                <w:rFonts w:ascii="Lucida Bright" w:hAnsi="Lucida Bright" w:cs="Calibri"/>
                <w:b/>
                <w:bCs/>
                <w:sz w:val="18"/>
                <w:szCs w:val="18"/>
                <w:lang w:val="es-ES"/>
              </w:rPr>
              <w:t> </w:t>
            </w:r>
          </w:p>
        </w:tc>
        <w:tc>
          <w:tcPr>
            <w:tcW w:w="2244"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225CF1" w:rsidRPr="00225CF1" w:rsidRDefault="00225CF1" w:rsidP="00225CF1">
            <w:pPr>
              <w:jc w:val="center"/>
              <w:rPr>
                <w:rFonts w:ascii="Lucida Bright" w:hAnsi="Lucida Bright" w:cs="Calibri"/>
                <w:b/>
                <w:bCs/>
                <w:sz w:val="18"/>
                <w:szCs w:val="18"/>
                <w:lang w:val="es-ES"/>
              </w:rPr>
            </w:pPr>
            <w:r w:rsidRPr="00225CF1">
              <w:rPr>
                <w:rFonts w:ascii="Lucida Bright" w:hAnsi="Lucida Bright" w:cs="Calibri"/>
                <w:b/>
                <w:bCs/>
                <w:sz w:val="18"/>
                <w:szCs w:val="18"/>
                <w:lang w:val="es-ES"/>
              </w:rPr>
              <w:t>(Debe) Haber</w:t>
            </w:r>
          </w:p>
        </w:tc>
      </w:tr>
      <w:tr w:rsidR="00225CF1" w:rsidRPr="00225CF1" w:rsidTr="00225CF1">
        <w:trPr>
          <w:trHeight w:val="199"/>
        </w:trPr>
        <w:tc>
          <w:tcPr>
            <w:tcW w:w="6403" w:type="dxa"/>
            <w:tcBorders>
              <w:top w:val="nil"/>
              <w:left w:val="single" w:sz="4" w:space="0" w:color="auto"/>
              <w:bottom w:val="single" w:sz="4" w:space="0" w:color="auto"/>
              <w:right w:val="single" w:sz="4" w:space="0" w:color="auto"/>
            </w:tcBorders>
            <w:shd w:val="clear" w:color="000000" w:fill="CCFFCC"/>
            <w:noWrap/>
            <w:vAlign w:val="center"/>
            <w:hideMark/>
          </w:tcPr>
          <w:p w:rsidR="00225CF1" w:rsidRPr="00225CF1" w:rsidRDefault="00225CF1" w:rsidP="00225CF1">
            <w:pPr>
              <w:jc w:val="center"/>
              <w:rPr>
                <w:rFonts w:ascii="Lucida Bright" w:hAnsi="Lucida Bright" w:cs="Calibri"/>
                <w:b/>
                <w:bCs/>
                <w:sz w:val="18"/>
                <w:szCs w:val="18"/>
                <w:lang w:val="es-ES"/>
              </w:rPr>
            </w:pPr>
            <w:r w:rsidRPr="00225CF1">
              <w:rPr>
                <w:rFonts w:ascii="Lucida Bright" w:hAnsi="Lucida Bright" w:cs="Calibri"/>
                <w:b/>
                <w:bCs/>
                <w:sz w:val="18"/>
                <w:szCs w:val="18"/>
                <w:lang w:val="es-ES"/>
              </w:rPr>
              <w:t> </w:t>
            </w:r>
          </w:p>
        </w:tc>
        <w:tc>
          <w:tcPr>
            <w:tcW w:w="1110" w:type="dxa"/>
            <w:tcBorders>
              <w:top w:val="nil"/>
              <w:left w:val="nil"/>
              <w:bottom w:val="single" w:sz="4" w:space="0" w:color="auto"/>
              <w:right w:val="single" w:sz="4" w:space="0" w:color="auto"/>
            </w:tcBorders>
            <w:shd w:val="clear" w:color="000000" w:fill="CCFFCC"/>
            <w:noWrap/>
            <w:vAlign w:val="center"/>
            <w:hideMark/>
          </w:tcPr>
          <w:p w:rsidR="00225CF1" w:rsidRPr="00225CF1" w:rsidRDefault="00225CF1" w:rsidP="00225CF1">
            <w:pPr>
              <w:jc w:val="center"/>
              <w:rPr>
                <w:rFonts w:ascii="Lucida Bright" w:hAnsi="Lucida Bright" w:cs="Calibri"/>
                <w:b/>
                <w:bCs/>
                <w:sz w:val="18"/>
                <w:szCs w:val="18"/>
                <w:lang w:val="es-ES"/>
              </w:rPr>
            </w:pPr>
            <w:r w:rsidRPr="00225CF1">
              <w:rPr>
                <w:rFonts w:ascii="Lucida Bright" w:hAnsi="Lucida Bright" w:cs="Calibri"/>
                <w:b/>
                <w:bCs/>
                <w:sz w:val="18"/>
                <w:szCs w:val="18"/>
                <w:lang w:val="es-ES"/>
              </w:rPr>
              <w:t>2024</w:t>
            </w:r>
          </w:p>
        </w:tc>
        <w:tc>
          <w:tcPr>
            <w:tcW w:w="1134" w:type="dxa"/>
            <w:tcBorders>
              <w:top w:val="nil"/>
              <w:left w:val="nil"/>
              <w:bottom w:val="single" w:sz="4" w:space="0" w:color="auto"/>
              <w:right w:val="single" w:sz="4" w:space="0" w:color="auto"/>
            </w:tcBorders>
            <w:shd w:val="clear" w:color="000000" w:fill="CCFFCC"/>
            <w:noWrap/>
            <w:vAlign w:val="center"/>
            <w:hideMark/>
          </w:tcPr>
          <w:p w:rsidR="00225CF1" w:rsidRPr="00225CF1" w:rsidRDefault="00225CF1" w:rsidP="00225CF1">
            <w:pPr>
              <w:jc w:val="center"/>
              <w:rPr>
                <w:rFonts w:ascii="Lucida Bright" w:hAnsi="Lucida Bright" w:cs="Calibri"/>
                <w:b/>
                <w:bCs/>
                <w:sz w:val="18"/>
                <w:szCs w:val="18"/>
                <w:lang w:val="es-ES"/>
              </w:rPr>
            </w:pPr>
            <w:r w:rsidRPr="00225CF1">
              <w:rPr>
                <w:rFonts w:ascii="Lucida Bright" w:hAnsi="Lucida Bright" w:cs="Calibri"/>
                <w:b/>
                <w:bCs/>
                <w:sz w:val="18"/>
                <w:szCs w:val="18"/>
                <w:lang w:val="es-ES"/>
              </w:rPr>
              <w:t>2023</w:t>
            </w:r>
          </w:p>
        </w:tc>
      </w:tr>
      <w:tr w:rsidR="00225CF1" w:rsidRPr="00225CF1" w:rsidTr="00225CF1">
        <w:trPr>
          <w:trHeight w:val="79"/>
        </w:trPr>
        <w:tc>
          <w:tcPr>
            <w:tcW w:w="6403" w:type="dxa"/>
            <w:tcBorders>
              <w:top w:val="nil"/>
              <w:left w:val="single" w:sz="4" w:space="0" w:color="auto"/>
              <w:bottom w:val="nil"/>
              <w:right w:val="single" w:sz="4" w:space="0" w:color="auto"/>
            </w:tcBorders>
            <w:shd w:val="clear" w:color="auto" w:fill="auto"/>
            <w:noWrap/>
            <w:vAlign w:val="bottom"/>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c>
          <w:tcPr>
            <w:tcW w:w="1110" w:type="dxa"/>
            <w:tcBorders>
              <w:top w:val="nil"/>
              <w:left w:val="nil"/>
              <w:bottom w:val="nil"/>
              <w:right w:val="single" w:sz="4" w:space="0" w:color="auto"/>
            </w:tcBorders>
            <w:shd w:val="clear" w:color="auto" w:fill="auto"/>
            <w:noWrap/>
            <w:vAlign w:val="bottom"/>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c>
          <w:tcPr>
            <w:tcW w:w="1134" w:type="dxa"/>
            <w:tcBorders>
              <w:top w:val="nil"/>
              <w:left w:val="nil"/>
              <w:bottom w:val="nil"/>
              <w:right w:val="single" w:sz="4" w:space="0" w:color="auto"/>
            </w:tcBorders>
            <w:shd w:val="clear" w:color="auto" w:fill="auto"/>
            <w:noWrap/>
            <w:vAlign w:val="bottom"/>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r>
      <w:tr w:rsidR="00225CF1" w:rsidRPr="00225CF1" w:rsidTr="00225CF1">
        <w:trPr>
          <w:trHeight w:val="210"/>
        </w:trPr>
        <w:tc>
          <w:tcPr>
            <w:tcW w:w="6403" w:type="dxa"/>
            <w:tcBorders>
              <w:top w:val="nil"/>
              <w:left w:val="single" w:sz="4" w:space="0" w:color="auto"/>
              <w:bottom w:val="nil"/>
              <w:right w:val="single" w:sz="4" w:space="0" w:color="auto"/>
            </w:tcBorders>
            <w:shd w:val="clear" w:color="auto" w:fill="auto"/>
            <w:noWrap/>
            <w:vAlign w:val="center"/>
            <w:hideMark/>
          </w:tcPr>
          <w:p w:rsidR="00225CF1" w:rsidRPr="00225CF1" w:rsidRDefault="00225CF1" w:rsidP="00225CF1">
            <w:pPr>
              <w:ind w:firstLineChars="100" w:firstLine="141"/>
              <w:rPr>
                <w:rFonts w:ascii="Lucida Bright" w:hAnsi="Lucida Bright" w:cs="Calibri"/>
                <w:b/>
                <w:bCs/>
                <w:sz w:val="14"/>
                <w:szCs w:val="14"/>
                <w:lang w:val="es-ES"/>
              </w:rPr>
            </w:pPr>
            <w:r w:rsidRPr="00225CF1">
              <w:rPr>
                <w:rFonts w:ascii="Lucida Bright" w:hAnsi="Lucida Bright" w:cs="Calibri"/>
                <w:b/>
                <w:bCs/>
                <w:sz w:val="14"/>
                <w:szCs w:val="14"/>
                <w:lang w:val="es-ES"/>
              </w:rPr>
              <w:t>5. Otros ingresos de explotación</w:t>
            </w:r>
          </w:p>
        </w:tc>
        <w:tc>
          <w:tcPr>
            <w:tcW w:w="1110" w:type="dxa"/>
            <w:tcBorders>
              <w:top w:val="nil"/>
              <w:left w:val="nil"/>
              <w:bottom w:val="nil"/>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b/>
                <w:bCs/>
                <w:sz w:val="14"/>
                <w:szCs w:val="14"/>
                <w:lang w:val="es-ES"/>
              </w:rPr>
            </w:pPr>
            <w:r w:rsidRPr="00225CF1">
              <w:rPr>
                <w:rFonts w:ascii="Lucida Bright" w:hAnsi="Lucida Bright" w:cs="Calibri"/>
                <w:b/>
                <w:bCs/>
                <w:sz w:val="14"/>
                <w:szCs w:val="14"/>
                <w:lang w:val="es-ES"/>
              </w:rPr>
              <w:t xml:space="preserve">-  </w:t>
            </w:r>
          </w:p>
        </w:tc>
        <w:tc>
          <w:tcPr>
            <w:tcW w:w="1134" w:type="dxa"/>
            <w:tcBorders>
              <w:top w:val="nil"/>
              <w:left w:val="nil"/>
              <w:bottom w:val="nil"/>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b/>
                <w:bCs/>
                <w:sz w:val="14"/>
                <w:szCs w:val="14"/>
                <w:lang w:val="es-ES"/>
              </w:rPr>
            </w:pPr>
            <w:r w:rsidRPr="00225CF1">
              <w:rPr>
                <w:rFonts w:ascii="Lucida Bright" w:hAnsi="Lucida Bright" w:cs="Calibri"/>
                <w:b/>
                <w:bCs/>
                <w:sz w:val="14"/>
                <w:szCs w:val="14"/>
                <w:lang w:val="es-ES"/>
              </w:rPr>
              <w:t xml:space="preserve">620.038,33  </w:t>
            </w:r>
          </w:p>
        </w:tc>
      </w:tr>
      <w:tr w:rsidR="00225CF1" w:rsidRPr="00225CF1" w:rsidTr="00225CF1">
        <w:trPr>
          <w:trHeight w:val="210"/>
        </w:trPr>
        <w:tc>
          <w:tcPr>
            <w:tcW w:w="6403" w:type="dxa"/>
            <w:tcBorders>
              <w:top w:val="nil"/>
              <w:left w:val="single" w:sz="4" w:space="0" w:color="auto"/>
              <w:bottom w:val="nil"/>
              <w:right w:val="single" w:sz="4" w:space="0" w:color="auto"/>
            </w:tcBorders>
            <w:shd w:val="clear" w:color="auto" w:fill="auto"/>
            <w:noWrap/>
            <w:vAlign w:val="bottom"/>
            <w:hideMark/>
          </w:tcPr>
          <w:p w:rsidR="00225CF1" w:rsidRPr="00225CF1" w:rsidRDefault="00225CF1" w:rsidP="00225CF1">
            <w:pPr>
              <w:ind w:firstLineChars="200" w:firstLine="280"/>
              <w:rPr>
                <w:rFonts w:ascii="Lucida Bright" w:hAnsi="Lucida Bright" w:cs="Calibri"/>
                <w:sz w:val="14"/>
                <w:szCs w:val="14"/>
                <w:lang w:val="es-ES"/>
              </w:rPr>
            </w:pPr>
            <w:r w:rsidRPr="00225CF1">
              <w:rPr>
                <w:rFonts w:ascii="Lucida Bright" w:hAnsi="Lucida Bright" w:cs="Calibri"/>
                <w:sz w:val="14"/>
                <w:szCs w:val="14"/>
                <w:lang w:val="es-ES"/>
              </w:rPr>
              <w:t>c) Ingresos traspasados al resultado por concesiones revertidas</w:t>
            </w:r>
          </w:p>
        </w:tc>
        <w:tc>
          <w:tcPr>
            <w:tcW w:w="1110" w:type="dxa"/>
            <w:tcBorders>
              <w:top w:val="nil"/>
              <w:left w:val="nil"/>
              <w:bottom w:val="nil"/>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sz w:val="14"/>
                <w:szCs w:val="14"/>
                <w:lang w:val="es-ES"/>
              </w:rPr>
            </w:pPr>
            <w:r w:rsidRPr="00225CF1">
              <w:rPr>
                <w:rFonts w:ascii="Lucida Bright" w:hAnsi="Lucida Bright" w:cs="Calibri"/>
                <w:sz w:val="14"/>
                <w:szCs w:val="14"/>
                <w:lang w:val="es-ES"/>
              </w:rPr>
              <w:t xml:space="preserve">-  </w:t>
            </w:r>
          </w:p>
        </w:tc>
        <w:tc>
          <w:tcPr>
            <w:tcW w:w="1134" w:type="dxa"/>
            <w:tcBorders>
              <w:top w:val="nil"/>
              <w:left w:val="nil"/>
              <w:bottom w:val="nil"/>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sz w:val="14"/>
                <w:szCs w:val="14"/>
                <w:lang w:val="es-ES"/>
              </w:rPr>
            </w:pPr>
            <w:r w:rsidRPr="00225CF1">
              <w:rPr>
                <w:rFonts w:ascii="Lucida Bright" w:hAnsi="Lucida Bright" w:cs="Calibri"/>
                <w:sz w:val="14"/>
                <w:szCs w:val="14"/>
                <w:lang w:val="es-ES"/>
              </w:rPr>
              <w:t xml:space="preserve">620.038,33  </w:t>
            </w:r>
          </w:p>
        </w:tc>
      </w:tr>
      <w:tr w:rsidR="00225CF1" w:rsidRPr="00225CF1" w:rsidTr="00225CF1">
        <w:trPr>
          <w:trHeight w:val="79"/>
        </w:trPr>
        <w:tc>
          <w:tcPr>
            <w:tcW w:w="6403" w:type="dxa"/>
            <w:tcBorders>
              <w:top w:val="nil"/>
              <w:left w:val="single" w:sz="4" w:space="0" w:color="auto"/>
              <w:bottom w:val="nil"/>
              <w:right w:val="single" w:sz="4" w:space="0" w:color="auto"/>
            </w:tcBorders>
            <w:shd w:val="clear" w:color="auto" w:fill="auto"/>
            <w:noWrap/>
            <w:vAlign w:val="bottom"/>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c>
          <w:tcPr>
            <w:tcW w:w="1110" w:type="dxa"/>
            <w:tcBorders>
              <w:top w:val="nil"/>
              <w:left w:val="nil"/>
              <w:bottom w:val="nil"/>
              <w:right w:val="single" w:sz="4" w:space="0" w:color="auto"/>
            </w:tcBorders>
            <w:shd w:val="clear" w:color="auto" w:fill="auto"/>
            <w:noWrap/>
            <w:vAlign w:val="bottom"/>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c>
          <w:tcPr>
            <w:tcW w:w="1134" w:type="dxa"/>
            <w:tcBorders>
              <w:top w:val="nil"/>
              <w:left w:val="nil"/>
              <w:bottom w:val="nil"/>
              <w:right w:val="single" w:sz="4" w:space="0" w:color="auto"/>
            </w:tcBorders>
            <w:shd w:val="clear" w:color="auto" w:fill="auto"/>
            <w:noWrap/>
            <w:vAlign w:val="bottom"/>
            <w:hideMark/>
          </w:tcPr>
          <w:p w:rsidR="00225CF1" w:rsidRPr="00225CF1" w:rsidRDefault="00225CF1" w:rsidP="00225CF1">
            <w:pPr>
              <w:rPr>
                <w:rFonts w:ascii="Lucida Bright" w:hAnsi="Lucida Bright" w:cs="Calibri"/>
                <w:b/>
                <w:bCs/>
                <w:color w:val="FFFFFF"/>
                <w:sz w:val="14"/>
                <w:szCs w:val="14"/>
                <w:lang w:val="es-ES"/>
              </w:rPr>
            </w:pPr>
            <w:r w:rsidRPr="00225CF1">
              <w:rPr>
                <w:rFonts w:ascii="Lucida Bright" w:hAnsi="Lucida Bright" w:cs="Calibri"/>
                <w:b/>
                <w:bCs/>
                <w:color w:val="FFFFFF"/>
                <w:sz w:val="14"/>
                <w:szCs w:val="14"/>
                <w:lang w:val="es-ES"/>
              </w:rPr>
              <w:t> </w:t>
            </w:r>
          </w:p>
        </w:tc>
      </w:tr>
      <w:tr w:rsidR="00225CF1" w:rsidRPr="00225CF1" w:rsidTr="00225CF1">
        <w:trPr>
          <w:trHeight w:val="79"/>
        </w:trPr>
        <w:tc>
          <w:tcPr>
            <w:tcW w:w="6403" w:type="dxa"/>
            <w:tcBorders>
              <w:top w:val="nil"/>
              <w:left w:val="single" w:sz="4" w:space="0" w:color="auto"/>
              <w:bottom w:val="nil"/>
              <w:right w:val="single" w:sz="4" w:space="0" w:color="auto"/>
            </w:tcBorders>
            <w:shd w:val="clear" w:color="auto" w:fill="auto"/>
            <w:noWrap/>
            <w:vAlign w:val="bottom"/>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c>
          <w:tcPr>
            <w:tcW w:w="1110" w:type="dxa"/>
            <w:tcBorders>
              <w:top w:val="nil"/>
              <w:left w:val="nil"/>
              <w:bottom w:val="nil"/>
              <w:right w:val="single" w:sz="4" w:space="0" w:color="auto"/>
            </w:tcBorders>
            <w:shd w:val="clear" w:color="auto" w:fill="auto"/>
            <w:noWrap/>
            <w:vAlign w:val="bottom"/>
            <w:hideMark/>
          </w:tcPr>
          <w:p w:rsidR="00225CF1" w:rsidRPr="00225CF1" w:rsidRDefault="00225CF1" w:rsidP="00225CF1">
            <w:pPr>
              <w:rPr>
                <w:rFonts w:ascii="Lucida Bright" w:hAnsi="Lucida Bright" w:cs="Calibri"/>
                <w:b/>
                <w:bCs/>
                <w:sz w:val="14"/>
                <w:szCs w:val="14"/>
                <w:lang w:val="es-ES"/>
              </w:rPr>
            </w:pPr>
          </w:p>
        </w:tc>
        <w:tc>
          <w:tcPr>
            <w:tcW w:w="1134" w:type="dxa"/>
            <w:tcBorders>
              <w:top w:val="nil"/>
              <w:left w:val="nil"/>
              <w:bottom w:val="nil"/>
              <w:right w:val="single" w:sz="4" w:space="0" w:color="auto"/>
            </w:tcBorders>
            <w:shd w:val="clear" w:color="auto" w:fill="auto"/>
            <w:noWrap/>
            <w:vAlign w:val="bottom"/>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r>
      <w:tr w:rsidR="00225CF1" w:rsidRPr="00225CF1" w:rsidTr="00225CF1">
        <w:trPr>
          <w:trHeight w:val="210"/>
        </w:trPr>
        <w:tc>
          <w:tcPr>
            <w:tcW w:w="6403" w:type="dxa"/>
            <w:tcBorders>
              <w:top w:val="nil"/>
              <w:left w:val="single" w:sz="4" w:space="0" w:color="auto"/>
              <w:bottom w:val="nil"/>
              <w:right w:val="single" w:sz="4" w:space="0" w:color="auto"/>
            </w:tcBorders>
            <w:shd w:val="clear" w:color="auto" w:fill="auto"/>
            <w:noWrap/>
            <w:vAlign w:val="center"/>
            <w:hideMark/>
          </w:tcPr>
          <w:p w:rsidR="00225CF1" w:rsidRPr="00225CF1" w:rsidRDefault="00225CF1" w:rsidP="00225CF1">
            <w:pPr>
              <w:ind w:firstLineChars="100" w:firstLine="141"/>
              <w:rPr>
                <w:rFonts w:ascii="Lucida Bright" w:hAnsi="Lucida Bright" w:cs="Calibri"/>
                <w:b/>
                <w:bCs/>
                <w:sz w:val="14"/>
                <w:szCs w:val="14"/>
                <w:lang w:val="es-ES"/>
              </w:rPr>
            </w:pPr>
            <w:r w:rsidRPr="00225CF1">
              <w:rPr>
                <w:rFonts w:ascii="Lucida Bright" w:hAnsi="Lucida Bright" w:cs="Calibri"/>
                <w:b/>
                <w:bCs/>
                <w:sz w:val="14"/>
                <w:szCs w:val="14"/>
                <w:lang w:val="es-ES"/>
              </w:rPr>
              <w:t>7. Otros gastos de explotación</w:t>
            </w:r>
          </w:p>
        </w:tc>
        <w:tc>
          <w:tcPr>
            <w:tcW w:w="1110" w:type="dxa"/>
            <w:tcBorders>
              <w:top w:val="nil"/>
              <w:left w:val="nil"/>
              <w:bottom w:val="nil"/>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b/>
                <w:bCs/>
                <w:sz w:val="14"/>
                <w:szCs w:val="14"/>
                <w:lang w:val="es-ES"/>
              </w:rPr>
            </w:pPr>
            <w:r w:rsidRPr="00225CF1">
              <w:rPr>
                <w:rFonts w:ascii="Lucida Bright" w:hAnsi="Lucida Bright" w:cs="Calibri"/>
                <w:b/>
                <w:bCs/>
                <w:sz w:val="14"/>
                <w:szCs w:val="14"/>
                <w:lang w:val="es-ES"/>
              </w:rPr>
              <w:t xml:space="preserve">-  </w:t>
            </w:r>
          </w:p>
        </w:tc>
        <w:tc>
          <w:tcPr>
            <w:tcW w:w="1134" w:type="dxa"/>
            <w:tcBorders>
              <w:top w:val="nil"/>
              <w:left w:val="nil"/>
              <w:bottom w:val="nil"/>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b/>
                <w:bCs/>
                <w:sz w:val="14"/>
                <w:szCs w:val="14"/>
                <w:lang w:val="es-ES"/>
              </w:rPr>
            </w:pPr>
            <w:r w:rsidRPr="00225CF1">
              <w:rPr>
                <w:rFonts w:ascii="Lucida Bright" w:hAnsi="Lucida Bright" w:cs="Calibri"/>
                <w:b/>
                <w:bCs/>
                <w:sz w:val="14"/>
                <w:szCs w:val="14"/>
                <w:lang w:val="es-ES"/>
              </w:rPr>
              <w:t xml:space="preserve">(305.756,48)  </w:t>
            </w:r>
          </w:p>
        </w:tc>
      </w:tr>
      <w:tr w:rsidR="00225CF1" w:rsidRPr="00225CF1" w:rsidTr="00225CF1">
        <w:trPr>
          <w:trHeight w:val="210"/>
        </w:trPr>
        <w:tc>
          <w:tcPr>
            <w:tcW w:w="6403" w:type="dxa"/>
            <w:tcBorders>
              <w:top w:val="nil"/>
              <w:left w:val="single" w:sz="4" w:space="0" w:color="auto"/>
              <w:bottom w:val="nil"/>
              <w:right w:val="single" w:sz="4" w:space="0" w:color="auto"/>
            </w:tcBorders>
            <w:shd w:val="clear" w:color="auto" w:fill="auto"/>
            <w:noWrap/>
            <w:vAlign w:val="bottom"/>
            <w:hideMark/>
          </w:tcPr>
          <w:p w:rsidR="00225CF1" w:rsidRPr="00225CF1" w:rsidRDefault="00225CF1" w:rsidP="00225CF1">
            <w:pPr>
              <w:ind w:firstLineChars="200" w:firstLine="280"/>
              <w:rPr>
                <w:rFonts w:ascii="Lucida Bright" w:hAnsi="Lucida Bright" w:cs="Calibri"/>
                <w:sz w:val="14"/>
                <w:szCs w:val="14"/>
                <w:lang w:val="es-ES"/>
              </w:rPr>
            </w:pPr>
            <w:r w:rsidRPr="00225CF1">
              <w:rPr>
                <w:rFonts w:ascii="Lucida Bright" w:hAnsi="Lucida Bright" w:cs="Calibri"/>
                <w:sz w:val="14"/>
                <w:szCs w:val="14"/>
                <w:lang w:val="es-ES"/>
              </w:rPr>
              <w:t>a) Servicios exteriores</w:t>
            </w:r>
          </w:p>
        </w:tc>
        <w:tc>
          <w:tcPr>
            <w:tcW w:w="1110" w:type="dxa"/>
            <w:tcBorders>
              <w:top w:val="nil"/>
              <w:left w:val="nil"/>
              <w:bottom w:val="nil"/>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sz w:val="14"/>
                <w:szCs w:val="14"/>
                <w:lang w:val="es-ES"/>
              </w:rPr>
            </w:pPr>
            <w:r w:rsidRPr="00225CF1">
              <w:rPr>
                <w:rFonts w:ascii="Lucida Bright" w:hAnsi="Lucida Bright" w:cs="Calibri"/>
                <w:sz w:val="14"/>
                <w:szCs w:val="14"/>
                <w:lang w:val="es-ES"/>
              </w:rPr>
              <w:t xml:space="preserve">-  </w:t>
            </w:r>
          </w:p>
        </w:tc>
        <w:tc>
          <w:tcPr>
            <w:tcW w:w="1134" w:type="dxa"/>
            <w:tcBorders>
              <w:top w:val="nil"/>
              <w:left w:val="nil"/>
              <w:bottom w:val="nil"/>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sz w:val="14"/>
                <w:szCs w:val="14"/>
                <w:lang w:val="es-ES"/>
              </w:rPr>
            </w:pPr>
            <w:r w:rsidRPr="00225CF1">
              <w:rPr>
                <w:rFonts w:ascii="Lucida Bright" w:hAnsi="Lucida Bright" w:cs="Calibri"/>
                <w:sz w:val="14"/>
                <w:szCs w:val="14"/>
                <w:lang w:val="es-ES"/>
              </w:rPr>
              <w:t xml:space="preserve">(305.756,48)  </w:t>
            </w:r>
          </w:p>
        </w:tc>
      </w:tr>
      <w:tr w:rsidR="00225CF1" w:rsidRPr="00225CF1" w:rsidTr="00225CF1">
        <w:trPr>
          <w:trHeight w:val="210"/>
        </w:trPr>
        <w:tc>
          <w:tcPr>
            <w:tcW w:w="6403" w:type="dxa"/>
            <w:tcBorders>
              <w:top w:val="nil"/>
              <w:left w:val="single" w:sz="4" w:space="0" w:color="auto"/>
              <w:bottom w:val="nil"/>
              <w:right w:val="single" w:sz="4" w:space="0" w:color="auto"/>
            </w:tcBorders>
            <w:shd w:val="clear" w:color="auto" w:fill="auto"/>
            <w:noWrap/>
            <w:vAlign w:val="bottom"/>
            <w:hideMark/>
          </w:tcPr>
          <w:p w:rsidR="00225CF1" w:rsidRPr="00225CF1" w:rsidRDefault="00225CF1" w:rsidP="00225CF1">
            <w:pPr>
              <w:ind w:firstLineChars="300" w:firstLine="420"/>
              <w:rPr>
                <w:rFonts w:ascii="Lucida Bright" w:hAnsi="Lucida Bright" w:cs="Calibri"/>
                <w:i/>
                <w:iCs/>
                <w:sz w:val="14"/>
                <w:szCs w:val="14"/>
                <w:lang w:val="es-ES"/>
              </w:rPr>
            </w:pPr>
            <w:r w:rsidRPr="00225CF1">
              <w:rPr>
                <w:rFonts w:ascii="Lucida Bright" w:hAnsi="Lucida Bright" w:cs="Calibri"/>
                <w:i/>
                <w:iCs/>
                <w:sz w:val="14"/>
                <w:szCs w:val="14"/>
                <w:lang w:val="es-ES"/>
              </w:rPr>
              <w:t>1. Reparaciones y conservación</w:t>
            </w:r>
          </w:p>
        </w:tc>
        <w:tc>
          <w:tcPr>
            <w:tcW w:w="1110" w:type="dxa"/>
            <w:tcBorders>
              <w:top w:val="nil"/>
              <w:left w:val="nil"/>
              <w:bottom w:val="nil"/>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i/>
                <w:iCs/>
                <w:sz w:val="14"/>
                <w:szCs w:val="14"/>
                <w:lang w:val="es-ES"/>
              </w:rPr>
            </w:pPr>
            <w:r w:rsidRPr="00225CF1">
              <w:rPr>
                <w:rFonts w:ascii="Lucida Bright" w:hAnsi="Lucida Bright" w:cs="Calibri"/>
                <w:i/>
                <w:iCs/>
                <w:sz w:val="14"/>
                <w:szCs w:val="14"/>
                <w:lang w:val="es-ES"/>
              </w:rPr>
              <w:t xml:space="preserve">-  </w:t>
            </w:r>
          </w:p>
        </w:tc>
        <w:tc>
          <w:tcPr>
            <w:tcW w:w="1134" w:type="dxa"/>
            <w:tcBorders>
              <w:top w:val="nil"/>
              <w:left w:val="nil"/>
              <w:bottom w:val="nil"/>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i/>
                <w:iCs/>
                <w:sz w:val="14"/>
                <w:szCs w:val="14"/>
                <w:lang w:val="es-ES"/>
              </w:rPr>
            </w:pPr>
            <w:r w:rsidRPr="00225CF1">
              <w:rPr>
                <w:rFonts w:ascii="Lucida Bright" w:hAnsi="Lucida Bright" w:cs="Calibri"/>
                <w:i/>
                <w:iCs/>
                <w:sz w:val="14"/>
                <w:szCs w:val="14"/>
                <w:lang w:val="es-ES"/>
              </w:rPr>
              <w:t xml:space="preserve">(254.353,15)  </w:t>
            </w:r>
          </w:p>
        </w:tc>
      </w:tr>
      <w:tr w:rsidR="00225CF1" w:rsidRPr="00225CF1" w:rsidTr="00225CF1">
        <w:trPr>
          <w:trHeight w:val="210"/>
        </w:trPr>
        <w:tc>
          <w:tcPr>
            <w:tcW w:w="6403" w:type="dxa"/>
            <w:tcBorders>
              <w:top w:val="nil"/>
              <w:left w:val="single" w:sz="4" w:space="0" w:color="auto"/>
              <w:bottom w:val="nil"/>
              <w:right w:val="single" w:sz="4" w:space="0" w:color="auto"/>
            </w:tcBorders>
            <w:shd w:val="clear" w:color="auto" w:fill="auto"/>
            <w:noWrap/>
            <w:vAlign w:val="bottom"/>
            <w:hideMark/>
          </w:tcPr>
          <w:p w:rsidR="00225CF1" w:rsidRPr="00225CF1" w:rsidRDefault="00225CF1" w:rsidP="00225CF1">
            <w:pPr>
              <w:ind w:firstLineChars="300" w:firstLine="420"/>
              <w:rPr>
                <w:rFonts w:ascii="Lucida Bright" w:hAnsi="Lucida Bright" w:cs="Calibri"/>
                <w:i/>
                <w:iCs/>
                <w:sz w:val="14"/>
                <w:szCs w:val="14"/>
                <w:lang w:val="es-ES"/>
              </w:rPr>
            </w:pPr>
            <w:r w:rsidRPr="00225CF1">
              <w:rPr>
                <w:rFonts w:ascii="Lucida Bright" w:hAnsi="Lucida Bright" w:cs="Calibri"/>
                <w:i/>
                <w:iCs/>
                <w:sz w:val="14"/>
                <w:szCs w:val="14"/>
                <w:lang w:val="es-ES"/>
              </w:rPr>
              <w:t>2. Servicios de profesionales independientes</w:t>
            </w:r>
          </w:p>
        </w:tc>
        <w:tc>
          <w:tcPr>
            <w:tcW w:w="1110" w:type="dxa"/>
            <w:tcBorders>
              <w:top w:val="nil"/>
              <w:left w:val="nil"/>
              <w:bottom w:val="nil"/>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i/>
                <w:iCs/>
                <w:sz w:val="14"/>
                <w:szCs w:val="14"/>
                <w:lang w:val="es-ES"/>
              </w:rPr>
            </w:pPr>
            <w:r w:rsidRPr="00225CF1">
              <w:rPr>
                <w:rFonts w:ascii="Lucida Bright" w:hAnsi="Lucida Bright" w:cs="Calibri"/>
                <w:i/>
                <w:iCs/>
                <w:sz w:val="14"/>
                <w:szCs w:val="14"/>
                <w:lang w:val="es-ES"/>
              </w:rPr>
              <w:t xml:space="preserve">-  </w:t>
            </w:r>
          </w:p>
        </w:tc>
        <w:tc>
          <w:tcPr>
            <w:tcW w:w="1134" w:type="dxa"/>
            <w:tcBorders>
              <w:top w:val="nil"/>
              <w:left w:val="nil"/>
              <w:bottom w:val="nil"/>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i/>
                <w:iCs/>
                <w:sz w:val="14"/>
                <w:szCs w:val="14"/>
                <w:lang w:val="es-ES"/>
              </w:rPr>
            </w:pPr>
            <w:r w:rsidRPr="00225CF1">
              <w:rPr>
                <w:rFonts w:ascii="Lucida Bright" w:hAnsi="Lucida Bright" w:cs="Calibri"/>
                <w:i/>
                <w:iCs/>
                <w:sz w:val="14"/>
                <w:szCs w:val="14"/>
                <w:lang w:val="es-ES"/>
              </w:rPr>
              <w:t xml:space="preserve">(51.403,33)  </w:t>
            </w:r>
          </w:p>
        </w:tc>
      </w:tr>
      <w:tr w:rsidR="00225CF1" w:rsidRPr="00225CF1" w:rsidTr="00225CF1">
        <w:trPr>
          <w:trHeight w:val="79"/>
        </w:trPr>
        <w:tc>
          <w:tcPr>
            <w:tcW w:w="6403" w:type="dxa"/>
            <w:tcBorders>
              <w:top w:val="nil"/>
              <w:left w:val="single" w:sz="4" w:space="0" w:color="auto"/>
              <w:bottom w:val="nil"/>
              <w:right w:val="single" w:sz="4" w:space="0" w:color="auto"/>
            </w:tcBorders>
            <w:shd w:val="clear" w:color="auto" w:fill="auto"/>
            <w:noWrap/>
            <w:vAlign w:val="bottom"/>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c>
          <w:tcPr>
            <w:tcW w:w="1110" w:type="dxa"/>
            <w:tcBorders>
              <w:top w:val="nil"/>
              <w:left w:val="nil"/>
              <w:bottom w:val="nil"/>
              <w:right w:val="single" w:sz="4" w:space="0" w:color="auto"/>
            </w:tcBorders>
            <w:shd w:val="clear" w:color="auto" w:fill="auto"/>
            <w:noWrap/>
            <w:vAlign w:val="bottom"/>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c>
          <w:tcPr>
            <w:tcW w:w="1134" w:type="dxa"/>
            <w:tcBorders>
              <w:top w:val="nil"/>
              <w:left w:val="nil"/>
              <w:bottom w:val="nil"/>
              <w:right w:val="single" w:sz="4" w:space="0" w:color="auto"/>
            </w:tcBorders>
            <w:shd w:val="clear" w:color="auto" w:fill="auto"/>
            <w:noWrap/>
            <w:vAlign w:val="bottom"/>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r>
      <w:tr w:rsidR="00225CF1" w:rsidRPr="00225CF1" w:rsidTr="00225CF1">
        <w:trPr>
          <w:trHeight w:val="210"/>
        </w:trPr>
        <w:tc>
          <w:tcPr>
            <w:tcW w:w="6403" w:type="dxa"/>
            <w:tcBorders>
              <w:top w:val="nil"/>
              <w:left w:val="single" w:sz="4" w:space="0" w:color="auto"/>
              <w:bottom w:val="nil"/>
              <w:right w:val="single" w:sz="4" w:space="0" w:color="auto"/>
            </w:tcBorders>
            <w:shd w:val="clear" w:color="auto" w:fill="auto"/>
            <w:noWrap/>
            <w:vAlign w:val="center"/>
            <w:hideMark/>
          </w:tcPr>
          <w:p w:rsidR="00225CF1" w:rsidRPr="00225CF1" w:rsidRDefault="00225CF1" w:rsidP="00225CF1">
            <w:pPr>
              <w:ind w:firstLineChars="100" w:firstLine="141"/>
              <w:rPr>
                <w:rFonts w:ascii="Lucida Bright" w:hAnsi="Lucida Bright" w:cs="Calibri"/>
                <w:b/>
                <w:bCs/>
                <w:sz w:val="14"/>
                <w:szCs w:val="14"/>
                <w:lang w:val="es-ES"/>
              </w:rPr>
            </w:pPr>
            <w:r w:rsidRPr="00225CF1">
              <w:rPr>
                <w:rFonts w:ascii="Lucida Bright" w:hAnsi="Lucida Bright" w:cs="Calibri"/>
                <w:b/>
                <w:bCs/>
                <w:sz w:val="14"/>
                <w:szCs w:val="14"/>
                <w:lang w:val="es-ES"/>
              </w:rPr>
              <w:t>8. Amortizaciones del inmovilizado</w:t>
            </w:r>
          </w:p>
        </w:tc>
        <w:tc>
          <w:tcPr>
            <w:tcW w:w="1110" w:type="dxa"/>
            <w:tcBorders>
              <w:top w:val="nil"/>
              <w:left w:val="nil"/>
              <w:bottom w:val="nil"/>
              <w:right w:val="single" w:sz="4" w:space="0" w:color="auto"/>
            </w:tcBorders>
            <w:shd w:val="clear" w:color="auto" w:fill="auto"/>
            <w:noWrap/>
            <w:vAlign w:val="center"/>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c>
          <w:tcPr>
            <w:tcW w:w="1134" w:type="dxa"/>
            <w:tcBorders>
              <w:top w:val="nil"/>
              <w:left w:val="nil"/>
              <w:bottom w:val="nil"/>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b/>
                <w:bCs/>
                <w:sz w:val="14"/>
                <w:szCs w:val="14"/>
                <w:lang w:val="es-ES"/>
              </w:rPr>
            </w:pPr>
            <w:r w:rsidRPr="00225CF1">
              <w:rPr>
                <w:rFonts w:ascii="Lucida Bright" w:hAnsi="Lucida Bright" w:cs="Calibri"/>
                <w:b/>
                <w:bCs/>
                <w:sz w:val="14"/>
                <w:szCs w:val="14"/>
                <w:lang w:val="es-ES"/>
              </w:rPr>
              <w:t xml:space="preserve">(2.537.581,36)  </w:t>
            </w:r>
          </w:p>
        </w:tc>
      </w:tr>
      <w:tr w:rsidR="00225CF1" w:rsidRPr="00225CF1" w:rsidTr="00225CF1">
        <w:trPr>
          <w:trHeight w:val="79"/>
        </w:trPr>
        <w:tc>
          <w:tcPr>
            <w:tcW w:w="6403" w:type="dxa"/>
            <w:tcBorders>
              <w:top w:val="nil"/>
              <w:left w:val="single" w:sz="4" w:space="0" w:color="auto"/>
              <w:bottom w:val="nil"/>
              <w:right w:val="single" w:sz="4" w:space="0" w:color="auto"/>
            </w:tcBorders>
            <w:shd w:val="clear" w:color="auto" w:fill="auto"/>
            <w:noWrap/>
            <w:vAlign w:val="bottom"/>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c>
          <w:tcPr>
            <w:tcW w:w="1110" w:type="dxa"/>
            <w:tcBorders>
              <w:top w:val="nil"/>
              <w:left w:val="nil"/>
              <w:bottom w:val="nil"/>
              <w:right w:val="single" w:sz="4" w:space="0" w:color="auto"/>
            </w:tcBorders>
            <w:shd w:val="clear" w:color="auto" w:fill="auto"/>
            <w:noWrap/>
            <w:vAlign w:val="bottom"/>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c>
          <w:tcPr>
            <w:tcW w:w="1134" w:type="dxa"/>
            <w:tcBorders>
              <w:top w:val="nil"/>
              <w:left w:val="nil"/>
              <w:bottom w:val="nil"/>
              <w:right w:val="single" w:sz="4" w:space="0" w:color="auto"/>
            </w:tcBorders>
            <w:shd w:val="clear" w:color="auto" w:fill="auto"/>
            <w:noWrap/>
            <w:vAlign w:val="bottom"/>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r>
      <w:tr w:rsidR="00225CF1" w:rsidRPr="00225CF1" w:rsidTr="00225CF1">
        <w:trPr>
          <w:trHeight w:val="79"/>
        </w:trPr>
        <w:tc>
          <w:tcPr>
            <w:tcW w:w="6403" w:type="dxa"/>
            <w:tcBorders>
              <w:top w:val="nil"/>
              <w:left w:val="single" w:sz="4" w:space="0" w:color="auto"/>
              <w:bottom w:val="nil"/>
              <w:right w:val="single" w:sz="4" w:space="0" w:color="auto"/>
            </w:tcBorders>
            <w:shd w:val="clear" w:color="auto" w:fill="auto"/>
            <w:noWrap/>
            <w:vAlign w:val="bottom"/>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c>
          <w:tcPr>
            <w:tcW w:w="1110" w:type="dxa"/>
            <w:tcBorders>
              <w:top w:val="nil"/>
              <w:left w:val="nil"/>
              <w:bottom w:val="nil"/>
              <w:right w:val="single" w:sz="4" w:space="0" w:color="auto"/>
            </w:tcBorders>
            <w:shd w:val="clear" w:color="auto" w:fill="auto"/>
            <w:noWrap/>
            <w:vAlign w:val="bottom"/>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c>
          <w:tcPr>
            <w:tcW w:w="1134" w:type="dxa"/>
            <w:tcBorders>
              <w:top w:val="nil"/>
              <w:left w:val="nil"/>
              <w:bottom w:val="nil"/>
              <w:right w:val="single" w:sz="4" w:space="0" w:color="auto"/>
            </w:tcBorders>
            <w:shd w:val="clear" w:color="auto" w:fill="auto"/>
            <w:noWrap/>
            <w:vAlign w:val="bottom"/>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r>
      <w:tr w:rsidR="00225CF1" w:rsidRPr="00225CF1" w:rsidTr="00225CF1">
        <w:trPr>
          <w:trHeight w:val="210"/>
        </w:trPr>
        <w:tc>
          <w:tcPr>
            <w:tcW w:w="6403" w:type="dxa"/>
            <w:tcBorders>
              <w:top w:val="nil"/>
              <w:left w:val="single" w:sz="4" w:space="0" w:color="auto"/>
              <w:bottom w:val="single" w:sz="4" w:space="0" w:color="auto"/>
              <w:right w:val="single" w:sz="4" w:space="0" w:color="auto"/>
            </w:tcBorders>
            <w:shd w:val="clear" w:color="000000" w:fill="CCFFCC"/>
            <w:noWrap/>
            <w:vAlign w:val="center"/>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xml:space="preserve">  A.1. RESULTADO DE EXPLOTACIÓN (1+3+5+6+7+8+9+10+11+12)</w:t>
            </w:r>
          </w:p>
        </w:tc>
        <w:tc>
          <w:tcPr>
            <w:tcW w:w="1110" w:type="dxa"/>
            <w:tcBorders>
              <w:top w:val="nil"/>
              <w:left w:val="nil"/>
              <w:bottom w:val="single" w:sz="4" w:space="0" w:color="auto"/>
              <w:right w:val="single" w:sz="4" w:space="0" w:color="auto"/>
            </w:tcBorders>
            <w:shd w:val="clear" w:color="000000" w:fill="CCFFCC"/>
            <w:noWrap/>
            <w:vAlign w:val="center"/>
            <w:hideMark/>
          </w:tcPr>
          <w:p w:rsidR="00225CF1" w:rsidRPr="00225CF1" w:rsidRDefault="00225CF1" w:rsidP="00225CF1">
            <w:pPr>
              <w:jc w:val="right"/>
              <w:rPr>
                <w:rFonts w:ascii="Lucida Bright" w:hAnsi="Lucida Bright" w:cs="Calibri"/>
                <w:b/>
                <w:bCs/>
                <w:sz w:val="14"/>
                <w:szCs w:val="14"/>
                <w:lang w:val="es-ES"/>
              </w:rPr>
            </w:pPr>
            <w:r w:rsidRPr="00225CF1">
              <w:rPr>
                <w:rFonts w:ascii="Lucida Bright" w:hAnsi="Lucida Bright" w:cs="Calibri"/>
                <w:b/>
                <w:bCs/>
                <w:sz w:val="14"/>
                <w:szCs w:val="14"/>
                <w:lang w:val="es-ES"/>
              </w:rPr>
              <w:t xml:space="preserve">-  </w:t>
            </w:r>
          </w:p>
        </w:tc>
        <w:tc>
          <w:tcPr>
            <w:tcW w:w="1134" w:type="dxa"/>
            <w:tcBorders>
              <w:top w:val="nil"/>
              <w:left w:val="nil"/>
              <w:bottom w:val="single" w:sz="4" w:space="0" w:color="auto"/>
              <w:right w:val="single" w:sz="4" w:space="0" w:color="auto"/>
            </w:tcBorders>
            <w:shd w:val="clear" w:color="000000" w:fill="CCFFCC"/>
            <w:noWrap/>
            <w:vAlign w:val="center"/>
            <w:hideMark/>
          </w:tcPr>
          <w:p w:rsidR="00225CF1" w:rsidRPr="00225CF1" w:rsidRDefault="00225CF1" w:rsidP="00225CF1">
            <w:pPr>
              <w:jc w:val="right"/>
              <w:rPr>
                <w:rFonts w:ascii="Lucida Bright" w:hAnsi="Lucida Bright" w:cs="Calibri"/>
                <w:b/>
                <w:bCs/>
                <w:sz w:val="14"/>
                <w:szCs w:val="14"/>
                <w:lang w:val="es-ES"/>
              </w:rPr>
            </w:pPr>
            <w:r w:rsidRPr="00225CF1">
              <w:rPr>
                <w:rFonts w:ascii="Lucida Bright" w:hAnsi="Lucida Bright" w:cs="Calibri"/>
                <w:b/>
                <w:bCs/>
                <w:sz w:val="14"/>
                <w:szCs w:val="14"/>
                <w:lang w:val="es-ES"/>
              </w:rPr>
              <w:t xml:space="preserve">(2.223.299,51)  </w:t>
            </w:r>
          </w:p>
        </w:tc>
      </w:tr>
      <w:tr w:rsidR="00225CF1" w:rsidRPr="00225CF1" w:rsidTr="00225CF1">
        <w:trPr>
          <w:trHeight w:val="210"/>
        </w:trPr>
        <w:tc>
          <w:tcPr>
            <w:tcW w:w="6403" w:type="dxa"/>
            <w:tcBorders>
              <w:top w:val="nil"/>
              <w:left w:val="single" w:sz="4" w:space="0" w:color="auto"/>
              <w:bottom w:val="nil"/>
              <w:right w:val="single" w:sz="4" w:space="0" w:color="auto"/>
            </w:tcBorders>
            <w:shd w:val="clear" w:color="000000" w:fill="CCFFCC"/>
            <w:noWrap/>
            <w:vAlign w:val="center"/>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c>
          <w:tcPr>
            <w:tcW w:w="1110" w:type="dxa"/>
            <w:tcBorders>
              <w:top w:val="nil"/>
              <w:left w:val="nil"/>
              <w:bottom w:val="nil"/>
              <w:right w:val="single" w:sz="4" w:space="0" w:color="auto"/>
            </w:tcBorders>
            <w:shd w:val="clear" w:color="000000" w:fill="CCFFCC"/>
            <w:noWrap/>
            <w:vAlign w:val="center"/>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c>
          <w:tcPr>
            <w:tcW w:w="1134" w:type="dxa"/>
            <w:tcBorders>
              <w:top w:val="nil"/>
              <w:left w:val="nil"/>
              <w:bottom w:val="nil"/>
              <w:right w:val="single" w:sz="4" w:space="0" w:color="auto"/>
            </w:tcBorders>
            <w:shd w:val="clear" w:color="000000" w:fill="CCFFCC"/>
            <w:noWrap/>
            <w:vAlign w:val="center"/>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r>
      <w:tr w:rsidR="00225CF1" w:rsidRPr="00225CF1" w:rsidTr="00225CF1">
        <w:trPr>
          <w:trHeight w:val="210"/>
        </w:trPr>
        <w:tc>
          <w:tcPr>
            <w:tcW w:w="6403" w:type="dxa"/>
            <w:tcBorders>
              <w:top w:val="nil"/>
              <w:left w:val="single" w:sz="4" w:space="0" w:color="auto"/>
              <w:bottom w:val="single" w:sz="4" w:space="0" w:color="auto"/>
              <w:right w:val="nil"/>
            </w:tcBorders>
            <w:shd w:val="clear" w:color="000000" w:fill="FFFFFF"/>
            <w:noWrap/>
            <w:hideMark/>
          </w:tcPr>
          <w:p w:rsidR="00225CF1" w:rsidRPr="00225CF1" w:rsidRDefault="00225CF1" w:rsidP="00225CF1">
            <w:pPr>
              <w:rPr>
                <w:rFonts w:ascii="Lucida Bright" w:hAnsi="Lucida Bright" w:cs="Calibri"/>
                <w:b/>
                <w:bCs/>
                <w:lang w:val="es-ES"/>
              </w:rPr>
            </w:pPr>
            <w:r w:rsidRPr="00225CF1">
              <w:rPr>
                <w:rFonts w:ascii="Lucida Bright" w:hAnsi="Lucida Bright" w:cs="Calibri"/>
                <w:b/>
                <w:bCs/>
                <w:lang w:val="es-ES"/>
              </w:rPr>
              <w:t> </w:t>
            </w:r>
          </w:p>
        </w:tc>
        <w:tc>
          <w:tcPr>
            <w:tcW w:w="1110" w:type="dxa"/>
            <w:tcBorders>
              <w:top w:val="nil"/>
              <w:left w:val="nil"/>
              <w:bottom w:val="single" w:sz="4" w:space="0" w:color="auto"/>
              <w:right w:val="nil"/>
            </w:tcBorders>
            <w:shd w:val="clear" w:color="000000" w:fill="FFFFFF"/>
            <w:noWrap/>
            <w:hideMark/>
          </w:tcPr>
          <w:p w:rsidR="00225CF1" w:rsidRPr="00225CF1" w:rsidRDefault="00225CF1" w:rsidP="00225CF1">
            <w:pPr>
              <w:rPr>
                <w:rFonts w:ascii="Lucida Bright" w:hAnsi="Lucida Bright" w:cs="Calibri"/>
                <w:b/>
                <w:bCs/>
                <w:lang w:val="es-ES"/>
              </w:rPr>
            </w:pPr>
            <w:r w:rsidRPr="00225CF1">
              <w:rPr>
                <w:rFonts w:ascii="Lucida Bright" w:hAnsi="Lucida Bright" w:cs="Calibri"/>
                <w:b/>
                <w:bCs/>
                <w:lang w:val="es-ES"/>
              </w:rPr>
              <w:t> </w:t>
            </w:r>
          </w:p>
        </w:tc>
        <w:tc>
          <w:tcPr>
            <w:tcW w:w="1134" w:type="dxa"/>
            <w:tcBorders>
              <w:top w:val="nil"/>
              <w:left w:val="nil"/>
              <w:bottom w:val="single" w:sz="4" w:space="0" w:color="auto"/>
              <w:right w:val="single" w:sz="4" w:space="0" w:color="auto"/>
            </w:tcBorders>
            <w:shd w:val="clear" w:color="000000" w:fill="FFFFFF"/>
            <w:noWrap/>
            <w:hideMark/>
          </w:tcPr>
          <w:p w:rsidR="00225CF1" w:rsidRPr="00225CF1" w:rsidRDefault="00225CF1" w:rsidP="00225CF1">
            <w:pPr>
              <w:rPr>
                <w:rFonts w:ascii="Lucida Bright" w:hAnsi="Lucida Bright" w:cs="Calibri"/>
                <w:b/>
                <w:bCs/>
                <w:lang w:val="es-ES"/>
              </w:rPr>
            </w:pPr>
            <w:r w:rsidRPr="00225CF1">
              <w:rPr>
                <w:rFonts w:ascii="Lucida Bright" w:hAnsi="Lucida Bright" w:cs="Calibri"/>
                <w:b/>
                <w:bCs/>
                <w:lang w:val="es-ES"/>
              </w:rPr>
              <w:t> </w:t>
            </w:r>
          </w:p>
        </w:tc>
      </w:tr>
      <w:tr w:rsidR="00225CF1" w:rsidRPr="00225CF1" w:rsidTr="00225CF1">
        <w:trPr>
          <w:trHeight w:val="210"/>
        </w:trPr>
        <w:tc>
          <w:tcPr>
            <w:tcW w:w="6403" w:type="dxa"/>
            <w:tcBorders>
              <w:top w:val="nil"/>
              <w:left w:val="single" w:sz="4" w:space="0" w:color="auto"/>
              <w:bottom w:val="nil"/>
              <w:right w:val="single" w:sz="4" w:space="0" w:color="auto"/>
            </w:tcBorders>
            <w:shd w:val="clear" w:color="000000" w:fill="CCFFCC"/>
            <w:noWrap/>
            <w:vAlign w:val="bottom"/>
            <w:hideMark/>
          </w:tcPr>
          <w:p w:rsidR="00225CF1" w:rsidRPr="00225CF1" w:rsidRDefault="00225CF1" w:rsidP="00225CF1">
            <w:pPr>
              <w:jc w:val="center"/>
              <w:rPr>
                <w:rFonts w:ascii="Lucida Bright" w:hAnsi="Lucida Bright" w:cs="Calibri"/>
                <w:b/>
                <w:bCs/>
                <w:sz w:val="18"/>
                <w:szCs w:val="18"/>
                <w:lang w:val="es-ES"/>
              </w:rPr>
            </w:pPr>
            <w:r w:rsidRPr="00225CF1">
              <w:rPr>
                <w:rFonts w:ascii="Lucida Bright" w:hAnsi="Lucida Bright" w:cs="Calibri"/>
                <w:b/>
                <w:bCs/>
                <w:sz w:val="18"/>
                <w:szCs w:val="18"/>
                <w:lang w:val="es-ES"/>
              </w:rPr>
              <w:t> </w:t>
            </w:r>
          </w:p>
        </w:tc>
        <w:tc>
          <w:tcPr>
            <w:tcW w:w="2244"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225CF1" w:rsidRPr="00225CF1" w:rsidRDefault="00225CF1" w:rsidP="00225CF1">
            <w:pPr>
              <w:jc w:val="center"/>
              <w:rPr>
                <w:rFonts w:ascii="Lucida Bright" w:hAnsi="Lucida Bright" w:cs="Calibri"/>
                <w:b/>
                <w:bCs/>
                <w:sz w:val="18"/>
                <w:szCs w:val="18"/>
                <w:lang w:val="es-ES"/>
              </w:rPr>
            </w:pPr>
            <w:r w:rsidRPr="00225CF1">
              <w:rPr>
                <w:rFonts w:ascii="Lucida Bright" w:hAnsi="Lucida Bright" w:cs="Calibri"/>
                <w:b/>
                <w:bCs/>
                <w:sz w:val="18"/>
                <w:szCs w:val="18"/>
                <w:lang w:val="es-ES"/>
              </w:rPr>
              <w:t>(Debe) Haber</w:t>
            </w:r>
          </w:p>
        </w:tc>
      </w:tr>
      <w:tr w:rsidR="00225CF1" w:rsidRPr="00225CF1" w:rsidTr="00225CF1">
        <w:trPr>
          <w:trHeight w:val="210"/>
        </w:trPr>
        <w:tc>
          <w:tcPr>
            <w:tcW w:w="6403" w:type="dxa"/>
            <w:tcBorders>
              <w:top w:val="nil"/>
              <w:left w:val="single" w:sz="4" w:space="0" w:color="auto"/>
              <w:bottom w:val="single" w:sz="4" w:space="0" w:color="auto"/>
              <w:right w:val="single" w:sz="4" w:space="0" w:color="auto"/>
            </w:tcBorders>
            <w:shd w:val="clear" w:color="000000" w:fill="CCFFCC"/>
            <w:noWrap/>
            <w:vAlign w:val="center"/>
            <w:hideMark/>
          </w:tcPr>
          <w:p w:rsidR="00225CF1" w:rsidRPr="00225CF1" w:rsidRDefault="00225CF1" w:rsidP="00225CF1">
            <w:pPr>
              <w:jc w:val="center"/>
              <w:rPr>
                <w:rFonts w:ascii="Lucida Bright" w:hAnsi="Lucida Bright" w:cs="Calibri"/>
                <w:b/>
                <w:bCs/>
                <w:sz w:val="18"/>
                <w:szCs w:val="18"/>
                <w:lang w:val="es-ES"/>
              </w:rPr>
            </w:pPr>
            <w:r w:rsidRPr="00225CF1">
              <w:rPr>
                <w:rFonts w:ascii="Lucida Bright" w:hAnsi="Lucida Bright" w:cs="Calibri"/>
                <w:b/>
                <w:bCs/>
                <w:sz w:val="18"/>
                <w:szCs w:val="18"/>
                <w:lang w:val="es-ES"/>
              </w:rPr>
              <w:t> </w:t>
            </w:r>
          </w:p>
        </w:tc>
        <w:tc>
          <w:tcPr>
            <w:tcW w:w="1110" w:type="dxa"/>
            <w:tcBorders>
              <w:top w:val="nil"/>
              <w:left w:val="nil"/>
              <w:bottom w:val="single" w:sz="4" w:space="0" w:color="auto"/>
              <w:right w:val="single" w:sz="4" w:space="0" w:color="auto"/>
            </w:tcBorders>
            <w:shd w:val="clear" w:color="000000" w:fill="CCFFCC"/>
            <w:noWrap/>
            <w:vAlign w:val="center"/>
            <w:hideMark/>
          </w:tcPr>
          <w:p w:rsidR="00225CF1" w:rsidRPr="00225CF1" w:rsidRDefault="00225CF1" w:rsidP="00225CF1">
            <w:pPr>
              <w:jc w:val="center"/>
              <w:rPr>
                <w:rFonts w:ascii="Lucida Bright" w:hAnsi="Lucida Bright" w:cs="Calibri"/>
                <w:b/>
                <w:bCs/>
                <w:sz w:val="18"/>
                <w:szCs w:val="18"/>
                <w:lang w:val="es-ES"/>
              </w:rPr>
            </w:pPr>
            <w:r w:rsidRPr="00225CF1">
              <w:rPr>
                <w:rFonts w:ascii="Lucida Bright" w:hAnsi="Lucida Bright" w:cs="Calibri"/>
                <w:b/>
                <w:bCs/>
                <w:sz w:val="18"/>
                <w:szCs w:val="18"/>
                <w:lang w:val="es-ES"/>
              </w:rPr>
              <w:t>2024</w:t>
            </w:r>
          </w:p>
        </w:tc>
        <w:tc>
          <w:tcPr>
            <w:tcW w:w="1134" w:type="dxa"/>
            <w:tcBorders>
              <w:top w:val="nil"/>
              <w:left w:val="nil"/>
              <w:bottom w:val="single" w:sz="4" w:space="0" w:color="auto"/>
              <w:right w:val="single" w:sz="4" w:space="0" w:color="auto"/>
            </w:tcBorders>
            <w:shd w:val="clear" w:color="000000" w:fill="CCFFCC"/>
            <w:noWrap/>
            <w:vAlign w:val="center"/>
            <w:hideMark/>
          </w:tcPr>
          <w:p w:rsidR="00225CF1" w:rsidRPr="00225CF1" w:rsidRDefault="00225CF1" w:rsidP="00225CF1">
            <w:pPr>
              <w:jc w:val="center"/>
              <w:rPr>
                <w:rFonts w:ascii="Lucida Bright" w:hAnsi="Lucida Bright" w:cs="Calibri"/>
                <w:b/>
                <w:bCs/>
                <w:sz w:val="18"/>
                <w:szCs w:val="18"/>
                <w:lang w:val="es-ES"/>
              </w:rPr>
            </w:pPr>
            <w:r w:rsidRPr="00225CF1">
              <w:rPr>
                <w:rFonts w:ascii="Lucida Bright" w:hAnsi="Lucida Bright" w:cs="Calibri"/>
                <w:b/>
                <w:bCs/>
                <w:sz w:val="18"/>
                <w:szCs w:val="18"/>
                <w:lang w:val="es-ES"/>
              </w:rPr>
              <w:t>2023</w:t>
            </w:r>
          </w:p>
        </w:tc>
      </w:tr>
      <w:tr w:rsidR="00225CF1" w:rsidRPr="00225CF1" w:rsidTr="00225CF1">
        <w:trPr>
          <w:trHeight w:val="210"/>
        </w:trPr>
        <w:tc>
          <w:tcPr>
            <w:tcW w:w="6403" w:type="dxa"/>
            <w:tcBorders>
              <w:top w:val="nil"/>
              <w:left w:val="single" w:sz="4" w:space="0" w:color="auto"/>
              <w:bottom w:val="nil"/>
              <w:right w:val="single" w:sz="4" w:space="0" w:color="auto"/>
            </w:tcBorders>
            <w:shd w:val="clear" w:color="auto" w:fill="auto"/>
            <w:noWrap/>
            <w:vAlign w:val="center"/>
            <w:hideMark/>
          </w:tcPr>
          <w:p w:rsidR="00225CF1" w:rsidRPr="00225CF1" w:rsidRDefault="00225CF1" w:rsidP="00225CF1">
            <w:pPr>
              <w:rPr>
                <w:rFonts w:ascii="Lucida Bright" w:hAnsi="Lucida Bright" w:cs="Calibri"/>
                <w:sz w:val="14"/>
                <w:szCs w:val="14"/>
                <w:lang w:val="es-ES"/>
              </w:rPr>
            </w:pPr>
            <w:r w:rsidRPr="00225CF1">
              <w:rPr>
                <w:rFonts w:ascii="Lucida Bright" w:hAnsi="Lucida Bright" w:cs="Calibri"/>
                <w:sz w:val="14"/>
                <w:szCs w:val="14"/>
                <w:lang w:val="es-ES"/>
              </w:rPr>
              <w:t> </w:t>
            </w:r>
          </w:p>
        </w:tc>
        <w:tc>
          <w:tcPr>
            <w:tcW w:w="1110" w:type="dxa"/>
            <w:tcBorders>
              <w:top w:val="nil"/>
              <w:left w:val="nil"/>
              <w:bottom w:val="nil"/>
              <w:right w:val="single" w:sz="4" w:space="0" w:color="auto"/>
            </w:tcBorders>
            <w:shd w:val="clear" w:color="auto" w:fill="auto"/>
            <w:noWrap/>
            <w:vAlign w:val="center"/>
            <w:hideMark/>
          </w:tcPr>
          <w:p w:rsidR="00225CF1" w:rsidRPr="00225CF1" w:rsidRDefault="00225CF1" w:rsidP="00225CF1">
            <w:pPr>
              <w:rPr>
                <w:rFonts w:ascii="Lucida Bright" w:hAnsi="Lucida Bright" w:cs="Calibri"/>
                <w:sz w:val="14"/>
                <w:szCs w:val="14"/>
                <w:lang w:val="es-ES"/>
              </w:rPr>
            </w:pPr>
            <w:r w:rsidRPr="00225CF1">
              <w:rPr>
                <w:rFonts w:ascii="Lucida Bright" w:hAnsi="Lucida Bright" w:cs="Calibri"/>
                <w:sz w:val="14"/>
                <w:szCs w:val="14"/>
                <w:lang w:val="es-ES"/>
              </w:rPr>
              <w:t> </w:t>
            </w:r>
          </w:p>
        </w:tc>
        <w:tc>
          <w:tcPr>
            <w:tcW w:w="1134" w:type="dxa"/>
            <w:tcBorders>
              <w:top w:val="nil"/>
              <w:left w:val="nil"/>
              <w:bottom w:val="nil"/>
              <w:right w:val="single" w:sz="4" w:space="0" w:color="auto"/>
            </w:tcBorders>
            <w:shd w:val="clear" w:color="auto" w:fill="auto"/>
            <w:noWrap/>
            <w:vAlign w:val="center"/>
            <w:hideMark/>
          </w:tcPr>
          <w:p w:rsidR="00225CF1" w:rsidRPr="00225CF1" w:rsidRDefault="00225CF1" w:rsidP="00225CF1">
            <w:pPr>
              <w:rPr>
                <w:rFonts w:ascii="Lucida Bright" w:hAnsi="Lucida Bright" w:cs="Calibri"/>
                <w:sz w:val="14"/>
                <w:szCs w:val="14"/>
                <w:lang w:val="es-ES"/>
              </w:rPr>
            </w:pPr>
            <w:r w:rsidRPr="00225CF1">
              <w:rPr>
                <w:rFonts w:ascii="Lucida Bright" w:hAnsi="Lucida Bright" w:cs="Calibri"/>
                <w:sz w:val="14"/>
                <w:szCs w:val="14"/>
                <w:lang w:val="es-ES"/>
              </w:rPr>
              <w:t> </w:t>
            </w:r>
          </w:p>
        </w:tc>
      </w:tr>
      <w:tr w:rsidR="00225CF1" w:rsidRPr="00225CF1" w:rsidTr="00225CF1">
        <w:trPr>
          <w:trHeight w:val="210"/>
        </w:trPr>
        <w:tc>
          <w:tcPr>
            <w:tcW w:w="6403" w:type="dxa"/>
            <w:tcBorders>
              <w:top w:val="nil"/>
              <w:left w:val="single" w:sz="4" w:space="0" w:color="auto"/>
              <w:bottom w:val="nil"/>
              <w:right w:val="single" w:sz="4" w:space="0" w:color="auto"/>
            </w:tcBorders>
            <w:shd w:val="clear" w:color="000000" w:fill="CCFFCC"/>
            <w:noWrap/>
            <w:vAlign w:val="center"/>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xml:space="preserve">  A.3. RESULTADO ANTES DE IMPUESTOS (A.1+A.2)</w:t>
            </w:r>
          </w:p>
        </w:tc>
        <w:tc>
          <w:tcPr>
            <w:tcW w:w="1110" w:type="dxa"/>
            <w:tcBorders>
              <w:top w:val="nil"/>
              <w:left w:val="nil"/>
              <w:bottom w:val="nil"/>
              <w:right w:val="single" w:sz="4" w:space="0" w:color="auto"/>
            </w:tcBorders>
            <w:shd w:val="clear" w:color="000000" w:fill="CCFFCC"/>
            <w:noWrap/>
            <w:vAlign w:val="center"/>
            <w:hideMark/>
          </w:tcPr>
          <w:p w:rsidR="00225CF1" w:rsidRPr="00225CF1" w:rsidRDefault="00225CF1" w:rsidP="00225CF1">
            <w:pPr>
              <w:jc w:val="right"/>
              <w:rPr>
                <w:rFonts w:ascii="Lucida Bright" w:hAnsi="Lucida Bright" w:cs="Calibri"/>
                <w:b/>
                <w:bCs/>
                <w:sz w:val="14"/>
                <w:szCs w:val="14"/>
                <w:lang w:val="es-ES"/>
              </w:rPr>
            </w:pPr>
            <w:r w:rsidRPr="00225CF1">
              <w:rPr>
                <w:rFonts w:ascii="Lucida Bright" w:hAnsi="Lucida Bright" w:cs="Calibri"/>
                <w:b/>
                <w:bCs/>
                <w:sz w:val="14"/>
                <w:szCs w:val="14"/>
                <w:lang w:val="es-ES"/>
              </w:rPr>
              <w:t xml:space="preserve">-  </w:t>
            </w:r>
          </w:p>
        </w:tc>
        <w:tc>
          <w:tcPr>
            <w:tcW w:w="1134" w:type="dxa"/>
            <w:tcBorders>
              <w:top w:val="nil"/>
              <w:left w:val="nil"/>
              <w:bottom w:val="nil"/>
              <w:right w:val="single" w:sz="4" w:space="0" w:color="auto"/>
            </w:tcBorders>
            <w:shd w:val="clear" w:color="000000" w:fill="CCFFCC"/>
            <w:noWrap/>
            <w:vAlign w:val="center"/>
            <w:hideMark/>
          </w:tcPr>
          <w:p w:rsidR="00225CF1" w:rsidRPr="00225CF1" w:rsidRDefault="00225CF1" w:rsidP="00225CF1">
            <w:pPr>
              <w:jc w:val="right"/>
              <w:rPr>
                <w:rFonts w:ascii="Lucida Bright" w:hAnsi="Lucida Bright" w:cs="Calibri"/>
                <w:b/>
                <w:bCs/>
                <w:sz w:val="14"/>
                <w:szCs w:val="14"/>
                <w:lang w:val="es-ES"/>
              </w:rPr>
            </w:pPr>
            <w:r w:rsidRPr="00225CF1">
              <w:rPr>
                <w:rFonts w:ascii="Lucida Bright" w:hAnsi="Lucida Bright" w:cs="Calibri"/>
                <w:b/>
                <w:bCs/>
                <w:sz w:val="14"/>
                <w:szCs w:val="14"/>
                <w:lang w:val="es-ES"/>
              </w:rPr>
              <w:t xml:space="preserve">(2.223.299,51)  </w:t>
            </w:r>
          </w:p>
        </w:tc>
      </w:tr>
      <w:tr w:rsidR="00225CF1" w:rsidRPr="00225CF1" w:rsidTr="00225CF1">
        <w:trPr>
          <w:trHeight w:val="210"/>
        </w:trPr>
        <w:tc>
          <w:tcPr>
            <w:tcW w:w="6403" w:type="dxa"/>
            <w:tcBorders>
              <w:top w:val="nil"/>
              <w:left w:val="single" w:sz="4" w:space="0" w:color="auto"/>
              <w:bottom w:val="nil"/>
              <w:right w:val="single" w:sz="4" w:space="0" w:color="auto"/>
            </w:tcBorders>
            <w:shd w:val="clear" w:color="auto" w:fill="auto"/>
            <w:noWrap/>
            <w:vAlign w:val="center"/>
            <w:hideMark/>
          </w:tcPr>
          <w:p w:rsidR="00225CF1" w:rsidRPr="00225CF1" w:rsidRDefault="00225CF1" w:rsidP="00225CF1">
            <w:pPr>
              <w:rPr>
                <w:rFonts w:ascii="Lucida Bright" w:hAnsi="Lucida Bright" w:cs="Calibri"/>
                <w:sz w:val="14"/>
                <w:szCs w:val="14"/>
                <w:lang w:val="es-ES"/>
              </w:rPr>
            </w:pPr>
            <w:r w:rsidRPr="00225CF1">
              <w:rPr>
                <w:rFonts w:ascii="Lucida Bright" w:hAnsi="Lucida Bright" w:cs="Calibri"/>
                <w:sz w:val="14"/>
                <w:szCs w:val="14"/>
                <w:lang w:val="es-ES"/>
              </w:rPr>
              <w:t> </w:t>
            </w:r>
          </w:p>
        </w:tc>
        <w:tc>
          <w:tcPr>
            <w:tcW w:w="1110" w:type="dxa"/>
            <w:tcBorders>
              <w:top w:val="nil"/>
              <w:left w:val="nil"/>
              <w:bottom w:val="nil"/>
              <w:right w:val="single" w:sz="4" w:space="0" w:color="auto"/>
            </w:tcBorders>
            <w:shd w:val="clear" w:color="auto" w:fill="auto"/>
            <w:noWrap/>
            <w:vAlign w:val="center"/>
            <w:hideMark/>
          </w:tcPr>
          <w:p w:rsidR="00225CF1" w:rsidRPr="00225CF1" w:rsidRDefault="00225CF1" w:rsidP="00225CF1">
            <w:pPr>
              <w:rPr>
                <w:rFonts w:ascii="Lucida Bright" w:hAnsi="Lucida Bright" w:cs="Calibri"/>
                <w:sz w:val="14"/>
                <w:szCs w:val="14"/>
                <w:lang w:val="es-ES"/>
              </w:rPr>
            </w:pPr>
            <w:r w:rsidRPr="00225CF1">
              <w:rPr>
                <w:rFonts w:ascii="Lucida Bright" w:hAnsi="Lucida Bright" w:cs="Calibri"/>
                <w:sz w:val="14"/>
                <w:szCs w:val="14"/>
                <w:lang w:val="es-ES"/>
              </w:rPr>
              <w:t> </w:t>
            </w:r>
          </w:p>
        </w:tc>
        <w:tc>
          <w:tcPr>
            <w:tcW w:w="1134" w:type="dxa"/>
            <w:tcBorders>
              <w:top w:val="nil"/>
              <w:left w:val="nil"/>
              <w:bottom w:val="nil"/>
              <w:right w:val="single" w:sz="4" w:space="0" w:color="auto"/>
            </w:tcBorders>
            <w:shd w:val="clear" w:color="auto" w:fill="auto"/>
            <w:noWrap/>
            <w:vAlign w:val="center"/>
            <w:hideMark/>
          </w:tcPr>
          <w:p w:rsidR="00225CF1" w:rsidRPr="00225CF1" w:rsidRDefault="00225CF1" w:rsidP="00225CF1">
            <w:pPr>
              <w:rPr>
                <w:rFonts w:ascii="Lucida Bright" w:hAnsi="Lucida Bright" w:cs="Calibri"/>
                <w:sz w:val="14"/>
                <w:szCs w:val="14"/>
                <w:lang w:val="es-ES"/>
              </w:rPr>
            </w:pPr>
            <w:r w:rsidRPr="00225CF1">
              <w:rPr>
                <w:rFonts w:ascii="Lucida Bright" w:hAnsi="Lucida Bright" w:cs="Calibri"/>
                <w:sz w:val="14"/>
                <w:szCs w:val="14"/>
                <w:lang w:val="es-ES"/>
              </w:rPr>
              <w:t> </w:t>
            </w:r>
          </w:p>
        </w:tc>
      </w:tr>
      <w:tr w:rsidR="00225CF1" w:rsidRPr="00225CF1" w:rsidTr="00225CF1">
        <w:trPr>
          <w:trHeight w:val="210"/>
        </w:trPr>
        <w:tc>
          <w:tcPr>
            <w:tcW w:w="640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xml:space="preserve">  A.4. RESULTADO DEL EJERCICIO (A.3+17)</w:t>
            </w:r>
          </w:p>
        </w:tc>
        <w:tc>
          <w:tcPr>
            <w:tcW w:w="1110" w:type="dxa"/>
            <w:tcBorders>
              <w:top w:val="single" w:sz="4" w:space="0" w:color="auto"/>
              <w:left w:val="nil"/>
              <w:bottom w:val="single" w:sz="4" w:space="0" w:color="auto"/>
              <w:right w:val="single" w:sz="4" w:space="0" w:color="auto"/>
            </w:tcBorders>
            <w:shd w:val="clear" w:color="000000" w:fill="CCFFCC"/>
            <w:noWrap/>
            <w:vAlign w:val="center"/>
            <w:hideMark/>
          </w:tcPr>
          <w:p w:rsidR="00225CF1" w:rsidRPr="00225CF1" w:rsidRDefault="00225CF1" w:rsidP="00225CF1">
            <w:pPr>
              <w:jc w:val="right"/>
              <w:rPr>
                <w:rFonts w:ascii="Lucida Bright" w:hAnsi="Lucida Bright" w:cs="Calibri"/>
                <w:b/>
                <w:bCs/>
                <w:sz w:val="14"/>
                <w:szCs w:val="14"/>
                <w:lang w:val="es-ES"/>
              </w:rPr>
            </w:pPr>
            <w:r w:rsidRPr="00225CF1">
              <w:rPr>
                <w:rFonts w:ascii="Lucida Bright" w:hAnsi="Lucida Bright" w:cs="Calibri"/>
                <w:b/>
                <w:bCs/>
                <w:sz w:val="14"/>
                <w:szCs w:val="14"/>
                <w:lang w:val="es-ES"/>
              </w:rPr>
              <w:t xml:space="preserve">-  </w:t>
            </w:r>
          </w:p>
        </w:tc>
        <w:tc>
          <w:tcPr>
            <w:tcW w:w="1134" w:type="dxa"/>
            <w:tcBorders>
              <w:top w:val="single" w:sz="4" w:space="0" w:color="auto"/>
              <w:left w:val="nil"/>
              <w:bottom w:val="single" w:sz="4" w:space="0" w:color="auto"/>
              <w:right w:val="single" w:sz="4" w:space="0" w:color="auto"/>
            </w:tcBorders>
            <w:shd w:val="clear" w:color="000000" w:fill="CCFFCC"/>
            <w:noWrap/>
            <w:vAlign w:val="center"/>
            <w:hideMark/>
          </w:tcPr>
          <w:p w:rsidR="00225CF1" w:rsidRPr="00225CF1" w:rsidRDefault="00225CF1" w:rsidP="00225CF1">
            <w:pPr>
              <w:jc w:val="right"/>
              <w:rPr>
                <w:rFonts w:ascii="Lucida Bright" w:hAnsi="Lucida Bright" w:cs="Calibri"/>
                <w:b/>
                <w:bCs/>
                <w:sz w:val="14"/>
                <w:szCs w:val="14"/>
                <w:lang w:val="es-ES"/>
              </w:rPr>
            </w:pPr>
            <w:r w:rsidRPr="00225CF1">
              <w:rPr>
                <w:rFonts w:ascii="Lucida Bright" w:hAnsi="Lucida Bright" w:cs="Calibri"/>
                <w:b/>
                <w:bCs/>
                <w:sz w:val="14"/>
                <w:szCs w:val="14"/>
                <w:lang w:val="es-ES"/>
              </w:rPr>
              <w:t xml:space="preserve">(2.223.299,51)  </w:t>
            </w:r>
          </w:p>
        </w:tc>
      </w:tr>
    </w:tbl>
    <w:p w:rsidR="00225CF1" w:rsidRDefault="00225CF1" w:rsidP="00F333F2">
      <w:pPr>
        <w:pStyle w:val="Prrafodelista"/>
        <w:spacing w:before="100" w:after="100"/>
        <w:ind w:left="646"/>
        <w:jc w:val="both"/>
        <w:rPr>
          <w:rFonts w:ascii="NewBaskerville" w:hAnsi="NewBaskerville"/>
        </w:rPr>
      </w:pPr>
    </w:p>
    <w:p w:rsidR="00225CF1" w:rsidRDefault="00225CF1" w:rsidP="00F333F2">
      <w:pPr>
        <w:pStyle w:val="Prrafodelista"/>
        <w:spacing w:before="100" w:after="100"/>
        <w:ind w:left="646"/>
        <w:jc w:val="both"/>
        <w:rPr>
          <w:rFonts w:ascii="NewBaskerville" w:hAnsi="NewBaskerville"/>
        </w:rPr>
      </w:pPr>
    </w:p>
    <w:p w:rsidR="00225CF1" w:rsidRDefault="00225CF1" w:rsidP="00F333F2">
      <w:pPr>
        <w:pStyle w:val="Prrafodelista"/>
        <w:spacing w:before="100" w:after="100"/>
        <w:ind w:left="646"/>
        <w:jc w:val="both"/>
        <w:rPr>
          <w:rFonts w:ascii="NewBaskerville" w:hAnsi="NewBaskerville"/>
        </w:rPr>
      </w:pPr>
    </w:p>
    <w:tbl>
      <w:tblPr>
        <w:tblW w:w="8647" w:type="dxa"/>
        <w:tblInd w:w="70" w:type="dxa"/>
        <w:tblCellMar>
          <w:left w:w="70" w:type="dxa"/>
          <w:right w:w="70" w:type="dxa"/>
        </w:tblCellMar>
        <w:tblLook w:val="04A0" w:firstRow="1" w:lastRow="0" w:firstColumn="1" w:lastColumn="0" w:noHBand="0" w:noVBand="1"/>
      </w:tblPr>
      <w:tblGrid>
        <w:gridCol w:w="6379"/>
        <w:gridCol w:w="1134"/>
        <w:gridCol w:w="1134"/>
      </w:tblGrid>
      <w:tr w:rsidR="00225CF1" w:rsidRPr="00225CF1" w:rsidTr="00225CF1">
        <w:trPr>
          <w:trHeight w:val="255"/>
        </w:trPr>
        <w:tc>
          <w:tcPr>
            <w:tcW w:w="8647" w:type="dxa"/>
            <w:gridSpan w:val="3"/>
            <w:tcBorders>
              <w:top w:val="nil"/>
              <w:left w:val="nil"/>
              <w:bottom w:val="nil"/>
              <w:right w:val="nil"/>
            </w:tcBorders>
            <w:shd w:val="clear" w:color="000000" w:fill="FFFFFF"/>
            <w:noWrap/>
            <w:vAlign w:val="center"/>
            <w:hideMark/>
          </w:tcPr>
          <w:p w:rsidR="00225CF1" w:rsidRPr="00225CF1" w:rsidRDefault="00225CF1" w:rsidP="00225CF1">
            <w:pPr>
              <w:rPr>
                <w:rFonts w:ascii="Lucida Bright" w:hAnsi="Lucida Bright" w:cs="Calibri"/>
                <w:b/>
                <w:bCs/>
                <w:lang w:val="es-ES"/>
              </w:rPr>
            </w:pPr>
            <w:r w:rsidRPr="00225CF1">
              <w:rPr>
                <w:rFonts w:ascii="Lucida Bright" w:hAnsi="Lucida Bright" w:cs="Calibri"/>
                <w:b/>
                <w:bCs/>
                <w:lang w:val="es-ES"/>
              </w:rPr>
              <w:t>Estado de flujos de efectivo correspondiente al ejercicio terminado el 31-12-24</w:t>
            </w:r>
          </w:p>
        </w:tc>
      </w:tr>
      <w:tr w:rsidR="00225CF1" w:rsidRPr="00225CF1" w:rsidTr="00225CF1">
        <w:trPr>
          <w:trHeight w:val="180"/>
        </w:trPr>
        <w:tc>
          <w:tcPr>
            <w:tcW w:w="6379" w:type="dxa"/>
            <w:tcBorders>
              <w:top w:val="nil"/>
              <w:left w:val="nil"/>
              <w:bottom w:val="nil"/>
              <w:right w:val="nil"/>
            </w:tcBorders>
            <w:shd w:val="clear" w:color="000000" w:fill="FFFFFF"/>
            <w:noWrap/>
            <w:vAlign w:val="center"/>
            <w:hideMark/>
          </w:tcPr>
          <w:p w:rsidR="00225CF1" w:rsidRPr="00225CF1" w:rsidRDefault="00225CF1" w:rsidP="00225CF1">
            <w:pPr>
              <w:rPr>
                <w:rFonts w:ascii="Lucida Bright" w:hAnsi="Lucida Bright" w:cs="Calibri"/>
                <w:sz w:val="14"/>
                <w:szCs w:val="14"/>
                <w:lang w:val="es-ES"/>
              </w:rPr>
            </w:pPr>
            <w:r w:rsidRPr="00225CF1">
              <w:rPr>
                <w:rFonts w:ascii="Lucida Bright" w:hAnsi="Lucida Bright" w:cs="Calibri"/>
                <w:sz w:val="14"/>
                <w:szCs w:val="14"/>
                <w:lang w:val="es-ES"/>
              </w:rPr>
              <w:t>(en euros)</w:t>
            </w:r>
          </w:p>
        </w:tc>
        <w:tc>
          <w:tcPr>
            <w:tcW w:w="1134" w:type="dxa"/>
            <w:tcBorders>
              <w:top w:val="nil"/>
              <w:left w:val="nil"/>
              <w:bottom w:val="nil"/>
              <w:right w:val="nil"/>
            </w:tcBorders>
            <w:shd w:val="clear" w:color="000000" w:fill="FFFFFF"/>
            <w:noWrap/>
            <w:vAlign w:val="center"/>
            <w:hideMark/>
          </w:tcPr>
          <w:p w:rsidR="00225CF1" w:rsidRPr="00225CF1" w:rsidRDefault="00225CF1" w:rsidP="00225CF1">
            <w:pPr>
              <w:rPr>
                <w:rFonts w:ascii="Lucida Bright" w:hAnsi="Lucida Bright" w:cs="Calibri"/>
                <w:sz w:val="14"/>
                <w:szCs w:val="14"/>
                <w:lang w:val="es-ES"/>
              </w:rPr>
            </w:pPr>
            <w:r w:rsidRPr="00225CF1">
              <w:rPr>
                <w:rFonts w:ascii="Lucida Bright" w:hAnsi="Lucida Bright" w:cs="Calibri"/>
                <w:sz w:val="14"/>
                <w:szCs w:val="14"/>
                <w:lang w:val="es-ES"/>
              </w:rPr>
              <w:t> </w:t>
            </w:r>
          </w:p>
        </w:tc>
        <w:tc>
          <w:tcPr>
            <w:tcW w:w="1134" w:type="dxa"/>
            <w:tcBorders>
              <w:top w:val="nil"/>
              <w:left w:val="nil"/>
              <w:bottom w:val="nil"/>
              <w:right w:val="nil"/>
            </w:tcBorders>
            <w:shd w:val="clear" w:color="000000" w:fill="FFFFFF"/>
            <w:noWrap/>
            <w:vAlign w:val="center"/>
            <w:hideMark/>
          </w:tcPr>
          <w:p w:rsidR="00225CF1" w:rsidRPr="00225CF1" w:rsidRDefault="00225CF1" w:rsidP="00225CF1">
            <w:pPr>
              <w:rPr>
                <w:rFonts w:ascii="Lucida Bright" w:hAnsi="Lucida Bright" w:cs="Calibri"/>
                <w:sz w:val="14"/>
                <w:szCs w:val="14"/>
                <w:lang w:val="es-ES"/>
              </w:rPr>
            </w:pPr>
            <w:r w:rsidRPr="00225CF1">
              <w:rPr>
                <w:rFonts w:ascii="Lucida Bright" w:hAnsi="Lucida Bright" w:cs="Calibri"/>
                <w:sz w:val="14"/>
                <w:szCs w:val="14"/>
                <w:lang w:val="es-ES"/>
              </w:rPr>
              <w:t> </w:t>
            </w:r>
          </w:p>
        </w:tc>
      </w:tr>
      <w:tr w:rsidR="00225CF1" w:rsidRPr="00225CF1" w:rsidTr="00225CF1">
        <w:trPr>
          <w:trHeight w:val="180"/>
        </w:trPr>
        <w:tc>
          <w:tcPr>
            <w:tcW w:w="6379" w:type="dxa"/>
            <w:tcBorders>
              <w:top w:val="single" w:sz="4" w:space="0" w:color="auto"/>
              <w:left w:val="single" w:sz="4" w:space="0" w:color="auto"/>
              <w:bottom w:val="single" w:sz="4" w:space="0" w:color="auto"/>
              <w:right w:val="nil"/>
            </w:tcBorders>
            <w:shd w:val="clear" w:color="000000" w:fill="CCFFCC"/>
            <w:noWrap/>
            <w:vAlign w:val="center"/>
            <w:hideMark/>
          </w:tcPr>
          <w:p w:rsidR="00225CF1" w:rsidRPr="00225CF1" w:rsidRDefault="00225CF1" w:rsidP="00225CF1">
            <w:pPr>
              <w:jc w:val="center"/>
              <w:rPr>
                <w:rFonts w:ascii="Lucida Bright" w:hAnsi="Lucida Bright" w:cs="Calibri"/>
                <w:b/>
                <w:bCs/>
                <w:sz w:val="14"/>
                <w:szCs w:val="14"/>
                <w:lang w:val="es-ES"/>
              </w:rPr>
            </w:pPr>
            <w:r w:rsidRPr="00225CF1">
              <w:rPr>
                <w:rFonts w:ascii="Lucida Bright" w:hAnsi="Lucida Bright" w:cs="Calibri"/>
                <w:b/>
                <w:bCs/>
                <w:sz w:val="14"/>
                <w:szCs w:val="14"/>
                <w:lang w:val="es-ES"/>
              </w:rPr>
              <w:t>CONCEPTO</w:t>
            </w:r>
          </w:p>
        </w:tc>
        <w:tc>
          <w:tcPr>
            <w:tcW w:w="1134"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225CF1" w:rsidRPr="00225CF1" w:rsidRDefault="00225CF1" w:rsidP="00225CF1">
            <w:pPr>
              <w:jc w:val="center"/>
              <w:rPr>
                <w:rFonts w:ascii="Lucida Bright" w:hAnsi="Lucida Bright" w:cs="Calibri"/>
                <w:b/>
                <w:bCs/>
                <w:sz w:val="14"/>
                <w:szCs w:val="14"/>
                <w:lang w:val="es-ES"/>
              </w:rPr>
            </w:pPr>
            <w:r w:rsidRPr="00225CF1">
              <w:rPr>
                <w:rFonts w:ascii="Lucida Bright" w:hAnsi="Lucida Bright" w:cs="Calibri"/>
                <w:b/>
                <w:bCs/>
                <w:sz w:val="14"/>
                <w:szCs w:val="14"/>
                <w:lang w:val="es-ES"/>
              </w:rPr>
              <w:t>2024</w:t>
            </w:r>
          </w:p>
        </w:tc>
        <w:tc>
          <w:tcPr>
            <w:tcW w:w="1134" w:type="dxa"/>
            <w:tcBorders>
              <w:top w:val="single" w:sz="4" w:space="0" w:color="auto"/>
              <w:left w:val="nil"/>
              <w:bottom w:val="single" w:sz="4" w:space="0" w:color="auto"/>
              <w:right w:val="single" w:sz="4" w:space="0" w:color="auto"/>
            </w:tcBorders>
            <w:shd w:val="clear" w:color="000000" w:fill="CCFFCC"/>
            <w:noWrap/>
            <w:vAlign w:val="center"/>
            <w:hideMark/>
          </w:tcPr>
          <w:p w:rsidR="00225CF1" w:rsidRPr="00225CF1" w:rsidRDefault="00225CF1" w:rsidP="00225CF1">
            <w:pPr>
              <w:jc w:val="center"/>
              <w:rPr>
                <w:rFonts w:ascii="Lucida Bright" w:hAnsi="Lucida Bright" w:cs="Calibri"/>
                <w:b/>
                <w:bCs/>
                <w:sz w:val="14"/>
                <w:szCs w:val="14"/>
                <w:lang w:val="es-ES"/>
              </w:rPr>
            </w:pPr>
            <w:r w:rsidRPr="00225CF1">
              <w:rPr>
                <w:rFonts w:ascii="Lucida Bright" w:hAnsi="Lucida Bright" w:cs="Calibri"/>
                <w:b/>
                <w:bCs/>
                <w:sz w:val="14"/>
                <w:szCs w:val="14"/>
                <w:lang w:val="es-ES"/>
              </w:rPr>
              <w:t>2023</w:t>
            </w:r>
          </w:p>
        </w:tc>
      </w:tr>
      <w:tr w:rsidR="00225CF1" w:rsidRPr="00225CF1" w:rsidTr="00225CF1">
        <w:trPr>
          <w:trHeight w:val="180"/>
        </w:trPr>
        <w:tc>
          <w:tcPr>
            <w:tcW w:w="6379" w:type="dxa"/>
            <w:tcBorders>
              <w:top w:val="nil"/>
              <w:left w:val="single" w:sz="4" w:space="0" w:color="auto"/>
              <w:bottom w:val="nil"/>
              <w:right w:val="nil"/>
            </w:tcBorders>
            <w:shd w:val="clear" w:color="000000" w:fill="CCFFCC"/>
            <w:noWrap/>
            <w:vAlign w:val="center"/>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xml:space="preserve"> A) FLUJOS DE EFECTIVO DE LAS ACTIVIDADES DE EXPLOTACIÓN (+/-1+/-2+/-3+/-4)</w:t>
            </w:r>
          </w:p>
        </w:tc>
        <w:tc>
          <w:tcPr>
            <w:tcW w:w="1134" w:type="dxa"/>
            <w:tcBorders>
              <w:top w:val="nil"/>
              <w:left w:val="single" w:sz="4" w:space="0" w:color="auto"/>
              <w:bottom w:val="nil"/>
              <w:right w:val="single" w:sz="4" w:space="0" w:color="auto"/>
            </w:tcBorders>
            <w:shd w:val="clear" w:color="000000" w:fill="CCFFCC"/>
            <w:noWrap/>
            <w:vAlign w:val="center"/>
            <w:hideMark/>
          </w:tcPr>
          <w:p w:rsidR="00225CF1" w:rsidRPr="00225CF1" w:rsidRDefault="00225CF1" w:rsidP="00225CF1">
            <w:pPr>
              <w:jc w:val="right"/>
              <w:rPr>
                <w:rFonts w:ascii="Lucida Bright" w:hAnsi="Lucida Bright" w:cs="Calibri"/>
                <w:b/>
                <w:bCs/>
                <w:sz w:val="14"/>
                <w:szCs w:val="14"/>
                <w:lang w:val="es-ES"/>
              </w:rPr>
            </w:pPr>
            <w:r w:rsidRPr="00225CF1">
              <w:rPr>
                <w:rFonts w:ascii="Lucida Bright" w:hAnsi="Lucida Bright" w:cs="Calibri"/>
                <w:b/>
                <w:bCs/>
                <w:sz w:val="14"/>
                <w:szCs w:val="14"/>
                <w:lang w:val="es-ES"/>
              </w:rPr>
              <w:t xml:space="preserve">-  </w:t>
            </w:r>
          </w:p>
        </w:tc>
        <w:tc>
          <w:tcPr>
            <w:tcW w:w="1134" w:type="dxa"/>
            <w:tcBorders>
              <w:top w:val="nil"/>
              <w:left w:val="nil"/>
              <w:bottom w:val="nil"/>
              <w:right w:val="single" w:sz="4" w:space="0" w:color="auto"/>
            </w:tcBorders>
            <w:shd w:val="clear" w:color="000000" w:fill="CCFFCC"/>
            <w:noWrap/>
            <w:vAlign w:val="center"/>
            <w:hideMark/>
          </w:tcPr>
          <w:p w:rsidR="00225CF1" w:rsidRPr="00225CF1" w:rsidRDefault="00225CF1" w:rsidP="00225CF1">
            <w:pPr>
              <w:jc w:val="right"/>
              <w:rPr>
                <w:rFonts w:ascii="Lucida Bright" w:hAnsi="Lucida Bright" w:cs="Calibri"/>
                <w:b/>
                <w:bCs/>
                <w:sz w:val="14"/>
                <w:szCs w:val="14"/>
                <w:lang w:val="es-ES"/>
              </w:rPr>
            </w:pPr>
            <w:r w:rsidRPr="00225CF1">
              <w:rPr>
                <w:rFonts w:ascii="Lucida Bright" w:hAnsi="Lucida Bright" w:cs="Calibri"/>
                <w:b/>
                <w:bCs/>
                <w:sz w:val="14"/>
                <w:szCs w:val="14"/>
                <w:lang w:val="es-ES"/>
              </w:rPr>
              <w:t xml:space="preserve">-  </w:t>
            </w:r>
          </w:p>
        </w:tc>
      </w:tr>
      <w:tr w:rsidR="00225CF1" w:rsidRPr="00225CF1" w:rsidTr="00225CF1">
        <w:trPr>
          <w:trHeight w:val="180"/>
        </w:trPr>
        <w:tc>
          <w:tcPr>
            <w:tcW w:w="6379" w:type="dxa"/>
            <w:tcBorders>
              <w:top w:val="nil"/>
              <w:left w:val="single" w:sz="4" w:space="0" w:color="auto"/>
              <w:bottom w:val="nil"/>
              <w:right w:val="nil"/>
            </w:tcBorders>
            <w:shd w:val="clear" w:color="auto" w:fill="auto"/>
            <w:noWrap/>
            <w:vAlign w:val="center"/>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xml:space="preserve">      1. Resultado del ejercicio antes de impuestos</w:t>
            </w:r>
          </w:p>
        </w:tc>
        <w:tc>
          <w:tcPr>
            <w:tcW w:w="1134" w:type="dxa"/>
            <w:tcBorders>
              <w:top w:val="nil"/>
              <w:left w:val="single" w:sz="4" w:space="0" w:color="auto"/>
              <w:bottom w:val="nil"/>
              <w:right w:val="single" w:sz="4" w:space="0" w:color="auto"/>
            </w:tcBorders>
            <w:shd w:val="clear" w:color="auto" w:fill="auto"/>
            <w:noWrap/>
            <w:vAlign w:val="center"/>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c>
          <w:tcPr>
            <w:tcW w:w="1134" w:type="dxa"/>
            <w:tcBorders>
              <w:top w:val="nil"/>
              <w:left w:val="nil"/>
              <w:bottom w:val="nil"/>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b/>
                <w:bCs/>
                <w:sz w:val="14"/>
                <w:szCs w:val="14"/>
                <w:lang w:val="es-ES"/>
              </w:rPr>
            </w:pPr>
            <w:r w:rsidRPr="00225CF1">
              <w:rPr>
                <w:rFonts w:ascii="Lucida Bright" w:hAnsi="Lucida Bright" w:cs="Calibri"/>
                <w:b/>
                <w:bCs/>
                <w:sz w:val="14"/>
                <w:szCs w:val="14"/>
                <w:lang w:val="es-ES"/>
              </w:rPr>
              <w:t xml:space="preserve">(2.223.299,51)  </w:t>
            </w:r>
          </w:p>
        </w:tc>
      </w:tr>
      <w:tr w:rsidR="00225CF1" w:rsidRPr="00225CF1" w:rsidTr="00225CF1">
        <w:trPr>
          <w:trHeight w:val="180"/>
        </w:trPr>
        <w:tc>
          <w:tcPr>
            <w:tcW w:w="6379" w:type="dxa"/>
            <w:tcBorders>
              <w:top w:val="nil"/>
              <w:left w:val="single" w:sz="4" w:space="0" w:color="auto"/>
              <w:bottom w:val="nil"/>
              <w:right w:val="nil"/>
            </w:tcBorders>
            <w:shd w:val="clear" w:color="auto" w:fill="auto"/>
            <w:noWrap/>
            <w:vAlign w:val="center"/>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xml:space="preserve">      2. Ajustes del resultado</w:t>
            </w:r>
          </w:p>
        </w:tc>
        <w:tc>
          <w:tcPr>
            <w:tcW w:w="1134" w:type="dxa"/>
            <w:tcBorders>
              <w:top w:val="nil"/>
              <w:left w:val="single" w:sz="4" w:space="0" w:color="auto"/>
              <w:bottom w:val="nil"/>
              <w:right w:val="single" w:sz="4" w:space="0" w:color="auto"/>
            </w:tcBorders>
            <w:shd w:val="clear" w:color="auto" w:fill="auto"/>
            <w:noWrap/>
            <w:vAlign w:val="center"/>
            <w:hideMark/>
          </w:tcPr>
          <w:p w:rsidR="00225CF1" w:rsidRPr="00225CF1" w:rsidRDefault="00225CF1" w:rsidP="00225CF1">
            <w:pPr>
              <w:rPr>
                <w:rFonts w:ascii="Lucida Bright" w:hAnsi="Lucida Bright" w:cs="Calibri"/>
                <w:b/>
                <w:bCs/>
                <w:sz w:val="14"/>
                <w:szCs w:val="14"/>
                <w:lang w:val="es-ES"/>
              </w:rPr>
            </w:pPr>
            <w:r w:rsidRPr="00225CF1">
              <w:rPr>
                <w:rFonts w:ascii="Lucida Bright" w:hAnsi="Lucida Bright" w:cs="Calibri"/>
                <w:b/>
                <w:bCs/>
                <w:sz w:val="14"/>
                <w:szCs w:val="14"/>
                <w:lang w:val="es-ES"/>
              </w:rPr>
              <w:t> </w:t>
            </w:r>
          </w:p>
        </w:tc>
        <w:tc>
          <w:tcPr>
            <w:tcW w:w="1134" w:type="dxa"/>
            <w:tcBorders>
              <w:top w:val="nil"/>
              <w:left w:val="nil"/>
              <w:bottom w:val="nil"/>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b/>
                <w:bCs/>
                <w:sz w:val="14"/>
                <w:szCs w:val="14"/>
                <w:lang w:val="es-ES"/>
              </w:rPr>
            </w:pPr>
            <w:r w:rsidRPr="00225CF1">
              <w:rPr>
                <w:rFonts w:ascii="Lucida Bright" w:hAnsi="Lucida Bright" w:cs="Calibri"/>
                <w:b/>
                <w:bCs/>
                <w:sz w:val="14"/>
                <w:szCs w:val="14"/>
                <w:lang w:val="es-ES"/>
              </w:rPr>
              <w:t xml:space="preserve">2.223.299,51  </w:t>
            </w:r>
          </w:p>
        </w:tc>
      </w:tr>
      <w:tr w:rsidR="00225CF1" w:rsidRPr="00225CF1" w:rsidTr="00225CF1">
        <w:trPr>
          <w:trHeight w:val="180"/>
        </w:trPr>
        <w:tc>
          <w:tcPr>
            <w:tcW w:w="6379" w:type="dxa"/>
            <w:tcBorders>
              <w:top w:val="nil"/>
              <w:left w:val="single" w:sz="4" w:space="0" w:color="auto"/>
              <w:bottom w:val="nil"/>
              <w:right w:val="nil"/>
            </w:tcBorders>
            <w:shd w:val="clear" w:color="auto" w:fill="auto"/>
            <w:noWrap/>
            <w:vAlign w:val="center"/>
            <w:hideMark/>
          </w:tcPr>
          <w:p w:rsidR="00225CF1" w:rsidRPr="00225CF1" w:rsidRDefault="00225CF1" w:rsidP="00225CF1">
            <w:pPr>
              <w:rPr>
                <w:rFonts w:ascii="Lucida Bright" w:hAnsi="Lucida Bright" w:cs="Calibri"/>
                <w:sz w:val="14"/>
                <w:szCs w:val="14"/>
                <w:lang w:val="es-ES"/>
              </w:rPr>
            </w:pPr>
            <w:r w:rsidRPr="00225CF1">
              <w:rPr>
                <w:rFonts w:ascii="Lucida Bright" w:hAnsi="Lucida Bright" w:cs="Calibri"/>
                <w:sz w:val="14"/>
                <w:szCs w:val="14"/>
                <w:lang w:val="es-ES"/>
              </w:rPr>
              <w:t xml:space="preserve">         a) Amortización del inmovilizado (+)</w:t>
            </w:r>
          </w:p>
        </w:tc>
        <w:tc>
          <w:tcPr>
            <w:tcW w:w="1134" w:type="dxa"/>
            <w:tcBorders>
              <w:top w:val="nil"/>
              <w:left w:val="single" w:sz="4" w:space="0" w:color="auto"/>
              <w:bottom w:val="nil"/>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sz w:val="14"/>
                <w:szCs w:val="14"/>
                <w:lang w:val="es-ES"/>
              </w:rPr>
            </w:pPr>
            <w:r w:rsidRPr="00225CF1">
              <w:rPr>
                <w:rFonts w:ascii="Lucida Bright" w:hAnsi="Lucida Bright" w:cs="Calibri"/>
                <w:sz w:val="14"/>
                <w:szCs w:val="14"/>
                <w:lang w:val="es-ES"/>
              </w:rPr>
              <w:t xml:space="preserve">-  </w:t>
            </w:r>
          </w:p>
        </w:tc>
        <w:tc>
          <w:tcPr>
            <w:tcW w:w="1134" w:type="dxa"/>
            <w:tcBorders>
              <w:top w:val="nil"/>
              <w:left w:val="nil"/>
              <w:bottom w:val="nil"/>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sz w:val="14"/>
                <w:szCs w:val="14"/>
                <w:lang w:val="es-ES"/>
              </w:rPr>
            </w:pPr>
            <w:r w:rsidRPr="00225CF1">
              <w:rPr>
                <w:rFonts w:ascii="Lucida Bright" w:hAnsi="Lucida Bright" w:cs="Calibri"/>
                <w:sz w:val="14"/>
                <w:szCs w:val="14"/>
                <w:lang w:val="es-ES"/>
              </w:rPr>
              <w:t xml:space="preserve">2.537.581,36  </w:t>
            </w:r>
          </w:p>
        </w:tc>
      </w:tr>
      <w:tr w:rsidR="00225CF1" w:rsidRPr="00225CF1" w:rsidTr="00225CF1">
        <w:trPr>
          <w:trHeight w:val="180"/>
        </w:trPr>
        <w:tc>
          <w:tcPr>
            <w:tcW w:w="6379" w:type="dxa"/>
            <w:tcBorders>
              <w:top w:val="nil"/>
              <w:left w:val="single" w:sz="4" w:space="0" w:color="auto"/>
              <w:bottom w:val="nil"/>
              <w:right w:val="nil"/>
            </w:tcBorders>
            <w:shd w:val="clear" w:color="auto" w:fill="auto"/>
            <w:noWrap/>
            <w:vAlign w:val="center"/>
            <w:hideMark/>
          </w:tcPr>
          <w:p w:rsidR="00225CF1" w:rsidRPr="00225CF1" w:rsidRDefault="00225CF1" w:rsidP="00225CF1">
            <w:pPr>
              <w:rPr>
                <w:rFonts w:ascii="Lucida Bright" w:hAnsi="Lucida Bright" w:cs="Calibri"/>
                <w:sz w:val="14"/>
                <w:szCs w:val="14"/>
                <w:lang w:val="es-ES"/>
              </w:rPr>
            </w:pPr>
            <w:r w:rsidRPr="00225CF1">
              <w:rPr>
                <w:rFonts w:ascii="Lucida Bright" w:hAnsi="Lucida Bright" w:cs="Calibri"/>
                <w:sz w:val="14"/>
                <w:szCs w:val="14"/>
                <w:lang w:val="es-ES"/>
              </w:rPr>
              <w:t xml:space="preserve">         j) Ingresos traspasados al resultado por concesiones revertidas (-)</w:t>
            </w:r>
          </w:p>
        </w:tc>
        <w:tc>
          <w:tcPr>
            <w:tcW w:w="1134" w:type="dxa"/>
            <w:tcBorders>
              <w:top w:val="nil"/>
              <w:left w:val="single" w:sz="4" w:space="0" w:color="auto"/>
              <w:bottom w:val="nil"/>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sz w:val="14"/>
                <w:szCs w:val="14"/>
                <w:lang w:val="es-ES"/>
              </w:rPr>
            </w:pPr>
            <w:r w:rsidRPr="00225CF1">
              <w:rPr>
                <w:rFonts w:ascii="Lucida Bright" w:hAnsi="Lucida Bright" w:cs="Calibri"/>
                <w:sz w:val="14"/>
                <w:szCs w:val="14"/>
                <w:lang w:val="es-ES"/>
              </w:rPr>
              <w:t xml:space="preserve">-  </w:t>
            </w:r>
          </w:p>
        </w:tc>
        <w:tc>
          <w:tcPr>
            <w:tcW w:w="1134" w:type="dxa"/>
            <w:tcBorders>
              <w:top w:val="nil"/>
              <w:left w:val="nil"/>
              <w:bottom w:val="nil"/>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sz w:val="14"/>
                <w:szCs w:val="14"/>
                <w:lang w:val="es-ES"/>
              </w:rPr>
            </w:pPr>
            <w:r w:rsidRPr="00225CF1">
              <w:rPr>
                <w:rFonts w:ascii="Lucida Bright" w:hAnsi="Lucida Bright" w:cs="Calibri"/>
                <w:sz w:val="14"/>
                <w:szCs w:val="14"/>
                <w:lang w:val="es-ES"/>
              </w:rPr>
              <w:t xml:space="preserve">(620.038,33)  </w:t>
            </w:r>
          </w:p>
        </w:tc>
      </w:tr>
      <w:tr w:rsidR="00225CF1" w:rsidRPr="00225CF1" w:rsidTr="00225CF1">
        <w:trPr>
          <w:trHeight w:val="180"/>
        </w:trPr>
        <w:tc>
          <w:tcPr>
            <w:tcW w:w="6379" w:type="dxa"/>
            <w:tcBorders>
              <w:top w:val="nil"/>
              <w:left w:val="single" w:sz="4" w:space="0" w:color="auto"/>
              <w:bottom w:val="single" w:sz="4" w:space="0" w:color="auto"/>
              <w:right w:val="nil"/>
            </w:tcBorders>
            <w:shd w:val="clear" w:color="auto" w:fill="auto"/>
            <w:noWrap/>
            <w:vAlign w:val="center"/>
            <w:hideMark/>
          </w:tcPr>
          <w:p w:rsidR="00225CF1" w:rsidRPr="00225CF1" w:rsidRDefault="00225CF1" w:rsidP="00225CF1">
            <w:pPr>
              <w:rPr>
                <w:rFonts w:ascii="Lucida Bright" w:hAnsi="Lucida Bright" w:cs="Calibri"/>
                <w:sz w:val="14"/>
                <w:szCs w:val="14"/>
                <w:lang w:val="es-ES"/>
              </w:rPr>
            </w:pPr>
            <w:r w:rsidRPr="00225CF1">
              <w:rPr>
                <w:rFonts w:ascii="Lucida Bright" w:hAnsi="Lucida Bright" w:cs="Calibri"/>
                <w:sz w:val="14"/>
                <w:szCs w:val="14"/>
                <w:lang w:val="es-ES"/>
              </w:rPr>
              <w:t xml:space="preserve">         l) Otros ingresos y gastos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sz w:val="14"/>
                <w:szCs w:val="14"/>
                <w:lang w:val="es-ES"/>
              </w:rPr>
            </w:pPr>
            <w:r w:rsidRPr="00225CF1">
              <w:rPr>
                <w:rFonts w:ascii="Lucida Bright" w:hAnsi="Lucida Bright" w:cs="Calibri"/>
                <w:sz w:val="14"/>
                <w:szCs w:val="14"/>
                <w:lang w:val="es-E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25CF1" w:rsidRPr="00225CF1" w:rsidRDefault="00225CF1" w:rsidP="00225CF1">
            <w:pPr>
              <w:jc w:val="right"/>
              <w:rPr>
                <w:rFonts w:ascii="Lucida Bright" w:hAnsi="Lucida Bright" w:cs="Calibri"/>
                <w:sz w:val="14"/>
                <w:szCs w:val="14"/>
                <w:lang w:val="es-ES"/>
              </w:rPr>
            </w:pPr>
            <w:r w:rsidRPr="00225CF1">
              <w:rPr>
                <w:rFonts w:ascii="Lucida Bright" w:hAnsi="Lucida Bright" w:cs="Calibri"/>
                <w:sz w:val="14"/>
                <w:szCs w:val="14"/>
                <w:lang w:val="es-ES"/>
              </w:rPr>
              <w:t xml:space="preserve">305.756,48  </w:t>
            </w:r>
          </w:p>
        </w:tc>
      </w:tr>
    </w:tbl>
    <w:p w:rsidR="005C2F51" w:rsidRDefault="005C2F51"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30255B" w:rsidRPr="0030255B" w:rsidRDefault="0030255B" w:rsidP="0030255B">
      <w:pPr>
        <w:spacing w:before="100" w:after="100"/>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F333F2" w:rsidRPr="00714F3A" w:rsidRDefault="00490AF4" w:rsidP="00F333F2">
      <w:pPr>
        <w:pStyle w:val="Prrafodelista"/>
        <w:spacing w:before="100" w:after="100"/>
        <w:ind w:left="646"/>
        <w:jc w:val="both"/>
        <w:rPr>
          <w:rFonts w:ascii="NewBaskerville" w:hAnsi="NewBaskerville"/>
        </w:rPr>
      </w:pPr>
      <w:r>
        <w:rPr>
          <w:rFonts w:ascii="NewBaskerville" w:hAnsi="NewBaskerville"/>
        </w:rPr>
        <w:t xml:space="preserve"> </w:t>
      </w:r>
      <w:r w:rsidR="00714F3A">
        <w:rPr>
          <w:rFonts w:ascii="NewBaskerville" w:hAnsi="NewBaskerville"/>
        </w:rPr>
        <w:t xml:space="preserve"> </w:t>
      </w:r>
    </w:p>
    <w:p w:rsidR="002C4355" w:rsidRPr="008B3CE3" w:rsidRDefault="00B237A6" w:rsidP="00B237A6">
      <w:pPr>
        <w:spacing w:after="120"/>
        <w:jc w:val="both"/>
        <w:rPr>
          <w:rFonts w:ascii="NewBaskerville" w:hAnsi="NewBaskerville"/>
          <w:b/>
          <w:bCs/>
          <w:sz w:val="24"/>
          <w:szCs w:val="24"/>
        </w:rPr>
      </w:pPr>
      <w:r w:rsidRPr="008B3CE3">
        <w:rPr>
          <w:rFonts w:ascii="NewBaskerville" w:hAnsi="NewBaskerville"/>
          <w:b/>
          <w:bCs/>
          <w:sz w:val="24"/>
          <w:szCs w:val="24"/>
        </w:rPr>
        <w:lastRenderedPageBreak/>
        <w:t xml:space="preserve">3. </w:t>
      </w:r>
      <w:r w:rsidR="002C4355" w:rsidRPr="008B3CE3">
        <w:rPr>
          <w:rFonts w:ascii="NewBaskerville" w:hAnsi="NewBaskerville"/>
          <w:b/>
          <w:bCs/>
          <w:sz w:val="24"/>
          <w:szCs w:val="24"/>
        </w:rPr>
        <w:t>Aplicación de resultados</w:t>
      </w:r>
    </w:p>
    <w:p w:rsidR="002C4355" w:rsidRPr="008B3CE3" w:rsidRDefault="002C4355" w:rsidP="00AE2574">
      <w:pPr>
        <w:tabs>
          <w:tab w:val="right" w:pos="8364"/>
        </w:tabs>
        <w:spacing w:after="100"/>
        <w:ind w:firstLine="567"/>
        <w:jc w:val="both"/>
        <w:rPr>
          <w:rFonts w:ascii="NewBaskerville" w:hAnsi="NewBaskerville"/>
        </w:rPr>
      </w:pPr>
      <w:r w:rsidRPr="008B3CE3">
        <w:rPr>
          <w:rFonts w:ascii="NewBaskerville" w:hAnsi="NewBaskerville"/>
        </w:rPr>
        <w:t>La propuesta de distribución</w:t>
      </w:r>
      <w:r w:rsidR="000E5C11" w:rsidRPr="008B3CE3">
        <w:rPr>
          <w:rFonts w:ascii="NewBaskerville" w:hAnsi="NewBaskerville"/>
        </w:rPr>
        <w:t xml:space="preserve"> </w:t>
      </w:r>
      <w:r w:rsidR="0020324A" w:rsidRPr="008B3CE3">
        <w:rPr>
          <w:rFonts w:ascii="NewBaskerville" w:hAnsi="NewBaskerville"/>
        </w:rPr>
        <w:t>del resultado del ejercicio 202</w:t>
      </w:r>
      <w:r w:rsidR="00287435">
        <w:rPr>
          <w:rFonts w:ascii="NewBaskerville" w:hAnsi="NewBaskerville"/>
        </w:rPr>
        <w:t>4</w:t>
      </w:r>
      <w:r w:rsidRPr="008B3CE3">
        <w:rPr>
          <w:rFonts w:ascii="NewBaskerville" w:hAnsi="NewBaskerville"/>
        </w:rPr>
        <w:t xml:space="preserve"> formulada por el Presidente de</w:t>
      </w:r>
      <w:r w:rsidR="00E36D30">
        <w:rPr>
          <w:rFonts w:ascii="NewBaskerville" w:hAnsi="NewBaskerville"/>
        </w:rPr>
        <w:t xml:space="preserve"> </w:t>
      </w:r>
      <w:r w:rsidR="008B3CE3" w:rsidRPr="008B3CE3">
        <w:rPr>
          <w:rFonts w:ascii="NewBaskerville" w:hAnsi="NewBaskerville"/>
        </w:rPr>
        <w:t>l</w:t>
      </w:r>
      <w:r w:rsidR="00E36D30">
        <w:rPr>
          <w:rFonts w:ascii="NewBaskerville" w:hAnsi="NewBaskerville"/>
        </w:rPr>
        <w:t>a</w:t>
      </w:r>
      <w:r w:rsidR="008B3CE3" w:rsidRPr="008B3CE3">
        <w:rPr>
          <w:rFonts w:ascii="NewBaskerville" w:hAnsi="NewBaskerville"/>
        </w:rPr>
        <w:t xml:space="preserve"> </w:t>
      </w:r>
      <w:r w:rsidR="00E36D30">
        <w:rPr>
          <w:rFonts w:ascii="NewBaskerville" w:hAnsi="NewBaskerville"/>
        </w:rPr>
        <w:t>Entidad</w:t>
      </w:r>
      <w:r w:rsidRPr="008B3CE3">
        <w:rPr>
          <w:rFonts w:ascii="NewBaskerville" w:hAnsi="NewBaskerville"/>
        </w:rPr>
        <w:t xml:space="preserve"> y que se espera sea aprobada por el Consejo de Administración de la </w:t>
      </w:r>
      <w:r w:rsidR="008B3CE3" w:rsidRPr="008B3CE3">
        <w:rPr>
          <w:rFonts w:ascii="NewBaskerville" w:hAnsi="NewBaskerville"/>
        </w:rPr>
        <w:t>APB</w:t>
      </w:r>
      <w:r w:rsidRPr="008B3CE3">
        <w:rPr>
          <w:rFonts w:ascii="NewBaskerville" w:hAnsi="NewBaskerville"/>
        </w:rPr>
        <w:t xml:space="preserve">, es la siguiente: </w:t>
      </w:r>
    </w:p>
    <w:tbl>
      <w:tblPr>
        <w:tblW w:w="6380" w:type="dxa"/>
        <w:tblInd w:w="60" w:type="dxa"/>
        <w:tblCellMar>
          <w:left w:w="70" w:type="dxa"/>
          <w:right w:w="70" w:type="dxa"/>
        </w:tblCellMar>
        <w:tblLook w:val="04A0" w:firstRow="1" w:lastRow="0" w:firstColumn="1" w:lastColumn="0" w:noHBand="0" w:noVBand="1"/>
      </w:tblPr>
      <w:tblGrid>
        <w:gridCol w:w="4900"/>
        <w:gridCol w:w="1480"/>
      </w:tblGrid>
      <w:tr w:rsidR="00F36550" w:rsidRPr="00F36550" w:rsidTr="00F36550">
        <w:trPr>
          <w:trHeight w:val="495"/>
        </w:trPr>
        <w:tc>
          <w:tcPr>
            <w:tcW w:w="4900" w:type="dxa"/>
            <w:tcBorders>
              <w:top w:val="single" w:sz="8" w:space="0" w:color="auto"/>
              <w:left w:val="single" w:sz="8" w:space="0" w:color="auto"/>
              <w:bottom w:val="single" w:sz="8" w:space="0" w:color="auto"/>
              <w:right w:val="single" w:sz="8" w:space="0" w:color="auto"/>
            </w:tcBorders>
            <w:shd w:val="clear" w:color="000000" w:fill="CCFFCC"/>
            <w:vAlign w:val="center"/>
            <w:hideMark/>
          </w:tcPr>
          <w:p w:rsidR="00F36550" w:rsidRPr="00F36550" w:rsidRDefault="00F36550" w:rsidP="00F36550">
            <w:pPr>
              <w:jc w:val="center"/>
              <w:rPr>
                <w:rFonts w:ascii="Lucida Bright" w:hAnsi="Lucida Bright" w:cs="Calibri"/>
                <w:b/>
                <w:bCs/>
                <w:color w:val="000000"/>
                <w:sz w:val="18"/>
                <w:szCs w:val="18"/>
                <w:lang w:val="es-ES"/>
              </w:rPr>
            </w:pPr>
            <w:r w:rsidRPr="00F36550">
              <w:rPr>
                <w:rFonts w:ascii="Lucida Bright" w:hAnsi="Lucida Bright" w:cs="Calibri"/>
                <w:b/>
                <w:bCs/>
                <w:color w:val="000000"/>
                <w:sz w:val="18"/>
                <w:szCs w:val="18"/>
                <w:lang w:val="es-ES"/>
              </w:rPr>
              <w:t>Base de Reparto</w:t>
            </w:r>
          </w:p>
        </w:tc>
        <w:tc>
          <w:tcPr>
            <w:tcW w:w="1480" w:type="dxa"/>
            <w:tcBorders>
              <w:top w:val="single" w:sz="8" w:space="0" w:color="auto"/>
              <w:left w:val="nil"/>
              <w:bottom w:val="single" w:sz="8" w:space="0" w:color="000000"/>
              <w:right w:val="single" w:sz="8" w:space="0" w:color="auto"/>
            </w:tcBorders>
            <w:shd w:val="clear" w:color="000000" w:fill="CCFFCC"/>
            <w:vAlign w:val="center"/>
            <w:hideMark/>
          </w:tcPr>
          <w:p w:rsidR="00F36550" w:rsidRPr="00F36550" w:rsidRDefault="00F36550" w:rsidP="00F36550">
            <w:pPr>
              <w:jc w:val="center"/>
              <w:rPr>
                <w:rFonts w:ascii="Lucida Bright" w:hAnsi="Lucida Bright" w:cs="Calibri"/>
                <w:color w:val="000000"/>
                <w:sz w:val="18"/>
                <w:szCs w:val="18"/>
                <w:lang w:val="es-ES"/>
              </w:rPr>
            </w:pPr>
            <w:r w:rsidRPr="00F36550">
              <w:rPr>
                <w:rFonts w:ascii="Lucida Bright" w:hAnsi="Lucida Bright" w:cs="Calibri"/>
                <w:color w:val="000000"/>
                <w:sz w:val="18"/>
                <w:szCs w:val="18"/>
                <w:lang w:val="es-ES"/>
              </w:rPr>
              <w:t>Importe en Euros</w:t>
            </w:r>
          </w:p>
        </w:tc>
      </w:tr>
      <w:tr w:rsidR="00F36550" w:rsidRPr="00F36550" w:rsidTr="00F36550">
        <w:trPr>
          <w:trHeight w:val="300"/>
        </w:trPr>
        <w:tc>
          <w:tcPr>
            <w:tcW w:w="4900" w:type="dxa"/>
            <w:tcBorders>
              <w:top w:val="nil"/>
              <w:left w:val="single" w:sz="8" w:space="0" w:color="auto"/>
              <w:bottom w:val="nil"/>
              <w:right w:val="single" w:sz="8" w:space="0" w:color="000000"/>
            </w:tcBorders>
            <w:shd w:val="clear" w:color="000000" w:fill="FFFFFF"/>
            <w:vAlign w:val="center"/>
            <w:hideMark/>
          </w:tcPr>
          <w:p w:rsidR="00F36550" w:rsidRPr="00F36550" w:rsidRDefault="00F36550" w:rsidP="00F36550">
            <w:pPr>
              <w:rPr>
                <w:rFonts w:ascii="Lucida Bright" w:hAnsi="Lucida Bright" w:cs="Calibri"/>
                <w:color w:val="000000"/>
                <w:sz w:val="18"/>
                <w:szCs w:val="18"/>
                <w:lang w:val="es-ES"/>
              </w:rPr>
            </w:pPr>
            <w:r w:rsidRPr="00F36550">
              <w:rPr>
                <w:rFonts w:ascii="Lucida Bright" w:hAnsi="Lucida Bright" w:cs="Calibri"/>
                <w:color w:val="000000"/>
                <w:sz w:val="18"/>
                <w:szCs w:val="18"/>
                <w:lang w:val="es-ES"/>
              </w:rPr>
              <w:t>Saldo de la cuenta de pérdidas y ganancias</w:t>
            </w:r>
          </w:p>
        </w:tc>
        <w:tc>
          <w:tcPr>
            <w:tcW w:w="1480" w:type="dxa"/>
            <w:tcBorders>
              <w:top w:val="nil"/>
              <w:left w:val="nil"/>
              <w:bottom w:val="nil"/>
              <w:right w:val="single" w:sz="8" w:space="0" w:color="auto"/>
            </w:tcBorders>
            <w:shd w:val="clear" w:color="000000" w:fill="FFFFFF"/>
            <w:noWrap/>
            <w:vAlign w:val="center"/>
            <w:hideMark/>
          </w:tcPr>
          <w:p w:rsidR="00F36550" w:rsidRPr="00F36550" w:rsidRDefault="00F36550" w:rsidP="00F36550">
            <w:pPr>
              <w:jc w:val="right"/>
              <w:rPr>
                <w:rFonts w:ascii="Lucida Bright" w:hAnsi="Lucida Bright" w:cs="Calibri"/>
                <w:color w:val="000000"/>
                <w:sz w:val="18"/>
                <w:szCs w:val="18"/>
                <w:lang w:val="es-ES"/>
              </w:rPr>
            </w:pPr>
            <w:r w:rsidRPr="00F36550">
              <w:rPr>
                <w:rFonts w:ascii="Lucida Bright" w:hAnsi="Lucida Bright" w:cs="Calibri"/>
                <w:color w:val="000000"/>
                <w:sz w:val="18"/>
                <w:szCs w:val="18"/>
                <w:lang w:val="es-ES"/>
              </w:rPr>
              <w:t>48.307.184,08</w:t>
            </w:r>
          </w:p>
        </w:tc>
      </w:tr>
      <w:tr w:rsidR="00F36550" w:rsidRPr="00F36550" w:rsidTr="00F36550">
        <w:trPr>
          <w:trHeight w:val="315"/>
        </w:trPr>
        <w:tc>
          <w:tcPr>
            <w:tcW w:w="4900" w:type="dxa"/>
            <w:tcBorders>
              <w:top w:val="single" w:sz="4" w:space="0" w:color="000000"/>
              <w:left w:val="single" w:sz="8" w:space="0" w:color="auto"/>
              <w:bottom w:val="single" w:sz="8" w:space="0" w:color="auto"/>
              <w:right w:val="single" w:sz="8" w:space="0" w:color="000000"/>
            </w:tcBorders>
            <w:shd w:val="clear" w:color="000000" w:fill="FFFFFF"/>
            <w:vAlign w:val="center"/>
            <w:hideMark/>
          </w:tcPr>
          <w:p w:rsidR="00F36550" w:rsidRPr="00F36550" w:rsidRDefault="00F36550" w:rsidP="00F36550">
            <w:pPr>
              <w:rPr>
                <w:rFonts w:ascii="Lucida Bright" w:hAnsi="Lucida Bright" w:cs="Calibri"/>
                <w:color w:val="000000"/>
                <w:sz w:val="18"/>
                <w:szCs w:val="18"/>
                <w:lang w:val="es-ES"/>
              </w:rPr>
            </w:pPr>
            <w:r w:rsidRPr="00F36550">
              <w:rPr>
                <w:rFonts w:ascii="Lucida Bright" w:hAnsi="Lucida Bright" w:cs="Calibri"/>
                <w:color w:val="000000"/>
                <w:sz w:val="18"/>
                <w:szCs w:val="18"/>
                <w:lang w:val="es-ES"/>
              </w:rPr>
              <w:t>Total:</w:t>
            </w:r>
          </w:p>
        </w:tc>
        <w:tc>
          <w:tcPr>
            <w:tcW w:w="1480" w:type="dxa"/>
            <w:tcBorders>
              <w:top w:val="single" w:sz="4" w:space="0" w:color="000000"/>
              <w:left w:val="nil"/>
              <w:bottom w:val="single" w:sz="8" w:space="0" w:color="auto"/>
              <w:right w:val="single" w:sz="8" w:space="0" w:color="auto"/>
            </w:tcBorders>
            <w:shd w:val="clear" w:color="000000" w:fill="FFFFFF"/>
            <w:noWrap/>
            <w:vAlign w:val="center"/>
            <w:hideMark/>
          </w:tcPr>
          <w:p w:rsidR="00F36550" w:rsidRPr="00F36550" w:rsidRDefault="00F36550" w:rsidP="00F36550">
            <w:pPr>
              <w:jc w:val="right"/>
              <w:rPr>
                <w:rFonts w:ascii="Lucida Bright" w:hAnsi="Lucida Bright" w:cs="Calibri"/>
                <w:color w:val="000000"/>
                <w:sz w:val="18"/>
                <w:szCs w:val="18"/>
                <w:lang w:val="es-ES"/>
              </w:rPr>
            </w:pPr>
            <w:r w:rsidRPr="00F36550">
              <w:rPr>
                <w:rFonts w:ascii="Lucida Bright" w:hAnsi="Lucida Bright" w:cs="Calibri"/>
                <w:color w:val="000000"/>
                <w:sz w:val="18"/>
                <w:szCs w:val="18"/>
                <w:lang w:val="es-ES"/>
              </w:rPr>
              <w:t>48.307.184,08</w:t>
            </w:r>
          </w:p>
        </w:tc>
      </w:tr>
      <w:tr w:rsidR="00F36550" w:rsidRPr="00F36550" w:rsidTr="00F36550">
        <w:trPr>
          <w:trHeight w:val="495"/>
        </w:trPr>
        <w:tc>
          <w:tcPr>
            <w:tcW w:w="4900" w:type="dxa"/>
            <w:tcBorders>
              <w:top w:val="nil"/>
              <w:left w:val="single" w:sz="8" w:space="0" w:color="auto"/>
              <w:bottom w:val="single" w:sz="8" w:space="0" w:color="auto"/>
              <w:right w:val="single" w:sz="8" w:space="0" w:color="auto"/>
            </w:tcBorders>
            <w:shd w:val="clear" w:color="000000" w:fill="CCFFCC"/>
            <w:vAlign w:val="center"/>
            <w:hideMark/>
          </w:tcPr>
          <w:p w:rsidR="00F36550" w:rsidRPr="00F36550" w:rsidRDefault="00F36550" w:rsidP="00F36550">
            <w:pPr>
              <w:jc w:val="center"/>
              <w:rPr>
                <w:rFonts w:ascii="Lucida Bright" w:hAnsi="Lucida Bright" w:cs="Calibri"/>
                <w:b/>
                <w:bCs/>
                <w:color w:val="000000"/>
                <w:sz w:val="18"/>
                <w:szCs w:val="18"/>
                <w:lang w:val="es-ES"/>
              </w:rPr>
            </w:pPr>
            <w:r w:rsidRPr="00F36550">
              <w:rPr>
                <w:rFonts w:ascii="Lucida Bright" w:hAnsi="Lucida Bright" w:cs="Calibri"/>
                <w:b/>
                <w:bCs/>
                <w:color w:val="000000"/>
                <w:sz w:val="18"/>
                <w:szCs w:val="18"/>
                <w:lang w:val="es-ES"/>
              </w:rPr>
              <w:t>Aplicación</w:t>
            </w:r>
          </w:p>
        </w:tc>
        <w:tc>
          <w:tcPr>
            <w:tcW w:w="1480" w:type="dxa"/>
            <w:tcBorders>
              <w:top w:val="nil"/>
              <w:left w:val="nil"/>
              <w:bottom w:val="single" w:sz="8" w:space="0" w:color="auto"/>
              <w:right w:val="single" w:sz="8" w:space="0" w:color="auto"/>
            </w:tcBorders>
            <w:shd w:val="clear" w:color="000000" w:fill="CCFFCC"/>
            <w:vAlign w:val="center"/>
            <w:hideMark/>
          </w:tcPr>
          <w:p w:rsidR="00F36550" w:rsidRPr="00F36550" w:rsidRDefault="00F36550" w:rsidP="00F36550">
            <w:pPr>
              <w:jc w:val="center"/>
              <w:rPr>
                <w:rFonts w:ascii="Lucida Bright" w:hAnsi="Lucida Bright" w:cs="Calibri"/>
                <w:color w:val="000000"/>
                <w:sz w:val="18"/>
                <w:szCs w:val="18"/>
                <w:lang w:val="es-ES"/>
              </w:rPr>
            </w:pPr>
            <w:r w:rsidRPr="00F36550">
              <w:rPr>
                <w:rFonts w:ascii="Lucida Bright" w:hAnsi="Lucida Bright" w:cs="Calibri"/>
                <w:color w:val="000000"/>
                <w:sz w:val="18"/>
                <w:szCs w:val="18"/>
                <w:lang w:val="es-ES"/>
              </w:rPr>
              <w:t>Importe en Euros</w:t>
            </w:r>
          </w:p>
        </w:tc>
      </w:tr>
      <w:tr w:rsidR="00F36550" w:rsidRPr="00F36550" w:rsidTr="00F36550">
        <w:trPr>
          <w:trHeight w:val="300"/>
        </w:trPr>
        <w:tc>
          <w:tcPr>
            <w:tcW w:w="4900" w:type="dxa"/>
            <w:tcBorders>
              <w:top w:val="nil"/>
              <w:left w:val="single" w:sz="8" w:space="0" w:color="auto"/>
              <w:bottom w:val="single" w:sz="4" w:space="0" w:color="000000"/>
              <w:right w:val="single" w:sz="8" w:space="0" w:color="000000"/>
            </w:tcBorders>
            <w:shd w:val="clear" w:color="000000" w:fill="FFFFFF"/>
            <w:vAlign w:val="center"/>
            <w:hideMark/>
          </w:tcPr>
          <w:p w:rsidR="00F36550" w:rsidRPr="00F36550" w:rsidRDefault="00F36550" w:rsidP="00F36550">
            <w:pPr>
              <w:rPr>
                <w:rFonts w:ascii="Lucida Bright" w:hAnsi="Lucida Bright" w:cs="Calibri"/>
                <w:color w:val="000000"/>
                <w:sz w:val="18"/>
                <w:szCs w:val="18"/>
                <w:lang w:val="es-ES"/>
              </w:rPr>
            </w:pPr>
            <w:r w:rsidRPr="00F36550">
              <w:rPr>
                <w:rFonts w:ascii="Lucida Bright" w:hAnsi="Lucida Bright" w:cs="Calibri"/>
                <w:color w:val="000000"/>
                <w:sz w:val="18"/>
                <w:szCs w:val="18"/>
                <w:lang w:val="es-ES"/>
              </w:rPr>
              <w:t>A Resultados acumulados</w:t>
            </w:r>
          </w:p>
        </w:tc>
        <w:tc>
          <w:tcPr>
            <w:tcW w:w="1480" w:type="dxa"/>
            <w:tcBorders>
              <w:top w:val="nil"/>
              <w:left w:val="nil"/>
              <w:bottom w:val="nil"/>
              <w:right w:val="single" w:sz="8" w:space="0" w:color="auto"/>
            </w:tcBorders>
            <w:shd w:val="clear" w:color="000000" w:fill="FFFFFF"/>
            <w:noWrap/>
            <w:vAlign w:val="center"/>
            <w:hideMark/>
          </w:tcPr>
          <w:p w:rsidR="00F36550" w:rsidRPr="00F36550" w:rsidRDefault="00F36550" w:rsidP="00F36550">
            <w:pPr>
              <w:jc w:val="right"/>
              <w:rPr>
                <w:rFonts w:ascii="Lucida Bright" w:hAnsi="Lucida Bright" w:cs="Calibri"/>
                <w:color w:val="000000"/>
                <w:sz w:val="18"/>
                <w:szCs w:val="18"/>
                <w:lang w:val="es-ES"/>
              </w:rPr>
            </w:pPr>
            <w:r w:rsidRPr="00F36550">
              <w:rPr>
                <w:rFonts w:ascii="Lucida Bright" w:hAnsi="Lucida Bright" w:cs="Calibri"/>
                <w:color w:val="000000"/>
                <w:sz w:val="18"/>
                <w:szCs w:val="18"/>
                <w:lang w:val="es-ES"/>
              </w:rPr>
              <w:t>42.351.162,47</w:t>
            </w:r>
          </w:p>
        </w:tc>
      </w:tr>
      <w:tr w:rsidR="00F36550" w:rsidRPr="00F36550" w:rsidTr="00F36550">
        <w:trPr>
          <w:trHeight w:val="300"/>
        </w:trPr>
        <w:tc>
          <w:tcPr>
            <w:tcW w:w="4900" w:type="dxa"/>
            <w:tcBorders>
              <w:top w:val="nil"/>
              <w:left w:val="single" w:sz="8" w:space="0" w:color="auto"/>
              <w:bottom w:val="single" w:sz="4" w:space="0" w:color="000000"/>
              <w:right w:val="single" w:sz="8" w:space="0" w:color="000000"/>
            </w:tcBorders>
            <w:shd w:val="clear" w:color="auto" w:fill="auto"/>
            <w:noWrap/>
            <w:vAlign w:val="center"/>
            <w:hideMark/>
          </w:tcPr>
          <w:p w:rsidR="00F36550" w:rsidRPr="00F36550" w:rsidRDefault="00F36550" w:rsidP="00F36550">
            <w:pPr>
              <w:rPr>
                <w:rFonts w:ascii="Lucida Bright" w:hAnsi="Lucida Bright" w:cs="Calibri"/>
                <w:color w:val="000000"/>
                <w:sz w:val="18"/>
                <w:szCs w:val="18"/>
                <w:lang w:val="es-ES"/>
              </w:rPr>
            </w:pPr>
            <w:r w:rsidRPr="00F36550">
              <w:rPr>
                <w:rFonts w:ascii="Lucida Bright" w:hAnsi="Lucida Bright" w:cs="Calibri"/>
                <w:color w:val="000000"/>
                <w:sz w:val="18"/>
                <w:szCs w:val="18"/>
                <w:lang w:val="es-ES"/>
              </w:rPr>
              <w:t xml:space="preserve">A Reserva de capitalización </w:t>
            </w:r>
          </w:p>
        </w:tc>
        <w:tc>
          <w:tcPr>
            <w:tcW w:w="1480" w:type="dxa"/>
            <w:tcBorders>
              <w:top w:val="single" w:sz="4" w:space="0" w:color="000000"/>
              <w:left w:val="nil"/>
              <w:bottom w:val="single" w:sz="4" w:space="0" w:color="000000"/>
              <w:right w:val="single" w:sz="8" w:space="0" w:color="auto"/>
            </w:tcBorders>
            <w:shd w:val="clear" w:color="auto" w:fill="auto"/>
            <w:noWrap/>
            <w:vAlign w:val="bottom"/>
            <w:hideMark/>
          </w:tcPr>
          <w:p w:rsidR="00F36550" w:rsidRPr="00F36550" w:rsidRDefault="00F36550" w:rsidP="00F36550">
            <w:pPr>
              <w:jc w:val="right"/>
              <w:rPr>
                <w:rFonts w:ascii="Lucida Bright" w:hAnsi="Lucida Bright" w:cs="Calibri"/>
                <w:color w:val="000000"/>
                <w:sz w:val="18"/>
                <w:szCs w:val="18"/>
                <w:lang w:val="es-ES"/>
              </w:rPr>
            </w:pPr>
            <w:r w:rsidRPr="00F36550">
              <w:rPr>
                <w:rFonts w:ascii="Lucida Bright" w:hAnsi="Lucida Bright" w:cs="Calibri"/>
                <w:color w:val="000000"/>
                <w:sz w:val="18"/>
                <w:szCs w:val="18"/>
                <w:lang w:val="es-ES"/>
              </w:rPr>
              <w:t>5.956.021,61</w:t>
            </w:r>
          </w:p>
        </w:tc>
      </w:tr>
      <w:tr w:rsidR="00F36550" w:rsidRPr="00F36550" w:rsidTr="00F36550">
        <w:trPr>
          <w:trHeight w:val="315"/>
        </w:trPr>
        <w:tc>
          <w:tcPr>
            <w:tcW w:w="4900" w:type="dxa"/>
            <w:tcBorders>
              <w:top w:val="nil"/>
              <w:left w:val="single" w:sz="8" w:space="0" w:color="auto"/>
              <w:bottom w:val="single" w:sz="8" w:space="0" w:color="auto"/>
              <w:right w:val="single" w:sz="8" w:space="0" w:color="000000"/>
            </w:tcBorders>
            <w:shd w:val="clear" w:color="auto" w:fill="auto"/>
            <w:noWrap/>
            <w:vAlign w:val="center"/>
            <w:hideMark/>
          </w:tcPr>
          <w:p w:rsidR="00F36550" w:rsidRPr="00F36550" w:rsidRDefault="00F36550" w:rsidP="00F36550">
            <w:pPr>
              <w:rPr>
                <w:rFonts w:ascii="Lucida Bright" w:hAnsi="Lucida Bright" w:cs="Calibri"/>
                <w:color w:val="000000"/>
                <w:sz w:val="18"/>
                <w:szCs w:val="18"/>
                <w:lang w:val="es-ES"/>
              </w:rPr>
            </w:pPr>
            <w:r w:rsidRPr="00F36550">
              <w:rPr>
                <w:rFonts w:ascii="Lucida Bright" w:hAnsi="Lucida Bright" w:cs="Calibri"/>
                <w:color w:val="000000"/>
                <w:sz w:val="18"/>
                <w:szCs w:val="18"/>
                <w:lang w:val="es-ES"/>
              </w:rPr>
              <w:t>Total:</w:t>
            </w:r>
          </w:p>
        </w:tc>
        <w:tc>
          <w:tcPr>
            <w:tcW w:w="1480" w:type="dxa"/>
            <w:tcBorders>
              <w:top w:val="nil"/>
              <w:left w:val="nil"/>
              <w:bottom w:val="single" w:sz="8" w:space="0" w:color="auto"/>
              <w:right w:val="single" w:sz="8" w:space="0" w:color="auto"/>
            </w:tcBorders>
            <w:shd w:val="clear" w:color="auto" w:fill="auto"/>
            <w:noWrap/>
            <w:vAlign w:val="bottom"/>
            <w:hideMark/>
          </w:tcPr>
          <w:p w:rsidR="00F36550" w:rsidRPr="00F36550" w:rsidRDefault="00F36550" w:rsidP="00F36550">
            <w:pPr>
              <w:jc w:val="right"/>
              <w:rPr>
                <w:rFonts w:ascii="Lucida Bright" w:hAnsi="Lucida Bright" w:cs="Calibri"/>
                <w:color w:val="000000"/>
                <w:sz w:val="18"/>
                <w:szCs w:val="18"/>
                <w:lang w:val="es-ES"/>
              </w:rPr>
            </w:pPr>
            <w:r w:rsidRPr="00F36550">
              <w:rPr>
                <w:rFonts w:ascii="Lucida Bright" w:hAnsi="Lucida Bright" w:cs="Calibri"/>
                <w:color w:val="000000"/>
                <w:sz w:val="18"/>
                <w:szCs w:val="18"/>
                <w:lang w:val="es-ES"/>
              </w:rPr>
              <w:t>48.307.184,08</w:t>
            </w:r>
          </w:p>
        </w:tc>
      </w:tr>
    </w:tbl>
    <w:p w:rsidR="00072D1A" w:rsidRPr="00072D1A" w:rsidRDefault="00072D1A" w:rsidP="00072D1A">
      <w:pPr>
        <w:jc w:val="both"/>
      </w:pPr>
    </w:p>
    <w:p w:rsidR="002C4355" w:rsidRDefault="002C4355" w:rsidP="00E775E1">
      <w:pPr>
        <w:pStyle w:val="Default"/>
        <w:ind w:firstLine="567"/>
        <w:jc w:val="both"/>
        <w:rPr>
          <w:rFonts w:ascii="NewBaskerville" w:hAnsi="NewBaskerville"/>
          <w:sz w:val="20"/>
          <w:szCs w:val="20"/>
        </w:rPr>
      </w:pPr>
      <w:r w:rsidRPr="00E775E1">
        <w:rPr>
          <w:rFonts w:ascii="NewBaskerville" w:hAnsi="NewBaskerville"/>
          <w:sz w:val="20"/>
          <w:szCs w:val="20"/>
        </w:rPr>
        <w:t xml:space="preserve">De acuerdo con el artículo </w:t>
      </w:r>
      <w:r w:rsidR="006867D0" w:rsidRPr="00E775E1">
        <w:rPr>
          <w:rFonts w:ascii="NewBaskerville" w:hAnsi="NewBaskerville"/>
          <w:sz w:val="20"/>
          <w:szCs w:val="20"/>
        </w:rPr>
        <w:t xml:space="preserve">39.3 </w:t>
      </w:r>
      <w:r w:rsidR="006F0FC2" w:rsidRPr="00E775E1">
        <w:rPr>
          <w:rFonts w:ascii="NewBaskerville" w:hAnsi="NewBaskerville"/>
          <w:sz w:val="20"/>
          <w:szCs w:val="20"/>
        </w:rPr>
        <w:t>del TRLPEMM</w:t>
      </w:r>
      <w:r w:rsidRPr="00E775E1">
        <w:rPr>
          <w:rFonts w:ascii="NewBaskerville" w:hAnsi="NewBaskerville"/>
          <w:sz w:val="20"/>
          <w:szCs w:val="20"/>
        </w:rPr>
        <w:t>, la propuesta de distribución del resultado d</w:t>
      </w:r>
      <w:r w:rsidR="0020324A" w:rsidRPr="00E775E1">
        <w:rPr>
          <w:rFonts w:ascii="NewBaskerville" w:hAnsi="NewBaskerville"/>
          <w:sz w:val="20"/>
          <w:szCs w:val="20"/>
        </w:rPr>
        <w:t>el ejercicio 202</w:t>
      </w:r>
      <w:r w:rsidR="00287435">
        <w:rPr>
          <w:rFonts w:ascii="NewBaskerville" w:hAnsi="NewBaskerville"/>
          <w:sz w:val="20"/>
          <w:szCs w:val="20"/>
        </w:rPr>
        <w:t>3</w:t>
      </w:r>
      <w:r w:rsidR="00F45BF6">
        <w:rPr>
          <w:rFonts w:ascii="NewBaskerville" w:hAnsi="NewBaskerville"/>
          <w:sz w:val="20"/>
          <w:szCs w:val="20"/>
        </w:rPr>
        <w:t xml:space="preserve">, que ascendió a </w:t>
      </w:r>
      <w:r w:rsidR="00287435">
        <w:rPr>
          <w:rFonts w:ascii="NewBaskerville" w:hAnsi="NewBaskerville"/>
          <w:sz w:val="20"/>
          <w:szCs w:val="20"/>
        </w:rPr>
        <w:t>47</w:t>
      </w:r>
      <w:r w:rsidR="00F45BF6">
        <w:rPr>
          <w:rFonts w:ascii="NewBaskerville" w:hAnsi="NewBaskerville"/>
          <w:sz w:val="20"/>
          <w:szCs w:val="20"/>
        </w:rPr>
        <w:t>.</w:t>
      </w:r>
      <w:r w:rsidR="00287435">
        <w:rPr>
          <w:rFonts w:ascii="NewBaskerville" w:hAnsi="NewBaskerville"/>
          <w:sz w:val="20"/>
          <w:szCs w:val="20"/>
        </w:rPr>
        <w:t>012</w:t>
      </w:r>
      <w:r w:rsidR="00F45BF6">
        <w:rPr>
          <w:rFonts w:ascii="NewBaskerville" w:hAnsi="NewBaskerville"/>
          <w:sz w:val="20"/>
          <w:szCs w:val="20"/>
        </w:rPr>
        <w:t>.</w:t>
      </w:r>
      <w:r w:rsidR="00287435">
        <w:rPr>
          <w:rFonts w:ascii="NewBaskerville" w:hAnsi="NewBaskerville"/>
          <w:sz w:val="20"/>
          <w:szCs w:val="20"/>
        </w:rPr>
        <w:t>107</w:t>
      </w:r>
      <w:r w:rsidR="00F45BF6">
        <w:rPr>
          <w:rFonts w:ascii="NewBaskerville" w:hAnsi="NewBaskerville"/>
          <w:sz w:val="20"/>
          <w:szCs w:val="20"/>
        </w:rPr>
        <w:t>,</w:t>
      </w:r>
      <w:r w:rsidR="00E531F4">
        <w:rPr>
          <w:rFonts w:ascii="NewBaskerville" w:hAnsi="NewBaskerville"/>
          <w:sz w:val="20"/>
          <w:szCs w:val="20"/>
        </w:rPr>
        <w:t>0</w:t>
      </w:r>
      <w:r w:rsidR="00287435">
        <w:rPr>
          <w:rFonts w:ascii="NewBaskerville" w:hAnsi="NewBaskerville"/>
          <w:sz w:val="20"/>
          <w:szCs w:val="20"/>
        </w:rPr>
        <w:t>2</w:t>
      </w:r>
      <w:r w:rsidR="00F45BF6">
        <w:rPr>
          <w:rFonts w:ascii="NewBaskerville" w:hAnsi="NewBaskerville"/>
          <w:sz w:val="20"/>
          <w:szCs w:val="20"/>
        </w:rPr>
        <w:t xml:space="preserve"> euros,</w:t>
      </w:r>
      <w:r w:rsidRPr="00E775E1">
        <w:rPr>
          <w:rFonts w:ascii="NewBaskerville" w:hAnsi="NewBaskerville"/>
          <w:sz w:val="20"/>
          <w:szCs w:val="20"/>
        </w:rPr>
        <w:t xml:space="preserve"> </w:t>
      </w:r>
      <w:r w:rsidR="007D34B3">
        <w:rPr>
          <w:rFonts w:ascii="NewBaskerville" w:hAnsi="NewBaskerville"/>
          <w:sz w:val="20"/>
          <w:szCs w:val="20"/>
        </w:rPr>
        <w:t>aprobada por el Consejo de Administración de la AP</w:t>
      </w:r>
      <w:r w:rsidR="00F45BF6">
        <w:rPr>
          <w:rFonts w:ascii="NewBaskerville" w:hAnsi="NewBaskerville"/>
          <w:sz w:val="20"/>
          <w:szCs w:val="20"/>
        </w:rPr>
        <w:t>B</w:t>
      </w:r>
      <w:r w:rsidR="007D34B3">
        <w:rPr>
          <w:rFonts w:ascii="NewBaskerville" w:hAnsi="NewBaskerville"/>
          <w:sz w:val="20"/>
          <w:szCs w:val="20"/>
        </w:rPr>
        <w:t xml:space="preserve"> en fecha de </w:t>
      </w:r>
      <w:r w:rsidR="00287435">
        <w:rPr>
          <w:rFonts w:ascii="NewBaskerville" w:hAnsi="NewBaskerville"/>
          <w:sz w:val="20"/>
          <w:szCs w:val="20"/>
        </w:rPr>
        <w:t>25</w:t>
      </w:r>
      <w:r w:rsidR="007D34B3">
        <w:rPr>
          <w:rFonts w:ascii="NewBaskerville" w:hAnsi="NewBaskerville"/>
          <w:sz w:val="20"/>
          <w:szCs w:val="20"/>
        </w:rPr>
        <w:t>/06/202</w:t>
      </w:r>
      <w:r w:rsidR="00287435">
        <w:rPr>
          <w:rFonts w:ascii="NewBaskerville" w:hAnsi="NewBaskerville"/>
          <w:sz w:val="20"/>
          <w:szCs w:val="20"/>
        </w:rPr>
        <w:t>4</w:t>
      </w:r>
      <w:r w:rsidR="00F45BF6">
        <w:rPr>
          <w:rFonts w:ascii="NewBaskerville" w:hAnsi="NewBaskerville"/>
          <w:sz w:val="20"/>
          <w:szCs w:val="20"/>
        </w:rPr>
        <w:t>, s</w:t>
      </w:r>
      <w:r w:rsidR="00442E66" w:rsidRPr="00E775E1">
        <w:rPr>
          <w:rFonts w:ascii="NewBaskerville" w:hAnsi="NewBaskerville"/>
          <w:sz w:val="20"/>
          <w:szCs w:val="20"/>
        </w:rPr>
        <w:t>e integró</w:t>
      </w:r>
      <w:r w:rsidRPr="00E775E1">
        <w:rPr>
          <w:rFonts w:ascii="NewBaskerville" w:hAnsi="NewBaskerville"/>
          <w:sz w:val="20"/>
          <w:szCs w:val="20"/>
        </w:rPr>
        <w:t xml:space="preserve"> en la partida “Resultados acumulados” de los fondos propios de </w:t>
      </w:r>
      <w:r w:rsidR="006867D0" w:rsidRPr="00E775E1">
        <w:rPr>
          <w:rFonts w:ascii="NewBaskerville" w:hAnsi="NewBaskerville"/>
          <w:sz w:val="20"/>
          <w:szCs w:val="20"/>
        </w:rPr>
        <w:t xml:space="preserve">esta Autoridad </w:t>
      </w:r>
      <w:r w:rsidR="008155BC" w:rsidRPr="00E775E1">
        <w:rPr>
          <w:rFonts w:ascii="NewBaskerville" w:hAnsi="NewBaskerville"/>
          <w:sz w:val="20"/>
          <w:szCs w:val="20"/>
        </w:rPr>
        <w:t>Portuaria</w:t>
      </w:r>
      <w:r w:rsidR="00442E66" w:rsidRPr="00E775E1">
        <w:rPr>
          <w:rFonts w:ascii="NewBaskerville" w:hAnsi="NewBaskerville"/>
          <w:sz w:val="20"/>
          <w:szCs w:val="20"/>
        </w:rPr>
        <w:t xml:space="preserve"> por importe de </w:t>
      </w:r>
      <w:r w:rsidR="00287435">
        <w:rPr>
          <w:rFonts w:ascii="NewBaskerville" w:hAnsi="NewBaskerville"/>
          <w:sz w:val="20"/>
          <w:szCs w:val="20"/>
        </w:rPr>
        <w:t>43</w:t>
      </w:r>
      <w:r w:rsidR="0020324A" w:rsidRPr="00E775E1">
        <w:rPr>
          <w:rFonts w:ascii="NewBaskerville" w:hAnsi="NewBaskerville"/>
          <w:sz w:val="20"/>
          <w:szCs w:val="20"/>
        </w:rPr>
        <w:t>.</w:t>
      </w:r>
      <w:r w:rsidR="00287435">
        <w:rPr>
          <w:rFonts w:ascii="NewBaskerville" w:hAnsi="NewBaskerville"/>
          <w:sz w:val="20"/>
          <w:szCs w:val="20"/>
        </w:rPr>
        <w:t>726</w:t>
      </w:r>
      <w:r w:rsidR="0020324A" w:rsidRPr="00E775E1">
        <w:rPr>
          <w:rFonts w:ascii="NewBaskerville" w:hAnsi="NewBaskerville"/>
          <w:sz w:val="20"/>
          <w:szCs w:val="20"/>
        </w:rPr>
        <w:t>.</w:t>
      </w:r>
      <w:r w:rsidR="00287435">
        <w:rPr>
          <w:rFonts w:ascii="NewBaskerville" w:hAnsi="NewBaskerville"/>
          <w:sz w:val="20"/>
          <w:szCs w:val="20"/>
        </w:rPr>
        <w:t>500</w:t>
      </w:r>
      <w:r w:rsidR="00E775E1">
        <w:rPr>
          <w:rFonts w:ascii="NewBaskerville" w:hAnsi="NewBaskerville"/>
          <w:sz w:val="20"/>
          <w:szCs w:val="20"/>
        </w:rPr>
        <w:t>,</w:t>
      </w:r>
      <w:r w:rsidR="00E531F4">
        <w:rPr>
          <w:rFonts w:ascii="NewBaskerville" w:hAnsi="NewBaskerville"/>
          <w:sz w:val="20"/>
          <w:szCs w:val="20"/>
        </w:rPr>
        <w:t>4</w:t>
      </w:r>
      <w:r w:rsidR="00287435">
        <w:rPr>
          <w:rFonts w:ascii="NewBaskerville" w:hAnsi="NewBaskerville"/>
          <w:sz w:val="20"/>
          <w:szCs w:val="20"/>
        </w:rPr>
        <w:t>1</w:t>
      </w:r>
      <w:r w:rsidR="00442E66" w:rsidRPr="00E775E1">
        <w:rPr>
          <w:rFonts w:ascii="NewBaskerville" w:hAnsi="NewBaskerville"/>
          <w:sz w:val="20"/>
          <w:szCs w:val="20"/>
        </w:rPr>
        <w:t xml:space="preserve"> euros</w:t>
      </w:r>
      <w:r w:rsidR="00E775E1">
        <w:rPr>
          <w:rFonts w:ascii="NewBaskerville" w:hAnsi="NewBaskerville"/>
          <w:sz w:val="20"/>
          <w:szCs w:val="20"/>
        </w:rPr>
        <w:t xml:space="preserve">, y se dotó la Reserva de Capitalización por importe de </w:t>
      </w:r>
      <w:r w:rsidR="00E531F4">
        <w:rPr>
          <w:rFonts w:ascii="NewBaskerville" w:hAnsi="NewBaskerville"/>
          <w:sz w:val="20"/>
          <w:szCs w:val="20"/>
        </w:rPr>
        <w:t>3</w:t>
      </w:r>
      <w:r w:rsidR="00E775E1">
        <w:rPr>
          <w:rFonts w:ascii="NewBaskerville" w:hAnsi="NewBaskerville"/>
          <w:sz w:val="20"/>
          <w:szCs w:val="20"/>
        </w:rPr>
        <w:t>.</w:t>
      </w:r>
      <w:r w:rsidR="00287435">
        <w:rPr>
          <w:rFonts w:ascii="NewBaskerville" w:hAnsi="NewBaskerville"/>
          <w:sz w:val="20"/>
          <w:szCs w:val="20"/>
        </w:rPr>
        <w:t>285</w:t>
      </w:r>
      <w:r w:rsidR="00E775E1">
        <w:rPr>
          <w:rFonts w:ascii="NewBaskerville" w:hAnsi="NewBaskerville"/>
          <w:sz w:val="20"/>
          <w:szCs w:val="20"/>
        </w:rPr>
        <w:t>.</w:t>
      </w:r>
      <w:r w:rsidR="00287435">
        <w:rPr>
          <w:rFonts w:ascii="NewBaskerville" w:hAnsi="NewBaskerville"/>
          <w:sz w:val="20"/>
          <w:szCs w:val="20"/>
        </w:rPr>
        <w:t>606</w:t>
      </w:r>
      <w:r w:rsidR="00E775E1">
        <w:rPr>
          <w:rFonts w:ascii="NewBaskerville" w:hAnsi="NewBaskerville"/>
          <w:sz w:val="20"/>
          <w:szCs w:val="20"/>
        </w:rPr>
        <w:t>,</w:t>
      </w:r>
      <w:r w:rsidR="00E531F4">
        <w:rPr>
          <w:rFonts w:ascii="NewBaskerville" w:hAnsi="NewBaskerville"/>
          <w:sz w:val="20"/>
          <w:szCs w:val="20"/>
        </w:rPr>
        <w:t>61</w:t>
      </w:r>
      <w:r w:rsidR="00E775E1">
        <w:rPr>
          <w:rFonts w:ascii="NewBaskerville" w:hAnsi="NewBaskerville"/>
          <w:sz w:val="20"/>
          <w:szCs w:val="20"/>
        </w:rPr>
        <w:t xml:space="preserve"> euros.</w:t>
      </w:r>
    </w:p>
    <w:p w:rsidR="00AD400D" w:rsidRDefault="00AD400D" w:rsidP="00E775E1">
      <w:pPr>
        <w:pStyle w:val="Default"/>
        <w:ind w:firstLine="567"/>
        <w:jc w:val="both"/>
        <w:rPr>
          <w:rFonts w:ascii="NewBaskerville" w:hAnsi="NewBaskerville"/>
          <w:sz w:val="20"/>
          <w:szCs w:val="20"/>
        </w:rPr>
      </w:pPr>
    </w:p>
    <w:p w:rsidR="00AD400D" w:rsidRPr="00E775E1" w:rsidRDefault="00AD400D" w:rsidP="00E775E1">
      <w:pPr>
        <w:pStyle w:val="Default"/>
        <w:ind w:firstLine="567"/>
        <w:jc w:val="both"/>
        <w:rPr>
          <w:rFonts w:ascii="NewBaskerville" w:hAnsi="NewBaskerville"/>
          <w:sz w:val="20"/>
          <w:szCs w:val="20"/>
        </w:rPr>
      </w:pPr>
    </w:p>
    <w:p w:rsidR="00385F74" w:rsidRPr="00072D1A" w:rsidRDefault="00385F74">
      <w:pPr>
        <w:ind w:firstLine="568"/>
        <w:jc w:val="both"/>
      </w:pPr>
    </w:p>
    <w:p w:rsidR="002C4355" w:rsidRPr="002D6A11" w:rsidRDefault="00B237A6" w:rsidP="00385F74">
      <w:pPr>
        <w:pStyle w:val="ListParagraph1"/>
        <w:ind w:left="0"/>
        <w:rPr>
          <w:rFonts w:ascii="NewBaskerville" w:hAnsi="NewBaskerville"/>
          <w:b/>
          <w:bCs/>
          <w:sz w:val="24"/>
          <w:szCs w:val="24"/>
        </w:rPr>
      </w:pPr>
      <w:r w:rsidRPr="002D6A11">
        <w:rPr>
          <w:rFonts w:ascii="NewBaskerville" w:hAnsi="NewBaskerville"/>
          <w:b/>
          <w:bCs/>
          <w:sz w:val="24"/>
          <w:szCs w:val="24"/>
        </w:rPr>
        <w:t>4</w:t>
      </w:r>
      <w:r w:rsidR="00385F74" w:rsidRPr="002D6A11">
        <w:rPr>
          <w:rFonts w:ascii="NewBaskerville" w:hAnsi="NewBaskerville"/>
          <w:b/>
          <w:bCs/>
          <w:sz w:val="24"/>
          <w:szCs w:val="24"/>
        </w:rPr>
        <w:t xml:space="preserve">. </w:t>
      </w:r>
      <w:r w:rsidR="002C4355" w:rsidRPr="002D6A11">
        <w:rPr>
          <w:rFonts w:ascii="NewBaskerville" w:hAnsi="NewBaskerville"/>
          <w:b/>
          <w:bCs/>
          <w:sz w:val="24"/>
          <w:szCs w:val="24"/>
        </w:rPr>
        <w:t>Normas de</w:t>
      </w:r>
      <w:r w:rsidR="006F0FC2" w:rsidRPr="002D6A11">
        <w:rPr>
          <w:rFonts w:ascii="NewBaskerville" w:hAnsi="NewBaskerville"/>
          <w:b/>
          <w:bCs/>
          <w:sz w:val="24"/>
          <w:szCs w:val="24"/>
        </w:rPr>
        <w:t xml:space="preserve"> registro y</w:t>
      </w:r>
      <w:r w:rsidR="002C4355" w:rsidRPr="002D6A11">
        <w:rPr>
          <w:rFonts w:ascii="NewBaskerville" w:hAnsi="NewBaskerville"/>
          <w:b/>
          <w:bCs/>
          <w:sz w:val="24"/>
          <w:szCs w:val="24"/>
        </w:rPr>
        <w:t xml:space="preserve"> valoración</w:t>
      </w:r>
    </w:p>
    <w:p w:rsidR="002C4355" w:rsidRPr="00072D1A" w:rsidRDefault="002C4355">
      <w:pPr>
        <w:ind w:firstLine="567"/>
        <w:jc w:val="both"/>
        <w:rPr>
          <w:b/>
          <w:u w:val="single"/>
        </w:rPr>
      </w:pPr>
    </w:p>
    <w:p w:rsidR="002C4355" w:rsidRPr="002D6A11" w:rsidRDefault="002C4355">
      <w:pPr>
        <w:ind w:firstLine="567"/>
        <w:jc w:val="both"/>
        <w:rPr>
          <w:rFonts w:ascii="NewBaskerville" w:hAnsi="NewBaskerville"/>
        </w:rPr>
      </w:pPr>
      <w:r w:rsidRPr="002D6A11">
        <w:rPr>
          <w:rFonts w:ascii="NewBaskerville" w:hAnsi="NewBaskerville"/>
        </w:rPr>
        <w:t>Los criterios contables aplicados en relación con las partidas que se detallan son los siguientes:</w:t>
      </w:r>
    </w:p>
    <w:p w:rsidR="002C4355" w:rsidRPr="00072D1A" w:rsidRDefault="002C4355">
      <w:pPr>
        <w:ind w:firstLine="567"/>
        <w:jc w:val="both"/>
        <w:rPr>
          <w:bCs/>
        </w:rPr>
      </w:pPr>
    </w:p>
    <w:p w:rsidR="002C4355" w:rsidRPr="002D6A11" w:rsidRDefault="002C4355" w:rsidP="00385F74">
      <w:pPr>
        <w:numPr>
          <w:ilvl w:val="0"/>
          <w:numId w:val="3"/>
        </w:numPr>
        <w:tabs>
          <w:tab w:val="clear" w:pos="927"/>
        </w:tabs>
        <w:spacing w:after="120"/>
        <w:ind w:left="567" w:hanging="283"/>
        <w:jc w:val="both"/>
        <w:rPr>
          <w:rFonts w:ascii="NewBaskerville" w:hAnsi="NewBaskerville"/>
          <w:bCs/>
        </w:rPr>
      </w:pPr>
      <w:r w:rsidRPr="002D6A11">
        <w:rPr>
          <w:rFonts w:ascii="NewBaskerville" w:hAnsi="NewBaskerville"/>
          <w:bCs/>
        </w:rPr>
        <w:t>Inmovilizado Intangible</w:t>
      </w:r>
    </w:p>
    <w:p w:rsidR="002C4355" w:rsidRPr="002D6A11" w:rsidRDefault="002C4355">
      <w:pPr>
        <w:pStyle w:val="Sangradetextonormal"/>
        <w:rPr>
          <w:rFonts w:ascii="NewBaskerville" w:hAnsi="NewBaskerville"/>
          <w:sz w:val="20"/>
        </w:rPr>
      </w:pPr>
      <w:r w:rsidRPr="002D6A11">
        <w:rPr>
          <w:rFonts w:ascii="NewBaskerville" w:hAnsi="NewBaskerville"/>
          <w:sz w:val="20"/>
        </w:rPr>
        <w:t>El inmovilizado intangible se valora inicialmente por su coste, ya sea éste el precio de adquisición o el coste de producción.</w:t>
      </w:r>
    </w:p>
    <w:p w:rsidR="002C4355" w:rsidRPr="002D6A11" w:rsidRDefault="002C4355">
      <w:pPr>
        <w:pStyle w:val="Sangradetextonormal"/>
        <w:rPr>
          <w:rFonts w:ascii="NewBaskerville" w:hAnsi="NewBaskerville"/>
          <w:sz w:val="20"/>
        </w:rPr>
      </w:pPr>
    </w:p>
    <w:p w:rsidR="002C4355" w:rsidRPr="002D6A11" w:rsidRDefault="002C4355" w:rsidP="007F140C">
      <w:pPr>
        <w:pStyle w:val="Sangradetextonormal"/>
        <w:rPr>
          <w:rFonts w:ascii="NewBaskerville" w:hAnsi="NewBaskerville"/>
          <w:sz w:val="20"/>
        </w:rPr>
      </w:pPr>
      <w:r w:rsidRPr="002D6A11">
        <w:rPr>
          <w:rFonts w:ascii="NewBaskerville" w:hAnsi="NewBaskerville"/>
          <w:sz w:val="20"/>
        </w:rPr>
        <w:t>Después del reconocimiento inicial, el inmovilizado intangible se valora por su coste, menos la amortización acumulada y, en su caso, el importe acumulado de las correccio</w:t>
      </w:r>
      <w:r w:rsidR="007F140C" w:rsidRPr="002D6A11">
        <w:rPr>
          <w:rFonts w:ascii="NewBaskerville" w:hAnsi="NewBaskerville"/>
          <w:sz w:val="20"/>
        </w:rPr>
        <w:t xml:space="preserve">nes por deterioro registradas. </w:t>
      </w:r>
    </w:p>
    <w:p w:rsidR="002C4355" w:rsidRPr="002D6A11" w:rsidRDefault="002C4355" w:rsidP="005D0B44">
      <w:pPr>
        <w:numPr>
          <w:ilvl w:val="0"/>
          <w:numId w:val="2"/>
        </w:numPr>
        <w:spacing w:before="120"/>
        <w:jc w:val="both"/>
        <w:rPr>
          <w:rFonts w:ascii="NewBaskerville" w:hAnsi="NewBaskerville"/>
        </w:rPr>
      </w:pPr>
      <w:r w:rsidRPr="002D6A11">
        <w:rPr>
          <w:rFonts w:ascii="NewBaskerville" w:hAnsi="NewBaskerville"/>
        </w:rPr>
        <w:t>Aplicaciones informáticas: se encuentran valoradas a su coste de adquisición. Se amortizan por el método lineal en función de la vida útil estimada que será de cinco años desde su puesta en servicio.</w:t>
      </w:r>
    </w:p>
    <w:p w:rsidR="002C4355" w:rsidRPr="002D6A11" w:rsidRDefault="002C4355" w:rsidP="005D0B44">
      <w:pPr>
        <w:numPr>
          <w:ilvl w:val="0"/>
          <w:numId w:val="2"/>
        </w:numPr>
        <w:spacing w:before="120"/>
        <w:jc w:val="both"/>
        <w:rPr>
          <w:rFonts w:ascii="NewBaskerville" w:hAnsi="NewBaskerville"/>
        </w:rPr>
      </w:pPr>
      <w:r w:rsidRPr="002D6A11">
        <w:rPr>
          <w:rFonts w:ascii="NewBaskerville" w:hAnsi="NewBaskerville"/>
        </w:rPr>
        <w:t>Propiedad intelectual: se valora al precio de adquisición y se amortiza por el método lineal en el plazo de diez años desde su adquisición.</w:t>
      </w:r>
    </w:p>
    <w:p w:rsidR="002C4355" w:rsidRDefault="002C4355">
      <w:pPr>
        <w:ind w:firstLine="568"/>
        <w:jc w:val="both"/>
      </w:pPr>
    </w:p>
    <w:p w:rsidR="002C4355" w:rsidRPr="002D6A11" w:rsidRDefault="002C4355" w:rsidP="00385F74">
      <w:pPr>
        <w:numPr>
          <w:ilvl w:val="0"/>
          <w:numId w:val="3"/>
        </w:numPr>
        <w:tabs>
          <w:tab w:val="clear" w:pos="927"/>
        </w:tabs>
        <w:spacing w:after="120"/>
        <w:ind w:left="567" w:hanging="283"/>
        <w:jc w:val="both"/>
        <w:rPr>
          <w:rFonts w:ascii="NewBaskerville" w:hAnsi="NewBaskerville"/>
          <w:bCs/>
        </w:rPr>
      </w:pPr>
      <w:r w:rsidRPr="002D6A11">
        <w:rPr>
          <w:rFonts w:ascii="NewBaskerville" w:hAnsi="NewBaskerville"/>
          <w:bCs/>
        </w:rPr>
        <w:t>Inmovilizado Material</w:t>
      </w:r>
    </w:p>
    <w:p w:rsidR="002C4355" w:rsidRDefault="002C4355">
      <w:pPr>
        <w:pStyle w:val="Sangradetextonormal"/>
        <w:rPr>
          <w:rFonts w:ascii="NewBaskerville" w:hAnsi="NewBaskerville"/>
          <w:sz w:val="20"/>
        </w:rPr>
      </w:pPr>
      <w:r w:rsidRPr="002D6A11">
        <w:rPr>
          <w:rFonts w:ascii="NewBaskerville" w:hAnsi="NewBaskerville"/>
          <w:sz w:val="20"/>
        </w:rPr>
        <w:t>El inmoviliz</w:t>
      </w:r>
      <w:r w:rsidR="00981950" w:rsidRPr="002D6A11">
        <w:rPr>
          <w:rFonts w:ascii="NewBaskerville" w:hAnsi="NewBaskerville"/>
          <w:sz w:val="20"/>
        </w:rPr>
        <w:t>ado material se valora</w:t>
      </w:r>
      <w:r w:rsidRPr="002D6A11">
        <w:rPr>
          <w:rFonts w:ascii="NewBaskerville" w:hAnsi="NewBaskerville"/>
          <w:sz w:val="20"/>
        </w:rPr>
        <w:t xml:space="preserve"> por su coste, ya sea éste el precio de adquisición o el coste de producción. El coste del inmovilizado material adquirido es su valor razonable en la fecha de adquisición.</w:t>
      </w:r>
      <w:r w:rsidR="001D5391">
        <w:rPr>
          <w:rFonts w:ascii="NewBaskerville" w:hAnsi="NewBaskerville"/>
          <w:sz w:val="20"/>
        </w:rPr>
        <w:t xml:space="preserve"> El inmovilizado material adquirido a título gratuito, o sin </w:t>
      </w:r>
      <w:r w:rsidR="003F24D6">
        <w:rPr>
          <w:rFonts w:ascii="NewBaskerville" w:hAnsi="NewBaskerville"/>
          <w:sz w:val="20"/>
        </w:rPr>
        <w:t>contraprestación</w:t>
      </w:r>
      <w:r w:rsidR="001D5391">
        <w:rPr>
          <w:rFonts w:ascii="NewBaskerville" w:hAnsi="NewBaskerville"/>
          <w:sz w:val="20"/>
        </w:rPr>
        <w:t>, se reconoce por su valor razonable, de acuerdo con lo previsto en la norma de registro y valoración sobre subvenciones, donaciones y legados recibidos del Plan General Contable.</w:t>
      </w:r>
    </w:p>
    <w:p w:rsidR="00FF6FC8" w:rsidRPr="002D6A11" w:rsidRDefault="00FF6FC8">
      <w:pPr>
        <w:pStyle w:val="Sangradetextonormal"/>
        <w:rPr>
          <w:rFonts w:ascii="NewBaskerville" w:hAnsi="NewBaskerville"/>
          <w:sz w:val="20"/>
        </w:rPr>
      </w:pPr>
      <w:r>
        <w:rPr>
          <w:rFonts w:ascii="NewBaskerville" w:hAnsi="NewBaskerville"/>
          <w:sz w:val="20"/>
        </w:rPr>
        <w:t>Cesiones gratuitas de otras Administraciones: Las aportaciones patrimoniales de bienes del inmovilizado material realizadas mediante el cambio de la afectación de bienes de dominio público a favor de l</w:t>
      </w:r>
      <w:r w:rsidR="008A13FF">
        <w:rPr>
          <w:rFonts w:ascii="NewBaskerville" w:hAnsi="NewBaskerville"/>
          <w:sz w:val="20"/>
        </w:rPr>
        <w:t>a Autoridad Portuaria, o mediante la adscripción a la misma</w:t>
      </w:r>
      <w:r>
        <w:rPr>
          <w:rFonts w:ascii="NewBaskerville" w:hAnsi="NewBaskerville"/>
          <w:sz w:val="20"/>
        </w:rPr>
        <w:t xml:space="preserve"> de bienes patrimoniales del Estado, se asimila contablemente a las aportaciones de capital no dinerarias, valorándose los bienes de </w:t>
      </w:r>
      <w:r>
        <w:rPr>
          <w:rFonts w:ascii="NewBaskerville" w:hAnsi="NewBaskerville"/>
          <w:sz w:val="20"/>
        </w:rPr>
        <w:lastRenderedPageBreak/>
        <w:t>inmovilizado recibido por su va</w:t>
      </w:r>
      <w:r w:rsidR="004E395C">
        <w:rPr>
          <w:rFonts w:ascii="NewBaskerville" w:hAnsi="NewBaskerville"/>
          <w:sz w:val="20"/>
        </w:rPr>
        <w:t>lor razonable en el momento de la aportación, teniendo como contrapartida la cuenta de “</w:t>
      </w:r>
      <w:r w:rsidR="002F3F15">
        <w:rPr>
          <w:rFonts w:ascii="NewBaskerville" w:hAnsi="NewBaskerville"/>
          <w:sz w:val="20"/>
        </w:rPr>
        <w:t>P</w:t>
      </w:r>
      <w:r w:rsidR="004E395C">
        <w:rPr>
          <w:rFonts w:ascii="NewBaskerville" w:hAnsi="NewBaskerville"/>
          <w:sz w:val="20"/>
        </w:rPr>
        <w:t>atrimonio”.</w:t>
      </w:r>
    </w:p>
    <w:p w:rsidR="002C4355" w:rsidRPr="002D6A11" w:rsidRDefault="002C4355">
      <w:pPr>
        <w:pStyle w:val="Sangradetextonormal"/>
        <w:rPr>
          <w:rFonts w:ascii="NewBaskerville" w:hAnsi="NewBaskerville"/>
          <w:sz w:val="20"/>
        </w:rPr>
      </w:pPr>
    </w:p>
    <w:p w:rsidR="002C4355" w:rsidRPr="002D6A11" w:rsidRDefault="002C4355">
      <w:pPr>
        <w:pStyle w:val="Sangradetextonormal"/>
        <w:rPr>
          <w:rFonts w:ascii="NewBaskerville" w:hAnsi="NewBaskerville"/>
          <w:sz w:val="20"/>
        </w:rPr>
      </w:pPr>
      <w:r w:rsidRPr="002D6A11">
        <w:rPr>
          <w:rFonts w:ascii="NewBaskerville" w:hAnsi="NewBaskerville"/>
          <w:sz w:val="20"/>
        </w:rPr>
        <w:t>Después del reconocimiento inicial, el inmovilizado material se valora por su coste, menos la amortización acumulada y, en su caso, el importe acumulado de las correcciones por deterioro registradas.</w:t>
      </w:r>
    </w:p>
    <w:p w:rsidR="002C4355" w:rsidRPr="002D6A11" w:rsidRDefault="002C4355">
      <w:pPr>
        <w:ind w:firstLine="567"/>
        <w:jc w:val="both"/>
        <w:rPr>
          <w:rFonts w:ascii="NewBaskerville" w:hAnsi="NewBaskerville"/>
        </w:rPr>
      </w:pPr>
    </w:p>
    <w:p w:rsidR="002C4355" w:rsidRPr="002D6A11" w:rsidRDefault="002C4355">
      <w:pPr>
        <w:ind w:firstLine="567"/>
        <w:jc w:val="both"/>
        <w:rPr>
          <w:rFonts w:ascii="NewBaskerville" w:hAnsi="NewBaskerville"/>
        </w:rPr>
      </w:pPr>
      <w:r w:rsidRPr="002D6A11">
        <w:rPr>
          <w:rFonts w:ascii="NewBaskerville" w:hAnsi="NewBaskerville"/>
        </w:rPr>
        <w:t xml:space="preserve">La mayor parte de los bienes del activo son bienes de dominio público no correspondiendo a esta Autoridad Portuaria ni la titularidad de dichos bienes ni la facultad de enajenación o gravamen de los mismos. No obstante el dominio público adscrito a esta Autoridad Portuaria es uno de los elementos básicos de su </w:t>
      </w:r>
      <w:r w:rsidR="00394D72" w:rsidRPr="002D6A11">
        <w:rPr>
          <w:rFonts w:ascii="NewBaskerville" w:hAnsi="NewBaskerville"/>
        </w:rPr>
        <w:t>actividad y por ello se dispone</w:t>
      </w:r>
      <w:r w:rsidRPr="002D6A11">
        <w:rPr>
          <w:rFonts w:ascii="NewBaskerville" w:hAnsi="NewBaskerville"/>
        </w:rPr>
        <w:t xml:space="preserve"> de amplios poderes de administración y gestión sobre el mismo y se perciben como propios los ingresos que se derivan de su gestión. Dado que de acuerdo con el </w:t>
      </w:r>
      <w:r w:rsidR="003D4191">
        <w:rPr>
          <w:rFonts w:ascii="NewBaskerville" w:hAnsi="NewBaskerville"/>
        </w:rPr>
        <w:t>P</w:t>
      </w:r>
      <w:r w:rsidRPr="002D6A11">
        <w:rPr>
          <w:rFonts w:ascii="NewBaskerville" w:hAnsi="NewBaskerville"/>
        </w:rPr>
        <w:t xml:space="preserve">lan </w:t>
      </w:r>
      <w:r w:rsidR="003D4191">
        <w:rPr>
          <w:rFonts w:ascii="NewBaskerville" w:hAnsi="NewBaskerville"/>
        </w:rPr>
        <w:t>General C</w:t>
      </w:r>
      <w:r w:rsidRPr="002D6A11">
        <w:rPr>
          <w:rFonts w:ascii="NewBaskerville" w:hAnsi="NewBaskerville"/>
        </w:rPr>
        <w:t>ontable en la contabilización de las operaciones debe atenderse a su realidad económica y no sólo a su forma jurídica, los bienes de dominio público adscritos por tiempo indefinido a esta Autoridad Portuaria para el cumplimiento de sus fines se registran como inmovilizado material o inversiones inmobiliarias.</w:t>
      </w:r>
    </w:p>
    <w:p w:rsidR="002C4355" w:rsidRPr="002D6A11" w:rsidRDefault="002C4355">
      <w:pPr>
        <w:ind w:left="567"/>
        <w:jc w:val="both"/>
        <w:rPr>
          <w:rFonts w:ascii="NewBaskerville" w:hAnsi="NewBaskerville"/>
        </w:rPr>
      </w:pPr>
    </w:p>
    <w:p w:rsidR="002C4355" w:rsidRPr="002D6A11" w:rsidRDefault="002C4355">
      <w:pPr>
        <w:ind w:left="567"/>
        <w:jc w:val="both"/>
        <w:rPr>
          <w:rFonts w:ascii="NewBaskerville" w:hAnsi="NewBaskerville"/>
        </w:rPr>
      </w:pPr>
      <w:r w:rsidRPr="002D6A11">
        <w:rPr>
          <w:rFonts w:ascii="NewBaskerville" w:hAnsi="NewBaskerville"/>
        </w:rPr>
        <w:t>Las adiciones al inmovilizado material corresponden a:</w:t>
      </w:r>
    </w:p>
    <w:p w:rsidR="002C4355" w:rsidRPr="002D6A11" w:rsidRDefault="002C4355">
      <w:pPr>
        <w:ind w:left="567"/>
        <w:jc w:val="both"/>
        <w:rPr>
          <w:rFonts w:ascii="NewBaskerville" w:hAnsi="NewBaskerville"/>
        </w:rPr>
      </w:pPr>
    </w:p>
    <w:p w:rsidR="002C4355" w:rsidRDefault="002C4355" w:rsidP="005D0B44">
      <w:pPr>
        <w:numPr>
          <w:ilvl w:val="0"/>
          <w:numId w:val="6"/>
        </w:numPr>
        <w:jc w:val="both"/>
        <w:rPr>
          <w:rFonts w:ascii="NewBaskerville" w:hAnsi="NewBaskerville"/>
        </w:rPr>
      </w:pPr>
      <w:r w:rsidRPr="002D6A11">
        <w:rPr>
          <w:rFonts w:ascii="NewBaskerville" w:hAnsi="NewBaskerville"/>
        </w:rPr>
        <w:t>Terrenos y bienes adquiridos mediante un título jurídico</w:t>
      </w:r>
      <w:r w:rsidR="002B0831">
        <w:rPr>
          <w:rFonts w:ascii="NewBaskerville" w:hAnsi="NewBaskerville"/>
        </w:rPr>
        <w:t>.</w:t>
      </w:r>
    </w:p>
    <w:p w:rsidR="002B0831" w:rsidRPr="002D6A11" w:rsidRDefault="002B0831" w:rsidP="005D0B44">
      <w:pPr>
        <w:numPr>
          <w:ilvl w:val="0"/>
          <w:numId w:val="6"/>
        </w:numPr>
        <w:jc w:val="both"/>
        <w:rPr>
          <w:rFonts w:ascii="NewBaskerville" w:hAnsi="NewBaskerville"/>
        </w:rPr>
      </w:pPr>
      <w:r>
        <w:rPr>
          <w:rFonts w:ascii="NewBaskerville" w:hAnsi="NewBaskerville"/>
        </w:rPr>
        <w:t>La afectación de bienes mediante la transferencia desde otras Administraciones.</w:t>
      </w:r>
    </w:p>
    <w:p w:rsidR="002C4355" w:rsidRPr="002D6A11" w:rsidRDefault="00981950" w:rsidP="005D0B44">
      <w:pPr>
        <w:numPr>
          <w:ilvl w:val="0"/>
          <w:numId w:val="6"/>
        </w:numPr>
        <w:jc w:val="both"/>
        <w:rPr>
          <w:rFonts w:ascii="NewBaskerville" w:hAnsi="NewBaskerville"/>
        </w:rPr>
      </w:pPr>
      <w:r w:rsidRPr="002D6A11">
        <w:rPr>
          <w:rFonts w:ascii="NewBaskerville" w:hAnsi="NewBaskerville"/>
        </w:rPr>
        <w:t>O</w:t>
      </w:r>
      <w:r w:rsidR="002C4355" w:rsidRPr="002D6A11">
        <w:rPr>
          <w:rFonts w:ascii="NewBaskerville" w:hAnsi="NewBaskerville"/>
        </w:rPr>
        <w:t>bras realizadas sobre el dominio público portuario</w:t>
      </w:r>
      <w:r w:rsidR="008E090B">
        <w:rPr>
          <w:rFonts w:ascii="NewBaskerville" w:hAnsi="NewBaskerville"/>
        </w:rPr>
        <w:t>.</w:t>
      </w:r>
    </w:p>
    <w:p w:rsidR="002C4355" w:rsidRPr="002D6A11" w:rsidRDefault="002C4355" w:rsidP="00981950">
      <w:pPr>
        <w:ind w:left="1287"/>
        <w:jc w:val="both"/>
        <w:rPr>
          <w:rFonts w:ascii="NewBaskerville" w:hAnsi="NewBaskerville"/>
        </w:rPr>
      </w:pPr>
    </w:p>
    <w:p w:rsidR="002C4355" w:rsidRPr="002D6A11" w:rsidRDefault="002C4355">
      <w:pPr>
        <w:pStyle w:val="Sangra3detindependiente"/>
        <w:tabs>
          <w:tab w:val="clear" w:pos="5671"/>
          <w:tab w:val="clear" w:pos="7797"/>
        </w:tabs>
        <w:rPr>
          <w:rFonts w:ascii="NewBaskerville" w:hAnsi="NewBaskerville"/>
          <w:sz w:val="20"/>
          <w:szCs w:val="20"/>
        </w:rPr>
      </w:pPr>
      <w:r w:rsidRPr="002D6A11">
        <w:rPr>
          <w:rFonts w:ascii="NewBaskerville" w:hAnsi="NewBaskerville"/>
          <w:sz w:val="20"/>
          <w:szCs w:val="20"/>
        </w:rPr>
        <w:t>En cuanto a los espacios de agua incluidos en la zona de servicio de los puertos se considera que no deben ser objeto de valoración contable por la dificultad de estimar su valor razonable inicial careciendo igualmente de precio de adquisición, coste de producción o de cualquier tipo de mercado.</w:t>
      </w:r>
    </w:p>
    <w:p w:rsidR="002C4355" w:rsidRPr="002D6A11" w:rsidRDefault="002C4355">
      <w:pPr>
        <w:ind w:firstLine="540"/>
        <w:jc w:val="both"/>
        <w:rPr>
          <w:rFonts w:ascii="NewBaskerville" w:hAnsi="NewBaskerville"/>
        </w:rPr>
      </w:pPr>
    </w:p>
    <w:p w:rsidR="002C4355" w:rsidRPr="002D6A11" w:rsidRDefault="002C4355">
      <w:pPr>
        <w:ind w:firstLine="568"/>
        <w:jc w:val="both"/>
        <w:rPr>
          <w:rFonts w:ascii="NewBaskerville" w:hAnsi="NewBaskerville"/>
        </w:rPr>
      </w:pPr>
      <w:r w:rsidRPr="002D6A11">
        <w:rPr>
          <w:rFonts w:ascii="NewBaskerville" w:hAnsi="NewBaskerville"/>
        </w:rPr>
        <w:t xml:space="preserve">Las reparaciones que no representan una ampliación de la vida útil y los gastos de mantenimiento y conservación son cargados a la </w:t>
      </w:r>
      <w:r w:rsidR="003D4191">
        <w:rPr>
          <w:rFonts w:ascii="NewBaskerville" w:hAnsi="NewBaskerville"/>
        </w:rPr>
        <w:t>c</w:t>
      </w:r>
      <w:r w:rsidRPr="002D6A11">
        <w:rPr>
          <w:rFonts w:ascii="NewBaskerville" w:hAnsi="NewBaskerville"/>
        </w:rPr>
        <w:t xml:space="preserve">uenta de </w:t>
      </w:r>
      <w:r w:rsidR="003D4191">
        <w:rPr>
          <w:rFonts w:ascii="NewBaskerville" w:hAnsi="NewBaskerville"/>
        </w:rPr>
        <w:t>p</w:t>
      </w:r>
      <w:r w:rsidRPr="002D6A11">
        <w:rPr>
          <w:rFonts w:ascii="NewBaskerville" w:hAnsi="NewBaskerville"/>
        </w:rPr>
        <w:t xml:space="preserve">érdidas y </w:t>
      </w:r>
      <w:r w:rsidR="003D4191">
        <w:rPr>
          <w:rFonts w:ascii="NewBaskerville" w:hAnsi="NewBaskerville"/>
        </w:rPr>
        <w:t>g</w:t>
      </w:r>
      <w:r w:rsidRPr="002D6A11">
        <w:rPr>
          <w:rFonts w:ascii="NewBaskerville" w:hAnsi="NewBaskerville"/>
        </w:rPr>
        <w:t>anancias del ejercicio en que se incurren. Los gastos de ampliación, renovación o mejora que dan lugar a un alargamiento de la vida útil del bien o un aumento de su capacidad son capitalizados como un mayor coste del mismo.</w:t>
      </w:r>
    </w:p>
    <w:p w:rsidR="002C4355" w:rsidRPr="002D6A11" w:rsidRDefault="002C4355">
      <w:pPr>
        <w:ind w:firstLine="568"/>
        <w:jc w:val="both"/>
        <w:rPr>
          <w:rFonts w:ascii="NewBaskerville" w:hAnsi="NewBaskerville"/>
        </w:rPr>
      </w:pPr>
    </w:p>
    <w:p w:rsidR="002C4355" w:rsidRPr="002D6A11" w:rsidRDefault="002C4355">
      <w:pPr>
        <w:ind w:firstLine="568"/>
        <w:jc w:val="both"/>
        <w:rPr>
          <w:rFonts w:ascii="NewBaskerville" w:hAnsi="NewBaskerville"/>
        </w:rPr>
      </w:pPr>
      <w:r w:rsidRPr="002D6A11">
        <w:rPr>
          <w:rFonts w:ascii="NewBaskerville" w:hAnsi="NewBaskerville"/>
        </w:rPr>
        <w:t>El inmovilizado material en curso se presenta a su coste de adquisición y no se amortiza hasta que se procede a su incorporación al inmovilizado. Las obras se incorporan cuando se realiza su recepción provisional y los bienes adquiridos en el momento de su puesta en funcionamiento.</w:t>
      </w:r>
    </w:p>
    <w:p w:rsidR="002C4355" w:rsidRPr="002D6A11" w:rsidRDefault="002C4355">
      <w:pPr>
        <w:ind w:firstLine="567"/>
        <w:jc w:val="both"/>
        <w:rPr>
          <w:rFonts w:ascii="NewBaskerville" w:hAnsi="NewBaskerville"/>
        </w:rPr>
      </w:pPr>
    </w:p>
    <w:p w:rsidR="002C4355" w:rsidRPr="002D6A11" w:rsidRDefault="002C4355">
      <w:pPr>
        <w:ind w:firstLine="568"/>
        <w:jc w:val="both"/>
        <w:rPr>
          <w:rFonts w:ascii="NewBaskerville" w:hAnsi="NewBaskerville"/>
        </w:rPr>
      </w:pPr>
      <w:r w:rsidRPr="002D6A11">
        <w:rPr>
          <w:rFonts w:ascii="NewBaskerville" w:hAnsi="NewBaskerville"/>
        </w:rPr>
        <w:t>La dotación anual a la amortización se calcula por el método lineal en función de la vida útil estimada de los diferentes bienes, distribuyéndose los costes de amortización linealmente a lo largo de la vida útil del bien.</w:t>
      </w:r>
    </w:p>
    <w:p w:rsidR="002C4355" w:rsidRPr="002D6A11" w:rsidRDefault="002C4355">
      <w:pPr>
        <w:jc w:val="both"/>
        <w:rPr>
          <w:rFonts w:ascii="NewBaskerville" w:hAnsi="NewBaskerville"/>
        </w:rPr>
      </w:pPr>
    </w:p>
    <w:p w:rsidR="007D42E0" w:rsidRDefault="002C4355" w:rsidP="00D3476A">
      <w:pPr>
        <w:spacing w:after="100"/>
        <w:ind w:firstLine="568"/>
        <w:jc w:val="both"/>
        <w:rPr>
          <w:rFonts w:ascii="NewBaskerville" w:hAnsi="NewBaskerville"/>
        </w:rPr>
      </w:pPr>
      <w:r w:rsidRPr="002D6A11">
        <w:rPr>
          <w:rFonts w:ascii="NewBaskerville" w:hAnsi="NewBaskerville"/>
        </w:rPr>
        <w:t>La vida útil estimada</w:t>
      </w:r>
      <w:r w:rsidR="00234116">
        <w:rPr>
          <w:rFonts w:ascii="NewBaskerville" w:hAnsi="NewBaskerville"/>
        </w:rPr>
        <w:t xml:space="preserve"> y </w:t>
      </w:r>
      <w:r w:rsidR="003E2475">
        <w:rPr>
          <w:rFonts w:ascii="NewBaskerville" w:hAnsi="NewBaskerville"/>
        </w:rPr>
        <w:t>los coeficientes de amortización</w:t>
      </w:r>
      <w:r w:rsidRPr="002D6A11">
        <w:rPr>
          <w:rFonts w:ascii="NewBaskerville" w:hAnsi="NewBaskerville"/>
        </w:rPr>
        <w:t xml:space="preserve"> de los diferentes bienes del inmovilizado material </w:t>
      </w:r>
      <w:r w:rsidR="00234116">
        <w:rPr>
          <w:rFonts w:ascii="NewBaskerville" w:hAnsi="NewBaskerville"/>
        </w:rPr>
        <w:t>aplicados</w:t>
      </w:r>
      <w:r w:rsidRPr="002D6A11">
        <w:rPr>
          <w:rFonts w:ascii="NewBaskerville" w:hAnsi="NewBaskerville"/>
        </w:rPr>
        <w:t xml:space="preserve">, según </w:t>
      </w:r>
      <w:r w:rsidR="00482FAC">
        <w:rPr>
          <w:rFonts w:ascii="NewBaskerville" w:hAnsi="NewBaskerville"/>
        </w:rPr>
        <w:t xml:space="preserve">la Directriz del Presidente de Puertos del Estado de </w:t>
      </w:r>
      <w:r w:rsidR="00C253F1">
        <w:rPr>
          <w:rFonts w:ascii="NewBaskerville" w:hAnsi="NewBaskerville"/>
        </w:rPr>
        <w:t xml:space="preserve">26 </w:t>
      </w:r>
      <w:r w:rsidR="00482FAC">
        <w:rPr>
          <w:rFonts w:ascii="NewBaskerville" w:hAnsi="NewBaskerville"/>
        </w:rPr>
        <w:t>julio del 2021, y ampliada por la Directriz del Presidente de Puertos del Estado de 28 de febrero de 2025</w:t>
      </w:r>
      <w:r w:rsidR="00234116">
        <w:rPr>
          <w:rFonts w:ascii="NewBaskerville" w:hAnsi="NewBaskerville"/>
        </w:rPr>
        <w:t>, son:</w:t>
      </w:r>
    </w:p>
    <w:p w:rsidR="00A32003" w:rsidRDefault="00A32003" w:rsidP="00D3476A">
      <w:pPr>
        <w:spacing w:after="100"/>
        <w:ind w:firstLine="568"/>
        <w:jc w:val="both"/>
        <w:rPr>
          <w:rFonts w:ascii="NewBaskerville" w:hAnsi="NewBaskerville"/>
        </w:rPr>
      </w:pPr>
    </w:p>
    <w:p w:rsidR="00482FAC" w:rsidRDefault="00482FAC" w:rsidP="00D3476A">
      <w:pPr>
        <w:spacing w:after="100"/>
        <w:ind w:firstLine="568"/>
        <w:jc w:val="both"/>
        <w:rPr>
          <w:rFonts w:ascii="NewBaskerville" w:hAnsi="NewBaskerville"/>
        </w:rPr>
      </w:pPr>
    </w:p>
    <w:p w:rsidR="009B3D40" w:rsidRDefault="009B3D40" w:rsidP="00D3476A">
      <w:pPr>
        <w:spacing w:after="100"/>
        <w:ind w:firstLine="568"/>
        <w:jc w:val="both"/>
        <w:rPr>
          <w:rFonts w:ascii="NewBaskerville" w:hAnsi="NewBaskerville"/>
        </w:rPr>
      </w:pPr>
    </w:p>
    <w:p w:rsidR="00482FAC" w:rsidRDefault="00482FAC" w:rsidP="00D3476A">
      <w:pPr>
        <w:spacing w:after="100"/>
        <w:ind w:firstLine="568"/>
        <w:jc w:val="both"/>
        <w:rPr>
          <w:rFonts w:ascii="NewBaskerville" w:hAnsi="NewBaskerville"/>
        </w:rPr>
      </w:pPr>
    </w:p>
    <w:p w:rsidR="00482FAC" w:rsidRDefault="00482FAC" w:rsidP="00D3476A">
      <w:pPr>
        <w:spacing w:after="100"/>
        <w:ind w:firstLine="568"/>
        <w:jc w:val="both"/>
        <w:rPr>
          <w:rFonts w:ascii="NewBaskerville" w:hAnsi="NewBaskerville"/>
        </w:rPr>
      </w:pPr>
    </w:p>
    <w:p w:rsidR="00A32003" w:rsidRDefault="00A32003" w:rsidP="00D3476A">
      <w:pPr>
        <w:spacing w:after="100"/>
        <w:ind w:firstLine="568"/>
        <w:jc w:val="both"/>
        <w:rPr>
          <w:rFonts w:ascii="NewBaskerville" w:hAnsi="NewBaskerville"/>
        </w:rPr>
      </w:pPr>
    </w:p>
    <w:p w:rsidR="00234116" w:rsidRDefault="00234116" w:rsidP="00234116">
      <w:pPr>
        <w:jc w:val="both"/>
        <w:rPr>
          <w:rFonts w:ascii="NewBaskerville" w:hAnsi="NewBaskerville"/>
        </w:rPr>
      </w:pPr>
    </w:p>
    <w:tbl>
      <w:tblPr>
        <w:tblW w:w="8920" w:type="dxa"/>
        <w:tblInd w:w="55" w:type="dxa"/>
        <w:tblCellMar>
          <w:left w:w="70" w:type="dxa"/>
          <w:right w:w="70" w:type="dxa"/>
        </w:tblCellMar>
        <w:tblLook w:val="04A0" w:firstRow="1" w:lastRow="0" w:firstColumn="1" w:lastColumn="0" w:noHBand="0" w:noVBand="1"/>
      </w:tblPr>
      <w:tblGrid>
        <w:gridCol w:w="1460"/>
        <w:gridCol w:w="5140"/>
        <w:gridCol w:w="860"/>
        <w:gridCol w:w="1460"/>
      </w:tblGrid>
      <w:tr w:rsidR="00C659F8" w:rsidRPr="00C659F8" w:rsidTr="00C659F8">
        <w:trPr>
          <w:trHeight w:val="330"/>
        </w:trPr>
        <w:tc>
          <w:tcPr>
            <w:tcW w:w="6600" w:type="dxa"/>
            <w:gridSpan w:val="2"/>
            <w:tcBorders>
              <w:top w:val="single" w:sz="12" w:space="0" w:color="auto"/>
              <w:left w:val="single" w:sz="12" w:space="0" w:color="auto"/>
              <w:bottom w:val="single" w:sz="8" w:space="0" w:color="auto"/>
              <w:right w:val="single" w:sz="8" w:space="0" w:color="000000"/>
            </w:tcBorders>
            <w:shd w:val="clear" w:color="000000" w:fill="CCFFCC"/>
            <w:noWrap/>
            <w:vAlign w:val="center"/>
            <w:hideMark/>
          </w:tcPr>
          <w:p w:rsidR="00C659F8" w:rsidRPr="00C659F8" w:rsidRDefault="00C659F8" w:rsidP="00C659F8">
            <w:pPr>
              <w:jc w:val="center"/>
              <w:rPr>
                <w:rFonts w:ascii="Lucida Bright" w:hAnsi="Lucida Bright" w:cs="Calibri"/>
                <w:b/>
                <w:bCs/>
                <w:sz w:val="18"/>
                <w:szCs w:val="18"/>
                <w:lang w:val="es-ES"/>
              </w:rPr>
            </w:pPr>
            <w:r w:rsidRPr="00C659F8">
              <w:rPr>
                <w:rFonts w:ascii="Lucida Bright" w:hAnsi="Lucida Bright" w:cs="Calibri"/>
                <w:b/>
                <w:bCs/>
                <w:sz w:val="18"/>
                <w:szCs w:val="18"/>
                <w:lang w:val="es-ES"/>
              </w:rPr>
              <w:lastRenderedPageBreak/>
              <w:t>BIENES</w:t>
            </w:r>
          </w:p>
        </w:tc>
        <w:tc>
          <w:tcPr>
            <w:tcW w:w="860" w:type="dxa"/>
            <w:vMerge w:val="restart"/>
            <w:tcBorders>
              <w:top w:val="single" w:sz="12" w:space="0" w:color="auto"/>
              <w:left w:val="single" w:sz="8" w:space="0" w:color="auto"/>
              <w:bottom w:val="single" w:sz="8" w:space="0" w:color="000000"/>
              <w:right w:val="single" w:sz="8" w:space="0" w:color="auto"/>
            </w:tcBorders>
            <w:shd w:val="clear" w:color="000000" w:fill="CCFFCC"/>
            <w:vAlign w:val="center"/>
            <w:hideMark/>
          </w:tcPr>
          <w:p w:rsidR="00C659F8" w:rsidRPr="00C659F8" w:rsidRDefault="00C659F8" w:rsidP="00C659F8">
            <w:pPr>
              <w:jc w:val="center"/>
              <w:rPr>
                <w:rFonts w:ascii="Lucida Bright" w:hAnsi="Lucida Bright" w:cs="Calibri"/>
                <w:b/>
                <w:bCs/>
                <w:sz w:val="18"/>
                <w:szCs w:val="18"/>
                <w:lang w:val="es-ES"/>
              </w:rPr>
            </w:pPr>
            <w:r w:rsidRPr="00C659F8">
              <w:rPr>
                <w:rFonts w:ascii="Lucida Bright" w:hAnsi="Lucida Bright" w:cs="Calibri"/>
                <w:b/>
                <w:bCs/>
                <w:sz w:val="18"/>
                <w:szCs w:val="18"/>
                <w:lang w:val="es-ES"/>
              </w:rPr>
              <w:t>Años de</w:t>
            </w:r>
            <w:r w:rsidRPr="00C659F8">
              <w:rPr>
                <w:rFonts w:ascii="Lucida Bright" w:hAnsi="Lucida Bright" w:cs="Calibri"/>
                <w:b/>
                <w:bCs/>
                <w:sz w:val="18"/>
                <w:szCs w:val="18"/>
                <w:lang w:val="es-ES"/>
              </w:rPr>
              <w:br/>
              <w:t>Vida</w:t>
            </w:r>
            <w:r w:rsidRPr="00C659F8">
              <w:rPr>
                <w:rFonts w:ascii="Lucida Bright" w:hAnsi="Lucida Bright" w:cs="Calibri"/>
                <w:b/>
                <w:bCs/>
                <w:sz w:val="18"/>
                <w:szCs w:val="18"/>
                <w:lang w:val="es-ES"/>
              </w:rPr>
              <w:br/>
              <w:t>Útil</w:t>
            </w:r>
          </w:p>
        </w:tc>
        <w:tc>
          <w:tcPr>
            <w:tcW w:w="1460" w:type="dxa"/>
            <w:vMerge w:val="restart"/>
            <w:tcBorders>
              <w:top w:val="single" w:sz="12" w:space="0" w:color="auto"/>
              <w:left w:val="single" w:sz="8" w:space="0" w:color="auto"/>
              <w:bottom w:val="single" w:sz="8" w:space="0" w:color="000000"/>
              <w:right w:val="single" w:sz="12" w:space="0" w:color="auto"/>
            </w:tcBorders>
            <w:shd w:val="clear" w:color="000000" w:fill="CCFFCC"/>
            <w:vAlign w:val="center"/>
            <w:hideMark/>
          </w:tcPr>
          <w:p w:rsidR="00C659F8" w:rsidRPr="00C659F8" w:rsidRDefault="00C659F8" w:rsidP="00C659F8">
            <w:pPr>
              <w:jc w:val="center"/>
              <w:rPr>
                <w:rFonts w:ascii="Lucida Bright" w:hAnsi="Lucida Bright" w:cs="Calibri"/>
                <w:b/>
                <w:bCs/>
                <w:sz w:val="18"/>
                <w:szCs w:val="18"/>
                <w:lang w:val="es-ES"/>
              </w:rPr>
            </w:pPr>
            <w:r w:rsidRPr="00C659F8">
              <w:rPr>
                <w:rFonts w:ascii="Lucida Bright" w:hAnsi="Lucida Bright" w:cs="Calibri"/>
                <w:b/>
                <w:bCs/>
                <w:sz w:val="18"/>
                <w:szCs w:val="18"/>
                <w:lang w:val="es-ES"/>
              </w:rPr>
              <w:t>%</w:t>
            </w:r>
            <w:r w:rsidRPr="00C659F8">
              <w:rPr>
                <w:rFonts w:ascii="Lucida Bright" w:hAnsi="Lucida Bright" w:cs="Calibri"/>
                <w:b/>
                <w:bCs/>
                <w:sz w:val="18"/>
                <w:szCs w:val="18"/>
                <w:lang w:val="es-ES"/>
              </w:rPr>
              <w:br/>
              <w:t>Amortización</w:t>
            </w:r>
            <w:r w:rsidRPr="00C659F8">
              <w:rPr>
                <w:rFonts w:ascii="Lucida Bright" w:hAnsi="Lucida Bright" w:cs="Calibri"/>
                <w:b/>
                <w:bCs/>
                <w:sz w:val="18"/>
                <w:szCs w:val="18"/>
                <w:lang w:val="es-ES"/>
              </w:rPr>
              <w:br/>
              <w:t>Anual</w:t>
            </w:r>
          </w:p>
        </w:tc>
      </w:tr>
      <w:tr w:rsidR="00C659F8" w:rsidRPr="00C659F8" w:rsidTr="00C659F8">
        <w:trPr>
          <w:trHeight w:val="735"/>
        </w:trPr>
        <w:tc>
          <w:tcPr>
            <w:tcW w:w="1460" w:type="dxa"/>
            <w:tcBorders>
              <w:top w:val="nil"/>
              <w:left w:val="single" w:sz="12" w:space="0" w:color="auto"/>
              <w:bottom w:val="single" w:sz="8" w:space="0" w:color="auto"/>
              <w:right w:val="single" w:sz="8" w:space="0" w:color="auto"/>
            </w:tcBorders>
            <w:shd w:val="clear" w:color="000000" w:fill="CCFFCC"/>
            <w:vAlign w:val="center"/>
            <w:hideMark/>
          </w:tcPr>
          <w:p w:rsidR="00C659F8" w:rsidRPr="00C659F8" w:rsidRDefault="00C659F8" w:rsidP="00C659F8">
            <w:pPr>
              <w:jc w:val="center"/>
              <w:rPr>
                <w:rFonts w:ascii="Lucida Bright" w:hAnsi="Lucida Bright" w:cs="Calibri"/>
                <w:b/>
                <w:bCs/>
                <w:sz w:val="18"/>
                <w:szCs w:val="18"/>
                <w:lang w:val="es-ES"/>
              </w:rPr>
            </w:pPr>
            <w:r w:rsidRPr="00C659F8">
              <w:rPr>
                <w:rFonts w:ascii="Lucida Bright" w:hAnsi="Lucida Bright" w:cs="Calibri"/>
                <w:b/>
                <w:bCs/>
                <w:sz w:val="18"/>
                <w:szCs w:val="18"/>
                <w:lang w:val="es-ES"/>
              </w:rPr>
              <w:t>Clasificación</w:t>
            </w:r>
            <w:r w:rsidRPr="00C659F8">
              <w:rPr>
                <w:rFonts w:ascii="Lucida Bright" w:hAnsi="Lucida Bright" w:cs="Calibri"/>
                <w:b/>
                <w:bCs/>
                <w:sz w:val="18"/>
                <w:szCs w:val="18"/>
                <w:lang w:val="es-ES"/>
              </w:rPr>
              <w:br/>
              <w:t>Funcional</w:t>
            </w:r>
          </w:p>
        </w:tc>
        <w:tc>
          <w:tcPr>
            <w:tcW w:w="5140" w:type="dxa"/>
            <w:tcBorders>
              <w:top w:val="nil"/>
              <w:left w:val="nil"/>
              <w:bottom w:val="single" w:sz="8" w:space="0" w:color="auto"/>
              <w:right w:val="single" w:sz="8" w:space="0" w:color="auto"/>
            </w:tcBorders>
            <w:shd w:val="clear" w:color="000000" w:fill="CCFFCC"/>
            <w:noWrap/>
            <w:vAlign w:val="center"/>
            <w:hideMark/>
          </w:tcPr>
          <w:p w:rsidR="00C659F8" w:rsidRPr="00C659F8" w:rsidRDefault="00C659F8" w:rsidP="00C659F8">
            <w:pPr>
              <w:jc w:val="center"/>
              <w:rPr>
                <w:rFonts w:ascii="Lucida Bright" w:hAnsi="Lucida Bright" w:cs="Calibri"/>
                <w:b/>
                <w:bCs/>
                <w:sz w:val="18"/>
                <w:szCs w:val="18"/>
                <w:lang w:val="es-ES"/>
              </w:rPr>
            </w:pPr>
            <w:r w:rsidRPr="00C659F8">
              <w:rPr>
                <w:rFonts w:ascii="Lucida Bright" w:hAnsi="Lucida Bright" w:cs="Calibri"/>
                <w:b/>
                <w:bCs/>
                <w:sz w:val="18"/>
                <w:szCs w:val="18"/>
                <w:lang w:val="es-ES"/>
              </w:rPr>
              <w:t>Descripción</w:t>
            </w:r>
          </w:p>
        </w:tc>
        <w:tc>
          <w:tcPr>
            <w:tcW w:w="860" w:type="dxa"/>
            <w:vMerge/>
            <w:tcBorders>
              <w:top w:val="single" w:sz="12" w:space="0" w:color="auto"/>
              <w:left w:val="single" w:sz="8" w:space="0" w:color="auto"/>
              <w:bottom w:val="single" w:sz="8" w:space="0" w:color="000000"/>
              <w:right w:val="single" w:sz="8" w:space="0" w:color="auto"/>
            </w:tcBorders>
            <w:vAlign w:val="center"/>
            <w:hideMark/>
          </w:tcPr>
          <w:p w:rsidR="00C659F8" w:rsidRPr="00C659F8" w:rsidRDefault="00C659F8" w:rsidP="00C659F8">
            <w:pPr>
              <w:rPr>
                <w:rFonts w:ascii="Lucida Bright" w:hAnsi="Lucida Bright" w:cs="Calibri"/>
                <w:b/>
                <w:bCs/>
                <w:sz w:val="18"/>
                <w:szCs w:val="18"/>
                <w:lang w:val="es-ES"/>
              </w:rPr>
            </w:pPr>
          </w:p>
        </w:tc>
        <w:tc>
          <w:tcPr>
            <w:tcW w:w="1460" w:type="dxa"/>
            <w:vMerge/>
            <w:tcBorders>
              <w:top w:val="single" w:sz="12" w:space="0" w:color="auto"/>
              <w:left w:val="single" w:sz="8" w:space="0" w:color="auto"/>
              <w:bottom w:val="single" w:sz="8" w:space="0" w:color="000000"/>
              <w:right w:val="single" w:sz="12" w:space="0" w:color="auto"/>
            </w:tcBorders>
            <w:vAlign w:val="center"/>
            <w:hideMark/>
          </w:tcPr>
          <w:p w:rsidR="00C659F8" w:rsidRPr="00C659F8" w:rsidRDefault="00C659F8" w:rsidP="00C659F8">
            <w:pPr>
              <w:rPr>
                <w:rFonts w:ascii="Lucida Bright" w:hAnsi="Lucida Bright" w:cs="Calibri"/>
                <w:b/>
                <w:bCs/>
                <w:sz w:val="18"/>
                <w:szCs w:val="18"/>
                <w:lang w:val="es-ES"/>
              </w:rPr>
            </w:pP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b/>
                <w:bCs/>
                <w:sz w:val="18"/>
                <w:szCs w:val="18"/>
                <w:lang w:val="es-ES"/>
              </w:rPr>
            </w:pPr>
            <w:r w:rsidRPr="00C659F8">
              <w:rPr>
                <w:rFonts w:ascii="Lucida Bright" w:hAnsi="Lucida Bright" w:cs="Calibri"/>
                <w:b/>
                <w:bCs/>
                <w:sz w:val="18"/>
                <w:szCs w:val="18"/>
                <w:lang w:val="es-ES"/>
              </w:rPr>
              <w:t>01</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b/>
                <w:bCs/>
                <w:sz w:val="18"/>
                <w:szCs w:val="18"/>
                <w:lang w:val="es-ES"/>
              </w:rPr>
            </w:pPr>
            <w:r w:rsidRPr="00C659F8">
              <w:rPr>
                <w:rFonts w:ascii="Lucida Bright" w:hAnsi="Lucida Bright" w:cs="Calibri"/>
                <w:b/>
                <w:bCs/>
                <w:sz w:val="18"/>
                <w:szCs w:val="18"/>
                <w:lang w:val="es-ES"/>
              </w:rPr>
              <w:t>Instalaciones de ayudas a la navegación</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0104</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Instalaciones de ayudas visuales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0105</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Instalaciones de ayudas radioeléctricas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0106</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Instalaciones de gestión y explotación</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b/>
                <w:bCs/>
                <w:sz w:val="18"/>
                <w:szCs w:val="18"/>
                <w:lang w:val="es-ES"/>
              </w:rPr>
            </w:pPr>
            <w:r w:rsidRPr="00C659F8">
              <w:rPr>
                <w:rFonts w:ascii="Lucida Bright" w:hAnsi="Lucida Bright" w:cs="Calibri"/>
                <w:b/>
                <w:bCs/>
                <w:sz w:val="18"/>
                <w:szCs w:val="18"/>
                <w:lang w:val="es-ES"/>
              </w:rPr>
              <w:t>02</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b/>
                <w:bCs/>
                <w:sz w:val="18"/>
                <w:szCs w:val="18"/>
                <w:lang w:val="es-ES"/>
              </w:rPr>
            </w:pPr>
            <w:r w:rsidRPr="00C659F8">
              <w:rPr>
                <w:rFonts w:ascii="Lucida Bright" w:hAnsi="Lucida Bright" w:cs="Calibri"/>
                <w:b/>
                <w:bCs/>
                <w:sz w:val="18"/>
                <w:szCs w:val="18"/>
                <w:lang w:val="es-ES"/>
              </w:rPr>
              <w:t>Accesos marítimos: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0201</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Dragados de primer establecimiento</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50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0203</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Esclusas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75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1,33%</w:t>
            </w:r>
          </w:p>
        </w:tc>
      </w:tr>
      <w:tr w:rsidR="00C659F8" w:rsidRPr="00C659F8" w:rsidTr="00C659F8">
        <w:trPr>
          <w:trHeight w:val="48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0205</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Obras permanentes de encauzamiento y defensa de</w:t>
            </w:r>
            <w:r w:rsidRPr="00C659F8">
              <w:rPr>
                <w:rFonts w:ascii="Lucida Bright" w:hAnsi="Lucida Bright" w:cs="Calibri"/>
                <w:sz w:val="18"/>
                <w:szCs w:val="18"/>
                <w:lang w:val="es-ES"/>
              </w:rPr>
              <w:br/>
              <w:t>márgenes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35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2,86%</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b/>
                <w:bCs/>
                <w:sz w:val="18"/>
                <w:szCs w:val="18"/>
                <w:lang w:val="es-ES"/>
              </w:rPr>
            </w:pPr>
            <w:r w:rsidRPr="00C659F8">
              <w:rPr>
                <w:rFonts w:ascii="Lucida Bright" w:hAnsi="Lucida Bright" w:cs="Calibri"/>
                <w:b/>
                <w:bCs/>
                <w:sz w:val="18"/>
                <w:szCs w:val="18"/>
                <w:lang w:val="es-ES"/>
              </w:rPr>
              <w:t>03</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b/>
                <w:bCs/>
                <w:sz w:val="18"/>
                <w:szCs w:val="18"/>
                <w:lang w:val="es-ES"/>
              </w:rPr>
            </w:pPr>
            <w:r w:rsidRPr="00C659F8">
              <w:rPr>
                <w:rFonts w:ascii="Lucida Bright" w:hAnsi="Lucida Bright" w:cs="Calibri"/>
                <w:b/>
                <w:bCs/>
                <w:sz w:val="18"/>
                <w:szCs w:val="18"/>
                <w:lang w:val="es-ES"/>
              </w:rPr>
              <w:t>Obras de abrigo y defensa:</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0301</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Diques y obras de abrigo</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50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0303</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Escollera de protección de recintos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40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2,50%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b/>
                <w:bCs/>
                <w:sz w:val="18"/>
                <w:szCs w:val="18"/>
                <w:lang w:val="es-ES"/>
              </w:rPr>
            </w:pPr>
            <w:r w:rsidRPr="00C659F8">
              <w:rPr>
                <w:rFonts w:ascii="Lucida Bright" w:hAnsi="Lucida Bright" w:cs="Calibri"/>
                <w:b/>
                <w:bCs/>
                <w:sz w:val="18"/>
                <w:szCs w:val="18"/>
                <w:lang w:val="es-ES"/>
              </w:rPr>
              <w:t>04</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b/>
                <w:bCs/>
                <w:sz w:val="18"/>
                <w:szCs w:val="18"/>
                <w:lang w:val="es-ES"/>
              </w:rPr>
            </w:pPr>
            <w:r w:rsidRPr="00C659F8">
              <w:rPr>
                <w:rFonts w:ascii="Lucida Bright" w:hAnsi="Lucida Bright" w:cs="Calibri"/>
                <w:b/>
                <w:bCs/>
                <w:sz w:val="18"/>
                <w:szCs w:val="18"/>
                <w:lang w:val="es-ES"/>
              </w:rPr>
              <w:t>Obras de atraque:</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0401</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Muelles de fábrica</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40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2,50%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0402</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Muelles de hormigón armado y metálicos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30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3,33%</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0403</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Defensas y elementos de amarre</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0404</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Obras complementarias para atraque</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6,70%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0405</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Pantalanes flotantes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&gt;Pantalanes flotantes de aluminio</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6,70%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&gt;Resto de pantalanes flotantes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0406</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Boyas de amarre</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6,70%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b/>
                <w:bCs/>
                <w:sz w:val="18"/>
                <w:szCs w:val="18"/>
                <w:lang w:val="es-ES"/>
              </w:rPr>
            </w:pPr>
            <w:r w:rsidRPr="00C659F8">
              <w:rPr>
                <w:rFonts w:ascii="Lucida Bright" w:hAnsi="Lucida Bright" w:cs="Calibri"/>
                <w:b/>
                <w:bCs/>
                <w:sz w:val="18"/>
                <w:szCs w:val="18"/>
                <w:lang w:val="es-ES"/>
              </w:rPr>
              <w:t>05</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b/>
                <w:bCs/>
                <w:sz w:val="18"/>
                <w:szCs w:val="18"/>
                <w:lang w:val="es-ES"/>
              </w:rPr>
            </w:pPr>
            <w:r w:rsidRPr="00C659F8">
              <w:rPr>
                <w:rFonts w:ascii="Lucida Bright" w:hAnsi="Lucida Bright" w:cs="Calibri"/>
                <w:b/>
                <w:bCs/>
                <w:sz w:val="18"/>
                <w:szCs w:val="18"/>
                <w:lang w:val="es-ES"/>
              </w:rPr>
              <w:t>Instalaciones para reparación de barcos: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0501</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Diques secos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40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2,50%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0502</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Varaderos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30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3,33%</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0503</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Diques flotantes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4%</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b/>
                <w:bCs/>
                <w:sz w:val="18"/>
                <w:szCs w:val="18"/>
                <w:lang w:val="es-ES"/>
              </w:rPr>
            </w:pPr>
            <w:r w:rsidRPr="00C659F8">
              <w:rPr>
                <w:rFonts w:ascii="Lucida Bright" w:hAnsi="Lucida Bright" w:cs="Calibri"/>
                <w:b/>
                <w:bCs/>
                <w:sz w:val="18"/>
                <w:szCs w:val="18"/>
                <w:lang w:val="es-ES"/>
              </w:rPr>
              <w:t>06</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b/>
                <w:bCs/>
                <w:sz w:val="18"/>
                <w:szCs w:val="18"/>
                <w:lang w:val="es-ES"/>
              </w:rPr>
            </w:pPr>
            <w:r w:rsidRPr="00C659F8">
              <w:rPr>
                <w:rFonts w:ascii="Lucida Bright" w:hAnsi="Lucida Bright" w:cs="Calibri"/>
                <w:b/>
                <w:bCs/>
                <w:sz w:val="18"/>
                <w:szCs w:val="18"/>
                <w:lang w:val="es-ES"/>
              </w:rPr>
              <w:t>Edificaciones: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0601</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Tinglados, almacenes y depósitos para mercancías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35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2,86%</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0602</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Estaciones marítimas, naves y lonjas de pesca</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35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2,86%</w:t>
            </w:r>
          </w:p>
        </w:tc>
      </w:tr>
      <w:tr w:rsidR="00C659F8" w:rsidRPr="00C659F8" w:rsidTr="00C659F8">
        <w:trPr>
          <w:trHeight w:val="48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0603</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Almacenes, talleres, garajes y oficinas, y casetas de pesca, armadores y similares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50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0604</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Viviendas y otros edificios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50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0605</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Edificaciones menores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50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0606</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Módulos y pequeñas construcciones prefabricadas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17</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5,88%</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0607</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Elementos fijos de soporte de ayudas a la navegación</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35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2,86%</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lastRenderedPageBreak/>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b/>
                <w:bCs/>
                <w:sz w:val="18"/>
                <w:szCs w:val="18"/>
                <w:lang w:val="es-ES"/>
              </w:rPr>
            </w:pPr>
            <w:r w:rsidRPr="00C659F8">
              <w:rPr>
                <w:rFonts w:ascii="Lucida Bright" w:hAnsi="Lucida Bright" w:cs="Calibri"/>
                <w:b/>
                <w:bCs/>
                <w:sz w:val="18"/>
                <w:szCs w:val="18"/>
                <w:lang w:val="es-ES"/>
              </w:rPr>
              <w:t>07</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b/>
                <w:bCs/>
                <w:sz w:val="18"/>
                <w:szCs w:val="18"/>
                <w:lang w:val="es-ES"/>
              </w:rPr>
            </w:pPr>
            <w:r w:rsidRPr="00C659F8">
              <w:rPr>
                <w:rFonts w:ascii="Lucida Bright" w:hAnsi="Lucida Bright" w:cs="Calibri"/>
                <w:b/>
                <w:bCs/>
                <w:sz w:val="18"/>
                <w:szCs w:val="18"/>
                <w:lang w:val="es-ES"/>
              </w:rPr>
              <w:t>Instalaciones generales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0701</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Instalaciones, conducciones y alumbrado exterior:</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48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ind w:firstLineChars="100" w:firstLine="180"/>
              <w:rPr>
                <w:rFonts w:ascii="Lucida Bright" w:hAnsi="Lucida Bright" w:cs="Calibri"/>
                <w:sz w:val="18"/>
                <w:szCs w:val="18"/>
                <w:lang w:val="es-ES"/>
              </w:rPr>
            </w:pPr>
            <w:r w:rsidRPr="00C659F8">
              <w:rPr>
                <w:rFonts w:ascii="Lucida Bright" w:hAnsi="Lucida Bright" w:cs="Calibri"/>
                <w:sz w:val="18"/>
                <w:szCs w:val="18"/>
                <w:lang w:val="es-ES"/>
              </w:rPr>
              <w:t>&gt; Subestaciones e instalaciones eléctricas, redes de distribución de energía eléctrica</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17</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5,88%</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ind w:firstLineChars="100" w:firstLine="180"/>
              <w:rPr>
                <w:rFonts w:ascii="Lucida Bright" w:hAnsi="Lucida Bright" w:cs="Calibri"/>
                <w:sz w:val="18"/>
                <w:szCs w:val="18"/>
                <w:lang w:val="es-ES"/>
              </w:rPr>
            </w:pPr>
            <w:r w:rsidRPr="00C659F8">
              <w:rPr>
                <w:rFonts w:ascii="Lucida Bright" w:hAnsi="Lucida Bright" w:cs="Calibri"/>
                <w:sz w:val="18"/>
                <w:szCs w:val="18"/>
                <w:lang w:val="es-ES"/>
              </w:rPr>
              <w:t>&gt; Resto de elementos del epígrafe 0701</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17</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5,88%</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0702</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Cerramientos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17</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5,88%</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0703</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Otras instalaciones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17</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5,88%</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b/>
                <w:bCs/>
                <w:sz w:val="18"/>
                <w:szCs w:val="18"/>
                <w:lang w:val="es-ES"/>
              </w:rPr>
            </w:pPr>
            <w:r w:rsidRPr="00C659F8">
              <w:rPr>
                <w:rFonts w:ascii="Lucida Bright" w:hAnsi="Lucida Bright" w:cs="Calibri"/>
                <w:b/>
                <w:bCs/>
                <w:sz w:val="18"/>
                <w:szCs w:val="18"/>
                <w:lang w:val="es-ES"/>
              </w:rPr>
              <w:t>08</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b/>
                <w:bCs/>
                <w:sz w:val="18"/>
                <w:szCs w:val="18"/>
                <w:lang w:val="es-ES"/>
              </w:rPr>
            </w:pPr>
            <w:r w:rsidRPr="00C659F8">
              <w:rPr>
                <w:rFonts w:ascii="Lucida Bright" w:hAnsi="Lucida Bright" w:cs="Calibri"/>
                <w:b/>
                <w:bCs/>
                <w:sz w:val="18"/>
                <w:szCs w:val="18"/>
                <w:lang w:val="es-ES"/>
              </w:rPr>
              <w:t>Pavimentos, calzadas y vías de circulación</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0801</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Vías férreas y estaciones de clasificación</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4%</w:t>
            </w:r>
          </w:p>
        </w:tc>
      </w:tr>
      <w:tr w:rsidR="00C659F8" w:rsidRPr="00C659F8" w:rsidTr="00C659F8">
        <w:trPr>
          <w:trHeight w:val="48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0802</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Pavimentos en muelles y zonas de manipulación y depósito</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6,70%</w:t>
            </w:r>
          </w:p>
        </w:tc>
      </w:tr>
      <w:tr w:rsidR="00C659F8" w:rsidRPr="00C659F8" w:rsidTr="00C659F8">
        <w:trPr>
          <w:trHeight w:val="48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0803</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Caminos, zonas de circulación y aparcamiento,</w:t>
            </w:r>
            <w:r w:rsidRPr="00C659F8">
              <w:rPr>
                <w:rFonts w:ascii="Lucida Bright" w:hAnsi="Lucida Bright" w:cs="Calibri"/>
                <w:sz w:val="18"/>
                <w:szCs w:val="18"/>
                <w:lang w:val="es-ES"/>
              </w:rPr>
              <w:br/>
              <w:t>depósitos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6,70%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0804</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Puentes de fábrica</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45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2,22%</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0805</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Puentes metálicos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35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2,86%</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0806</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Túneles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35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2,86%</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b/>
                <w:bCs/>
                <w:sz w:val="18"/>
                <w:szCs w:val="18"/>
                <w:lang w:val="es-ES"/>
              </w:rPr>
            </w:pPr>
            <w:r w:rsidRPr="00C659F8">
              <w:rPr>
                <w:rFonts w:ascii="Lucida Bright" w:hAnsi="Lucida Bright" w:cs="Calibri"/>
                <w:b/>
                <w:bCs/>
                <w:sz w:val="18"/>
                <w:szCs w:val="18"/>
                <w:lang w:val="es-ES"/>
              </w:rPr>
              <w:t>09</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rPr>
                <w:rFonts w:ascii="Lucida Bright" w:hAnsi="Lucida Bright" w:cs="Calibri"/>
                <w:b/>
                <w:bCs/>
                <w:sz w:val="18"/>
                <w:szCs w:val="18"/>
                <w:lang w:val="es-ES"/>
              </w:rPr>
            </w:pPr>
            <w:r w:rsidRPr="00C659F8">
              <w:rPr>
                <w:rFonts w:ascii="Lucida Bright" w:hAnsi="Lucida Bright" w:cs="Calibri"/>
                <w:b/>
                <w:bCs/>
                <w:sz w:val="18"/>
                <w:szCs w:val="18"/>
                <w:lang w:val="es-ES"/>
              </w:rPr>
              <w:t>Equipos de manipulación de mercancías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0901</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Cargaderos e instalaciones especiales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5%</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0902</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Grúas de pórtico y porta contenedores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5%</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0903</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Grúas automóviles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10%</w:t>
            </w:r>
          </w:p>
        </w:tc>
      </w:tr>
      <w:tr w:rsidR="00C659F8" w:rsidRPr="00C659F8" w:rsidTr="00C659F8">
        <w:trPr>
          <w:trHeight w:val="48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0904</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Carretillas, tractores, remolques y tolvas, cintas y</w:t>
            </w:r>
            <w:r w:rsidRPr="00C659F8">
              <w:rPr>
                <w:rFonts w:ascii="Lucida Bright" w:hAnsi="Lucida Bright" w:cs="Calibri"/>
                <w:sz w:val="18"/>
                <w:szCs w:val="18"/>
                <w:lang w:val="es-ES"/>
              </w:rPr>
              <w:br/>
              <w:t>equipo ligero:</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ind w:firstLineChars="100" w:firstLine="180"/>
              <w:rPr>
                <w:rFonts w:ascii="Lucida Bright" w:hAnsi="Lucida Bright" w:cs="Calibri"/>
                <w:sz w:val="18"/>
                <w:szCs w:val="18"/>
                <w:lang w:val="es-ES"/>
              </w:rPr>
            </w:pPr>
            <w:r w:rsidRPr="00C659F8">
              <w:rPr>
                <w:rFonts w:ascii="Lucida Bright" w:hAnsi="Lucida Bright" w:cs="Calibri"/>
                <w:sz w:val="18"/>
                <w:szCs w:val="18"/>
                <w:lang w:val="es-ES"/>
              </w:rPr>
              <w:t>&gt; Tractores, autocamiones y remolques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ind w:firstLineChars="100" w:firstLine="180"/>
              <w:rPr>
                <w:rFonts w:ascii="Lucida Bright" w:hAnsi="Lucida Bright" w:cs="Calibri"/>
                <w:sz w:val="18"/>
                <w:szCs w:val="18"/>
                <w:lang w:val="es-ES"/>
              </w:rPr>
            </w:pPr>
            <w:r w:rsidRPr="00C659F8">
              <w:rPr>
                <w:rFonts w:ascii="Lucida Bright" w:hAnsi="Lucida Bright" w:cs="Calibri"/>
                <w:sz w:val="18"/>
                <w:szCs w:val="18"/>
                <w:lang w:val="es-ES"/>
              </w:rPr>
              <w:t>&gt; Resto epígrafe 0904</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b/>
                <w:bCs/>
                <w:sz w:val="18"/>
                <w:szCs w:val="18"/>
                <w:lang w:val="es-ES"/>
              </w:rPr>
            </w:pPr>
            <w:r w:rsidRPr="00C659F8">
              <w:rPr>
                <w:rFonts w:ascii="Lucida Bright" w:hAnsi="Lucida Bright" w:cs="Calibri"/>
                <w:b/>
                <w:bCs/>
                <w:sz w:val="18"/>
                <w:szCs w:val="18"/>
                <w:lang w:val="es-ES"/>
              </w:rPr>
              <w:t>10</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b/>
                <w:bCs/>
                <w:sz w:val="18"/>
                <w:szCs w:val="18"/>
                <w:lang w:val="es-ES"/>
              </w:rPr>
            </w:pPr>
            <w:r w:rsidRPr="00C659F8">
              <w:rPr>
                <w:rFonts w:ascii="Lucida Bright" w:hAnsi="Lucida Bright" w:cs="Calibri"/>
                <w:b/>
                <w:bCs/>
                <w:sz w:val="18"/>
                <w:szCs w:val="18"/>
                <w:lang w:val="es-ES"/>
              </w:rPr>
              <w:t>Material flotante</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1001</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Cabrias y grúas flotantes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4%</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1002</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Dragas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4%</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1003</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Remolcadores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4%</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1004</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Gánguiles, gabarras y barcazas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4%</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1005</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Equipo auxiliar y equipo de buzos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1006</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Embarcaciones de servicio</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6,70%</w:t>
            </w:r>
          </w:p>
        </w:tc>
      </w:tr>
      <w:tr w:rsidR="00C659F8" w:rsidRPr="00C659F8" w:rsidTr="00C659F8">
        <w:trPr>
          <w:trHeight w:val="48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1007</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Elementos comunes de soporte flotante de ayudas a la navegación</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6,70%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b/>
                <w:bCs/>
                <w:sz w:val="18"/>
                <w:szCs w:val="18"/>
                <w:lang w:val="es-ES"/>
              </w:rPr>
            </w:pPr>
            <w:r w:rsidRPr="00C659F8">
              <w:rPr>
                <w:rFonts w:ascii="Lucida Bright" w:hAnsi="Lucida Bright" w:cs="Calibri"/>
                <w:b/>
                <w:bCs/>
                <w:sz w:val="18"/>
                <w:szCs w:val="18"/>
                <w:lang w:val="es-ES"/>
              </w:rPr>
              <w:t>11</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b/>
                <w:bCs/>
                <w:sz w:val="18"/>
                <w:szCs w:val="18"/>
                <w:lang w:val="es-ES"/>
              </w:rPr>
            </w:pPr>
            <w:r w:rsidRPr="00C659F8">
              <w:rPr>
                <w:rFonts w:ascii="Lucida Bright" w:hAnsi="Lucida Bright" w:cs="Calibri"/>
                <w:b/>
                <w:bCs/>
                <w:sz w:val="18"/>
                <w:szCs w:val="18"/>
                <w:lang w:val="es-ES"/>
              </w:rPr>
              <w:t>Equipos de transporte</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1101</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Automóviles y motocicletas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6,25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16%</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1102</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Camiones y furgonetas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6,25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16%</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b/>
                <w:bCs/>
                <w:sz w:val="18"/>
                <w:szCs w:val="18"/>
                <w:lang w:val="es-ES"/>
              </w:rPr>
            </w:pPr>
            <w:r w:rsidRPr="00C659F8">
              <w:rPr>
                <w:rFonts w:ascii="Lucida Bright" w:hAnsi="Lucida Bright" w:cs="Calibri"/>
                <w:b/>
                <w:bCs/>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b/>
                <w:bCs/>
                <w:sz w:val="18"/>
                <w:szCs w:val="18"/>
                <w:lang w:val="es-ES"/>
              </w:rPr>
            </w:pPr>
            <w:r w:rsidRPr="00C659F8">
              <w:rPr>
                <w:rFonts w:ascii="Lucida Bright" w:hAnsi="Lucida Bright" w:cs="Calibri"/>
                <w:b/>
                <w:bCs/>
                <w:sz w:val="18"/>
                <w:szCs w:val="18"/>
                <w:lang w:val="es-ES"/>
              </w:rPr>
              <w:t>12</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b/>
                <w:bCs/>
                <w:sz w:val="18"/>
                <w:szCs w:val="18"/>
                <w:lang w:val="es-ES"/>
              </w:rPr>
            </w:pPr>
            <w:r w:rsidRPr="00C659F8">
              <w:rPr>
                <w:rFonts w:ascii="Lucida Bright" w:hAnsi="Lucida Bright" w:cs="Calibri"/>
                <w:b/>
                <w:bCs/>
                <w:sz w:val="18"/>
                <w:szCs w:val="18"/>
                <w:lang w:val="es-ES"/>
              </w:rPr>
              <w:t>Material ferroviario</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1201</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Locomotoras y tractores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6,70%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lastRenderedPageBreak/>
              <w:t>1202</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Vagones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5%</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b/>
                <w:bCs/>
                <w:sz w:val="18"/>
                <w:szCs w:val="18"/>
                <w:lang w:val="es-ES"/>
              </w:rPr>
            </w:pPr>
            <w:r w:rsidRPr="00C659F8">
              <w:rPr>
                <w:rFonts w:ascii="Lucida Bright" w:hAnsi="Lucida Bright" w:cs="Calibri"/>
                <w:b/>
                <w:bCs/>
                <w:sz w:val="18"/>
                <w:szCs w:val="18"/>
                <w:lang w:val="es-ES"/>
              </w:rPr>
              <w:t>13</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b/>
                <w:bCs/>
                <w:sz w:val="18"/>
                <w:szCs w:val="18"/>
                <w:lang w:val="es-ES"/>
              </w:rPr>
            </w:pPr>
            <w:r w:rsidRPr="00C659F8">
              <w:rPr>
                <w:rFonts w:ascii="Lucida Bright" w:hAnsi="Lucida Bright" w:cs="Calibri"/>
                <w:b/>
                <w:bCs/>
                <w:sz w:val="18"/>
                <w:szCs w:val="18"/>
                <w:lang w:val="es-ES"/>
              </w:rPr>
              <w:t>Equipo de taller</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1301</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Equipo de taller</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14</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7,10%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b/>
                <w:bCs/>
                <w:sz w:val="18"/>
                <w:szCs w:val="18"/>
                <w:lang w:val="es-ES"/>
              </w:rPr>
            </w:pPr>
            <w:r w:rsidRPr="00C659F8">
              <w:rPr>
                <w:rFonts w:ascii="Lucida Bright" w:hAnsi="Lucida Bright" w:cs="Calibri"/>
                <w:b/>
                <w:bCs/>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b/>
                <w:bCs/>
                <w:sz w:val="18"/>
                <w:szCs w:val="18"/>
                <w:lang w:val="es-ES"/>
              </w:rPr>
            </w:pPr>
            <w:r w:rsidRPr="00C659F8">
              <w:rPr>
                <w:rFonts w:ascii="Lucida Bright" w:hAnsi="Lucida Bright" w:cs="Calibri"/>
                <w:b/>
                <w:bCs/>
                <w:sz w:val="18"/>
                <w:szCs w:val="18"/>
                <w:lang w:val="es-ES"/>
              </w:rPr>
              <w:t>14</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b/>
                <w:bCs/>
                <w:sz w:val="18"/>
                <w:szCs w:val="18"/>
                <w:lang w:val="es-ES"/>
              </w:rPr>
            </w:pPr>
            <w:r w:rsidRPr="00C659F8">
              <w:rPr>
                <w:rFonts w:ascii="Lucida Bright" w:hAnsi="Lucida Bright" w:cs="Calibri"/>
                <w:b/>
                <w:bCs/>
                <w:sz w:val="18"/>
                <w:szCs w:val="18"/>
                <w:lang w:val="es-ES"/>
              </w:rPr>
              <w:t>Mobiliario y enseres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1401</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Mobiliario y enseres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b/>
                <w:bCs/>
                <w:sz w:val="18"/>
                <w:szCs w:val="18"/>
                <w:lang w:val="es-ES"/>
              </w:rPr>
            </w:pPr>
            <w:r w:rsidRPr="00C659F8">
              <w:rPr>
                <w:rFonts w:ascii="Lucida Bright" w:hAnsi="Lucida Bright" w:cs="Calibri"/>
                <w:b/>
                <w:bCs/>
                <w:sz w:val="18"/>
                <w:szCs w:val="18"/>
                <w:lang w:val="es-ES"/>
              </w:rPr>
              <w:t>15</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b/>
                <w:bCs/>
                <w:sz w:val="18"/>
                <w:szCs w:val="18"/>
                <w:lang w:val="es-ES"/>
              </w:rPr>
            </w:pPr>
            <w:r w:rsidRPr="00C659F8">
              <w:rPr>
                <w:rFonts w:ascii="Lucida Bright" w:hAnsi="Lucida Bright" w:cs="Calibri"/>
                <w:b/>
                <w:bCs/>
                <w:sz w:val="18"/>
                <w:szCs w:val="18"/>
                <w:lang w:val="es-ES"/>
              </w:rPr>
              <w:t>Material diverso</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1501</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Material diverso</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ind w:firstLineChars="100" w:firstLine="180"/>
              <w:rPr>
                <w:rFonts w:ascii="Lucida Bright" w:hAnsi="Lucida Bright" w:cs="Calibri"/>
                <w:sz w:val="18"/>
                <w:szCs w:val="18"/>
                <w:lang w:val="es-ES"/>
              </w:rPr>
            </w:pPr>
            <w:r w:rsidRPr="00C659F8">
              <w:rPr>
                <w:rFonts w:ascii="Lucida Bright" w:hAnsi="Lucida Bright" w:cs="Calibri"/>
                <w:sz w:val="18"/>
                <w:szCs w:val="18"/>
                <w:lang w:val="es-ES"/>
              </w:rPr>
              <w:t>&gt; Mobiliario urbano, árboles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6,67</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15%</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ind w:firstLineChars="100" w:firstLine="180"/>
              <w:rPr>
                <w:rFonts w:ascii="Lucida Bright" w:hAnsi="Lucida Bright" w:cs="Calibri"/>
                <w:sz w:val="18"/>
                <w:szCs w:val="18"/>
                <w:lang w:val="es-ES"/>
              </w:rPr>
            </w:pPr>
            <w:r w:rsidRPr="00C659F8">
              <w:rPr>
                <w:rFonts w:ascii="Lucida Bright" w:hAnsi="Lucida Bright" w:cs="Calibri"/>
                <w:sz w:val="18"/>
                <w:szCs w:val="18"/>
                <w:lang w:val="es-ES"/>
              </w:rPr>
              <w:t>&gt; Equipos de oficina, material de laboratorio</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6,67</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15%</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ind w:firstLineChars="100" w:firstLine="180"/>
              <w:rPr>
                <w:rFonts w:ascii="Lucida Bright" w:hAnsi="Lucida Bright" w:cs="Calibri"/>
                <w:sz w:val="18"/>
                <w:szCs w:val="18"/>
                <w:lang w:val="es-ES"/>
              </w:rPr>
            </w:pPr>
            <w:r w:rsidRPr="00C659F8">
              <w:rPr>
                <w:rFonts w:ascii="Lucida Bright" w:hAnsi="Lucida Bright" w:cs="Calibri"/>
                <w:sz w:val="18"/>
                <w:szCs w:val="18"/>
                <w:lang w:val="es-ES"/>
              </w:rPr>
              <w:t>&gt; Equipos para radiocomunicaciones, radioteléfonos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ind w:firstLineChars="100" w:firstLine="180"/>
              <w:rPr>
                <w:rFonts w:ascii="Lucida Bright" w:hAnsi="Lucida Bright" w:cs="Calibri"/>
                <w:sz w:val="18"/>
                <w:szCs w:val="18"/>
                <w:lang w:val="es-ES"/>
              </w:rPr>
            </w:pPr>
            <w:r w:rsidRPr="00C659F8">
              <w:rPr>
                <w:rFonts w:ascii="Lucida Bright" w:hAnsi="Lucida Bright" w:cs="Calibri"/>
                <w:sz w:val="18"/>
                <w:szCs w:val="18"/>
                <w:lang w:val="es-ES"/>
              </w:rPr>
              <w:t>&gt; Equipos médicos asistenciales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6,67</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15%</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b/>
                <w:bCs/>
                <w:sz w:val="18"/>
                <w:szCs w:val="18"/>
                <w:lang w:val="es-ES"/>
              </w:rPr>
            </w:pPr>
            <w:r w:rsidRPr="00C659F8">
              <w:rPr>
                <w:rFonts w:ascii="Lucida Bright" w:hAnsi="Lucida Bright" w:cs="Calibri"/>
                <w:b/>
                <w:bCs/>
                <w:sz w:val="18"/>
                <w:szCs w:val="18"/>
                <w:lang w:val="es-ES"/>
              </w:rPr>
              <w:t>16</w:t>
            </w:r>
          </w:p>
        </w:tc>
        <w:tc>
          <w:tcPr>
            <w:tcW w:w="5140" w:type="dxa"/>
            <w:tcBorders>
              <w:top w:val="nil"/>
              <w:left w:val="nil"/>
              <w:bottom w:val="nil"/>
              <w:right w:val="single" w:sz="4" w:space="0" w:color="auto"/>
            </w:tcBorders>
            <w:shd w:val="clear" w:color="auto" w:fill="auto"/>
            <w:noWrap/>
            <w:vAlign w:val="center"/>
            <w:hideMark/>
          </w:tcPr>
          <w:p w:rsidR="00C659F8" w:rsidRPr="00C659F8" w:rsidRDefault="00C659F8" w:rsidP="00C659F8">
            <w:pPr>
              <w:rPr>
                <w:rFonts w:ascii="Lucida Bright" w:hAnsi="Lucida Bright" w:cs="Calibri"/>
                <w:b/>
                <w:bCs/>
                <w:sz w:val="18"/>
                <w:szCs w:val="18"/>
                <w:lang w:val="es-ES"/>
              </w:rPr>
            </w:pPr>
            <w:r w:rsidRPr="00C659F8">
              <w:rPr>
                <w:rFonts w:ascii="Lucida Bright" w:hAnsi="Lucida Bright" w:cs="Calibri"/>
                <w:b/>
                <w:bCs/>
                <w:sz w:val="18"/>
                <w:szCs w:val="18"/>
                <w:lang w:val="es-ES"/>
              </w:rPr>
              <w:t>Equipo informático</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1601</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Equipo informático (hardware)</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b/>
                <w:bCs/>
                <w:sz w:val="18"/>
                <w:szCs w:val="18"/>
                <w:lang w:val="es-ES"/>
              </w:rPr>
            </w:pPr>
            <w:r w:rsidRPr="00C659F8">
              <w:rPr>
                <w:rFonts w:ascii="Lucida Bright" w:hAnsi="Lucida Bright" w:cs="Calibri"/>
                <w:b/>
                <w:bCs/>
                <w:sz w:val="18"/>
                <w:szCs w:val="18"/>
                <w:lang w:val="es-ES"/>
              </w:rPr>
              <w:t>17</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rPr>
                <w:rFonts w:ascii="Lucida Bright" w:hAnsi="Lucida Bright" w:cs="Calibri"/>
                <w:b/>
                <w:bCs/>
                <w:sz w:val="18"/>
                <w:szCs w:val="18"/>
                <w:lang w:val="es-ES"/>
              </w:rPr>
            </w:pPr>
            <w:r w:rsidRPr="00C659F8">
              <w:rPr>
                <w:rFonts w:ascii="Lucida Bright" w:hAnsi="Lucida Bright" w:cs="Calibri"/>
                <w:b/>
                <w:bCs/>
                <w:sz w:val="18"/>
                <w:szCs w:val="18"/>
                <w:lang w:val="es-ES"/>
              </w:rPr>
              <w:t>Energías renovables y transición energética</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1701</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Centros de seccionamiento (reparto) y medida</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40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2,50%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1702</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Unidades OPS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40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2,50%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1703</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Cajas de conexión OPS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4%</w:t>
            </w:r>
          </w:p>
        </w:tc>
      </w:tr>
      <w:tr w:rsidR="00C659F8" w:rsidRPr="00C659F8" w:rsidTr="00C659F8">
        <w:trPr>
          <w:trHeight w:val="48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1704</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Sistemas de gestión de cables y elementos de conexión a buque</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25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4%</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1706</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Postes de recarga de vehículos eléctricos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15</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6,70%</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1707</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Placas fotovoltaicas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30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3,33%</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1708</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Torres eólicas o aerogeneradores</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30</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3,33%</w:t>
            </w:r>
          </w:p>
        </w:tc>
      </w:tr>
      <w:tr w:rsidR="00C659F8" w:rsidRPr="00C659F8" w:rsidTr="00C659F8">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1709</w:t>
            </w:r>
          </w:p>
        </w:tc>
        <w:tc>
          <w:tcPr>
            <w:tcW w:w="5140" w:type="dxa"/>
            <w:tcBorders>
              <w:top w:val="nil"/>
              <w:left w:val="nil"/>
              <w:bottom w:val="nil"/>
              <w:right w:val="single" w:sz="4" w:space="0" w:color="auto"/>
            </w:tcBorders>
            <w:shd w:val="clear" w:color="auto" w:fill="auto"/>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Baterías o acumuladores de energía</w:t>
            </w:r>
          </w:p>
        </w:tc>
        <w:tc>
          <w:tcPr>
            <w:tcW w:w="860" w:type="dxa"/>
            <w:tcBorders>
              <w:top w:val="nil"/>
              <w:left w:val="nil"/>
              <w:bottom w:val="nil"/>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12</w:t>
            </w:r>
          </w:p>
        </w:tc>
        <w:tc>
          <w:tcPr>
            <w:tcW w:w="1460" w:type="dxa"/>
            <w:tcBorders>
              <w:top w:val="nil"/>
              <w:left w:val="nil"/>
              <w:bottom w:val="nil"/>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8,33%</w:t>
            </w:r>
          </w:p>
        </w:tc>
      </w:tr>
      <w:tr w:rsidR="00C659F8" w:rsidRPr="00C659F8" w:rsidTr="00C659F8">
        <w:trPr>
          <w:trHeight w:val="315"/>
        </w:trPr>
        <w:tc>
          <w:tcPr>
            <w:tcW w:w="1460" w:type="dxa"/>
            <w:tcBorders>
              <w:top w:val="nil"/>
              <w:left w:val="single" w:sz="12" w:space="0" w:color="auto"/>
              <w:bottom w:val="single" w:sz="12" w:space="0" w:color="auto"/>
              <w:right w:val="single" w:sz="4" w:space="0" w:color="auto"/>
            </w:tcBorders>
            <w:shd w:val="clear" w:color="auto" w:fill="auto"/>
            <w:noWrap/>
            <w:vAlign w:val="center"/>
            <w:hideMark/>
          </w:tcPr>
          <w:p w:rsidR="00C659F8" w:rsidRPr="00C659F8" w:rsidRDefault="00C659F8" w:rsidP="00C659F8">
            <w:pPr>
              <w:jc w:val="right"/>
              <w:rPr>
                <w:rFonts w:ascii="Lucida Bright" w:hAnsi="Lucida Bright" w:cs="Calibri"/>
                <w:sz w:val="18"/>
                <w:szCs w:val="18"/>
                <w:lang w:val="es-ES"/>
              </w:rPr>
            </w:pPr>
            <w:r w:rsidRPr="00C659F8">
              <w:rPr>
                <w:rFonts w:ascii="Lucida Bright" w:hAnsi="Lucida Bright" w:cs="Calibri"/>
                <w:sz w:val="18"/>
                <w:szCs w:val="18"/>
                <w:lang w:val="es-ES"/>
              </w:rPr>
              <w:t> </w:t>
            </w:r>
          </w:p>
        </w:tc>
        <w:tc>
          <w:tcPr>
            <w:tcW w:w="5140" w:type="dxa"/>
            <w:tcBorders>
              <w:top w:val="nil"/>
              <w:left w:val="single" w:sz="4" w:space="0" w:color="auto"/>
              <w:bottom w:val="single" w:sz="12" w:space="0" w:color="auto"/>
              <w:right w:val="single" w:sz="4" w:space="0" w:color="auto"/>
            </w:tcBorders>
            <w:shd w:val="clear" w:color="auto" w:fill="auto"/>
            <w:vAlign w:val="center"/>
            <w:hideMark/>
          </w:tcPr>
          <w:p w:rsidR="00C659F8" w:rsidRPr="00C659F8" w:rsidRDefault="00C659F8" w:rsidP="00C659F8">
            <w:pPr>
              <w:rPr>
                <w:rFonts w:ascii="Lucida Bright" w:hAnsi="Lucida Bright" w:cs="Calibri"/>
                <w:sz w:val="18"/>
                <w:szCs w:val="18"/>
                <w:lang w:val="es-ES"/>
              </w:rPr>
            </w:pPr>
            <w:r w:rsidRPr="00C659F8">
              <w:rPr>
                <w:rFonts w:ascii="Lucida Bright" w:hAnsi="Lucida Bright" w:cs="Calibri"/>
                <w:sz w:val="18"/>
                <w:szCs w:val="18"/>
                <w:lang w:val="es-ES"/>
              </w:rPr>
              <w:t> </w:t>
            </w:r>
          </w:p>
        </w:tc>
        <w:tc>
          <w:tcPr>
            <w:tcW w:w="860" w:type="dxa"/>
            <w:tcBorders>
              <w:top w:val="nil"/>
              <w:left w:val="nil"/>
              <w:bottom w:val="single" w:sz="12" w:space="0" w:color="auto"/>
              <w:right w:val="single" w:sz="4"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c>
          <w:tcPr>
            <w:tcW w:w="1460" w:type="dxa"/>
            <w:tcBorders>
              <w:top w:val="nil"/>
              <w:left w:val="single" w:sz="4" w:space="0" w:color="auto"/>
              <w:bottom w:val="single" w:sz="12" w:space="0" w:color="auto"/>
              <w:right w:val="single" w:sz="12" w:space="0" w:color="auto"/>
            </w:tcBorders>
            <w:shd w:val="clear" w:color="auto" w:fill="auto"/>
            <w:noWrap/>
            <w:vAlign w:val="center"/>
            <w:hideMark/>
          </w:tcPr>
          <w:p w:rsidR="00C659F8" w:rsidRPr="00C659F8" w:rsidRDefault="00C659F8" w:rsidP="00C659F8">
            <w:pPr>
              <w:jc w:val="center"/>
              <w:rPr>
                <w:rFonts w:ascii="Lucida Bright" w:hAnsi="Lucida Bright" w:cs="Calibri"/>
                <w:sz w:val="18"/>
                <w:szCs w:val="18"/>
                <w:lang w:val="es-ES"/>
              </w:rPr>
            </w:pPr>
            <w:r w:rsidRPr="00C659F8">
              <w:rPr>
                <w:rFonts w:ascii="Lucida Bright" w:hAnsi="Lucida Bright" w:cs="Calibri"/>
                <w:sz w:val="18"/>
                <w:szCs w:val="18"/>
                <w:lang w:val="es-ES"/>
              </w:rPr>
              <w:t> </w:t>
            </w:r>
          </w:p>
        </w:tc>
      </w:tr>
    </w:tbl>
    <w:p w:rsidR="00D3476A" w:rsidRDefault="00D3476A" w:rsidP="00D3476A">
      <w:pPr>
        <w:ind w:firstLine="567"/>
        <w:jc w:val="both"/>
        <w:rPr>
          <w:rFonts w:ascii="NewBaskerville" w:hAnsi="NewBaskerville"/>
        </w:rPr>
      </w:pPr>
    </w:p>
    <w:p w:rsidR="008E090B" w:rsidRDefault="008E090B" w:rsidP="00D3476A">
      <w:pPr>
        <w:ind w:firstLine="567"/>
        <w:jc w:val="both"/>
        <w:rPr>
          <w:rFonts w:ascii="NewBaskerville" w:hAnsi="NewBaskerville"/>
        </w:rPr>
      </w:pPr>
    </w:p>
    <w:p w:rsidR="002C4355" w:rsidRPr="006C6932" w:rsidRDefault="00BA6314" w:rsidP="00BA6314">
      <w:pPr>
        <w:pStyle w:val="Prrafodelista"/>
        <w:numPr>
          <w:ilvl w:val="0"/>
          <w:numId w:val="3"/>
        </w:numPr>
        <w:spacing w:after="120"/>
        <w:jc w:val="both"/>
        <w:rPr>
          <w:rFonts w:ascii="NewBaskerville" w:hAnsi="NewBaskerville"/>
          <w:bCs/>
        </w:rPr>
      </w:pPr>
      <w:r w:rsidRPr="006C6932">
        <w:rPr>
          <w:rFonts w:ascii="NewBaskerville" w:hAnsi="NewBaskerville"/>
          <w:bCs/>
        </w:rPr>
        <w:t xml:space="preserve"> </w:t>
      </w:r>
      <w:r w:rsidR="002C4355" w:rsidRPr="006C6932">
        <w:rPr>
          <w:rFonts w:ascii="NewBaskerville" w:hAnsi="NewBaskerville"/>
          <w:bCs/>
        </w:rPr>
        <w:t>Inversiones inmobiliarias</w:t>
      </w:r>
    </w:p>
    <w:p w:rsidR="002C4355" w:rsidRPr="006C6932" w:rsidRDefault="002C4355">
      <w:pPr>
        <w:pStyle w:val="Sangra3detindependiente"/>
        <w:tabs>
          <w:tab w:val="center" w:pos="1843"/>
        </w:tabs>
        <w:rPr>
          <w:rFonts w:ascii="NewBaskerville" w:hAnsi="NewBaskerville"/>
          <w:bCs/>
          <w:sz w:val="20"/>
          <w:szCs w:val="20"/>
        </w:rPr>
      </w:pPr>
      <w:r w:rsidRPr="006C6932">
        <w:rPr>
          <w:rFonts w:ascii="NewBaskerville" w:hAnsi="NewBaskerville"/>
          <w:bCs/>
          <w:sz w:val="20"/>
          <w:szCs w:val="20"/>
        </w:rPr>
        <w:t>Las concesiones y autorizaciones de ocupación temporal del dominio público portuario cumplen las condiciones establecidas en la NRV 8ª “Arrendamientos y otras operaciones de naturaleza similar” para ser calificadas contablemente como arrendamientos operativos. Por ello se han clasificado como inversiones inmobiliarias los bienes otorgados en concesión o autorización o que sean susceptibles de serlo, en el curso normal de las operaciones propias y habituales de la Autoridad Portuaria por ser la finalidad natural de estos bienes su puesta a disposición de terceros para la realización por parte de estos de actividades comerciales o industriales, con independencia de que por circunstancias coyunturales los mismos puedan encontrarse desocupados o ser explotados directamente por la Autoridad Portuaria. En estos casos la Autoridad Portuaria actúa como arrendador si bien no se transfieren al concesionario todos los riesgos y beneficios inherentes a la propiedad del activo objeto del contrato por tratarse de bienes de dominio público. No se reclasifican como inversiones inmobiliarias aquellos activos no corrientes que, a pesar de encontrarse concesionados o con autorización de ocupación temporal</w:t>
      </w:r>
      <w:r w:rsidR="008E090B">
        <w:rPr>
          <w:rFonts w:ascii="NewBaskerville" w:hAnsi="NewBaskerville"/>
          <w:bCs/>
          <w:sz w:val="20"/>
          <w:szCs w:val="20"/>
        </w:rPr>
        <w:t>,</w:t>
      </w:r>
      <w:r w:rsidRPr="006C6932">
        <w:rPr>
          <w:rFonts w:ascii="NewBaskerville" w:hAnsi="NewBaskerville"/>
          <w:bCs/>
          <w:sz w:val="20"/>
          <w:szCs w:val="20"/>
        </w:rPr>
        <w:t xml:space="preserve"> no tengan como </w:t>
      </w:r>
      <w:r w:rsidRPr="006C6932">
        <w:rPr>
          <w:rFonts w:ascii="NewBaskerville" w:hAnsi="NewBaskerville"/>
          <w:bCs/>
          <w:sz w:val="20"/>
          <w:szCs w:val="20"/>
        </w:rPr>
        <w:lastRenderedPageBreak/>
        <w:t>finalidad su puesta a disposición de terceros para su explotación económica, ni los elementos concesionados o autorizados parcialmente.</w:t>
      </w:r>
    </w:p>
    <w:p w:rsidR="002C4355" w:rsidRPr="006C6932" w:rsidRDefault="002C4355">
      <w:pPr>
        <w:pStyle w:val="Sangra3detindependiente"/>
        <w:tabs>
          <w:tab w:val="center" w:pos="1843"/>
        </w:tabs>
        <w:rPr>
          <w:rFonts w:ascii="NewBaskerville" w:hAnsi="NewBaskerville"/>
          <w:sz w:val="20"/>
          <w:szCs w:val="20"/>
        </w:rPr>
      </w:pPr>
    </w:p>
    <w:p w:rsidR="002C4355" w:rsidRDefault="002C4355">
      <w:pPr>
        <w:pStyle w:val="Sangra3detindependiente"/>
        <w:tabs>
          <w:tab w:val="center" w:pos="1843"/>
        </w:tabs>
        <w:rPr>
          <w:rFonts w:ascii="NewBaskerville" w:hAnsi="NewBaskerville"/>
          <w:bCs/>
          <w:sz w:val="20"/>
          <w:szCs w:val="20"/>
        </w:rPr>
      </w:pPr>
      <w:r w:rsidRPr="006C6932">
        <w:rPr>
          <w:rFonts w:ascii="NewBaskerville" w:hAnsi="NewBaskerville"/>
          <w:bCs/>
          <w:sz w:val="20"/>
          <w:szCs w:val="20"/>
        </w:rPr>
        <w:t>Los activos en curso se mantienen dentro del inmovilizado material hasta su finalización, con carácter general dichos bienes se inc</w:t>
      </w:r>
      <w:r w:rsidR="0035398A" w:rsidRPr="006C6932">
        <w:rPr>
          <w:rFonts w:ascii="NewBaskerville" w:hAnsi="NewBaskerville"/>
          <w:bCs/>
          <w:sz w:val="20"/>
          <w:szCs w:val="20"/>
        </w:rPr>
        <w:t>orporan al inmovilizado en el epígrafe correspondiente</w:t>
      </w:r>
      <w:r w:rsidRPr="006C6932">
        <w:rPr>
          <w:rFonts w:ascii="NewBaskerville" w:hAnsi="NewBaskerville"/>
          <w:bCs/>
          <w:sz w:val="20"/>
          <w:szCs w:val="20"/>
        </w:rPr>
        <w:t xml:space="preserve"> hasta que se decida ponerlos a disposición de terceros en concesión o autorización</w:t>
      </w:r>
      <w:r w:rsidR="00FB2A4A">
        <w:rPr>
          <w:rFonts w:ascii="NewBaskerville" w:hAnsi="NewBaskerville"/>
          <w:bCs/>
          <w:sz w:val="20"/>
          <w:szCs w:val="20"/>
        </w:rPr>
        <w:t>, traspasándose</w:t>
      </w:r>
      <w:r w:rsidRPr="006C6932">
        <w:rPr>
          <w:rFonts w:ascii="NewBaskerville" w:hAnsi="NewBaskerville"/>
          <w:bCs/>
          <w:sz w:val="20"/>
          <w:szCs w:val="20"/>
        </w:rPr>
        <w:t xml:space="preserve"> a inversiones inmobiliarias.</w:t>
      </w:r>
    </w:p>
    <w:p w:rsidR="006375A3" w:rsidRDefault="006375A3">
      <w:pPr>
        <w:pStyle w:val="Sangra3detindependiente"/>
        <w:tabs>
          <w:tab w:val="center" w:pos="1843"/>
        </w:tabs>
        <w:rPr>
          <w:rFonts w:ascii="NewBaskerville" w:hAnsi="NewBaskerville"/>
          <w:bCs/>
          <w:sz w:val="20"/>
          <w:szCs w:val="20"/>
        </w:rPr>
      </w:pPr>
    </w:p>
    <w:p w:rsidR="006375A3" w:rsidRPr="006C6932" w:rsidRDefault="006375A3">
      <w:pPr>
        <w:pStyle w:val="Sangra3detindependiente"/>
        <w:tabs>
          <w:tab w:val="center" w:pos="1843"/>
        </w:tabs>
        <w:rPr>
          <w:rFonts w:ascii="NewBaskerville" w:hAnsi="NewBaskerville"/>
          <w:sz w:val="20"/>
          <w:szCs w:val="20"/>
        </w:rPr>
      </w:pPr>
      <w:r>
        <w:rPr>
          <w:rFonts w:ascii="NewBaskerville" w:hAnsi="NewBaskerville"/>
          <w:bCs/>
          <w:sz w:val="20"/>
          <w:szCs w:val="20"/>
        </w:rPr>
        <w:t xml:space="preserve">Los activos </w:t>
      </w:r>
      <w:r w:rsidR="003E59EB">
        <w:rPr>
          <w:rFonts w:ascii="NewBaskerville" w:hAnsi="NewBaskerville"/>
          <w:bCs/>
          <w:sz w:val="20"/>
          <w:szCs w:val="20"/>
        </w:rPr>
        <w:t>correspondientes a obras e instalaciones no desmontables de concesiones cuya fecha de extinción es incierta, ya sea por</w:t>
      </w:r>
      <w:r w:rsidR="00582B49">
        <w:rPr>
          <w:rFonts w:ascii="NewBaskerville" w:hAnsi="NewBaskerville"/>
          <w:bCs/>
          <w:sz w:val="20"/>
          <w:szCs w:val="20"/>
        </w:rPr>
        <w:t xml:space="preserve"> una futura</w:t>
      </w:r>
      <w:r w:rsidR="003E59EB">
        <w:rPr>
          <w:rFonts w:ascii="NewBaskerville" w:hAnsi="NewBaskerville"/>
          <w:bCs/>
          <w:sz w:val="20"/>
          <w:szCs w:val="20"/>
        </w:rPr>
        <w:t xml:space="preserve"> </w:t>
      </w:r>
      <w:r w:rsidR="00582B49">
        <w:rPr>
          <w:rFonts w:ascii="NewBaskerville" w:hAnsi="NewBaskerville"/>
          <w:bCs/>
          <w:sz w:val="20"/>
          <w:szCs w:val="20"/>
        </w:rPr>
        <w:t xml:space="preserve">confirmación por </w:t>
      </w:r>
      <w:r w:rsidR="003E59EB">
        <w:rPr>
          <w:rFonts w:ascii="NewBaskerville" w:hAnsi="NewBaskerville"/>
          <w:bCs/>
          <w:sz w:val="20"/>
          <w:szCs w:val="20"/>
        </w:rPr>
        <w:t>resolución judicial, administrativa o sim</w:t>
      </w:r>
      <w:r w:rsidR="00463C9F">
        <w:rPr>
          <w:rFonts w:ascii="NewBaskerville" w:hAnsi="NewBaskerville"/>
          <w:bCs/>
          <w:sz w:val="20"/>
          <w:szCs w:val="20"/>
        </w:rPr>
        <w:t>ilar, pero que la Entidad enti</w:t>
      </w:r>
      <w:r w:rsidR="003E59EB">
        <w:rPr>
          <w:rFonts w:ascii="NewBaskerville" w:hAnsi="NewBaskerville"/>
          <w:bCs/>
          <w:sz w:val="20"/>
          <w:szCs w:val="20"/>
        </w:rPr>
        <w:t>ende que se ha producido y optado por el mantenimiento de los activos</w:t>
      </w:r>
      <w:r w:rsidR="001804D6">
        <w:rPr>
          <w:rFonts w:ascii="NewBaskerville" w:hAnsi="NewBaskerville"/>
          <w:bCs/>
          <w:sz w:val="20"/>
          <w:szCs w:val="20"/>
        </w:rPr>
        <w:t>,</w:t>
      </w:r>
      <w:r w:rsidR="00582B49">
        <w:rPr>
          <w:rFonts w:ascii="NewBaskerville" w:hAnsi="NewBaskerville"/>
          <w:bCs/>
          <w:sz w:val="20"/>
          <w:szCs w:val="20"/>
        </w:rPr>
        <w:t xml:space="preserve"> </w:t>
      </w:r>
      <w:r w:rsidR="001804D6">
        <w:rPr>
          <w:rFonts w:ascii="NewBaskerville" w:hAnsi="NewBaskerville"/>
          <w:bCs/>
          <w:sz w:val="20"/>
          <w:szCs w:val="20"/>
        </w:rPr>
        <w:t>y</w:t>
      </w:r>
      <w:r w:rsidR="00582B49">
        <w:rPr>
          <w:rFonts w:ascii="NewBaskerville" w:hAnsi="NewBaskerville"/>
          <w:bCs/>
          <w:sz w:val="20"/>
          <w:szCs w:val="20"/>
        </w:rPr>
        <w:t xml:space="preserve"> cuya confirmación daría lugar a la reversión de estos activos</w:t>
      </w:r>
      <w:r w:rsidR="001804D6">
        <w:rPr>
          <w:rFonts w:ascii="NewBaskerville" w:hAnsi="NewBaskerville"/>
          <w:bCs/>
          <w:sz w:val="20"/>
          <w:szCs w:val="20"/>
        </w:rPr>
        <w:t>,</w:t>
      </w:r>
      <w:r w:rsidR="00582B49">
        <w:rPr>
          <w:rFonts w:ascii="NewBaskerville" w:hAnsi="NewBaskerville"/>
          <w:bCs/>
          <w:sz w:val="20"/>
          <w:szCs w:val="20"/>
        </w:rPr>
        <w:t xml:space="preserve"> </w:t>
      </w:r>
      <w:r w:rsidR="001804D6">
        <w:rPr>
          <w:rFonts w:ascii="NewBaskerville" w:hAnsi="NewBaskerville"/>
          <w:bCs/>
          <w:sz w:val="20"/>
          <w:szCs w:val="20"/>
        </w:rPr>
        <w:t>s</w:t>
      </w:r>
      <w:r w:rsidR="00853F1A">
        <w:rPr>
          <w:rFonts w:ascii="NewBaskerville" w:hAnsi="NewBaskerville"/>
          <w:bCs/>
          <w:sz w:val="20"/>
          <w:szCs w:val="20"/>
        </w:rPr>
        <w:t>e tratarán como activos contingentes no reconociéndose en los estados contables</w:t>
      </w:r>
      <w:r w:rsidR="001804D6">
        <w:rPr>
          <w:rFonts w:ascii="NewBaskerville" w:hAnsi="NewBaskerville"/>
          <w:bCs/>
          <w:sz w:val="20"/>
          <w:szCs w:val="20"/>
        </w:rPr>
        <w:t>.</w:t>
      </w:r>
      <w:r w:rsidR="00CE0591">
        <w:rPr>
          <w:rFonts w:ascii="NewBaskerville" w:hAnsi="NewBaskerville"/>
          <w:bCs/>
          <w:sz w:val="20"/>
          <w:szCs w:val="20"/>
        </w:rPr>
        <w:t xml:space="preserve"> </w:t>
      </w:r>
      <w:r w:rsidR="001804D6">
        <w:rPr>
          <w:rFonts w:ascii="NewBaskerville" w:hAnsi="NewBaskerville"/>
          <w:bCs/>
          <w:sz w:val="20"/>
          <w:szCs w:val="20"/>
        </w:rPr>
        <w:t>E</w:t>
      </w:r>
      <w:r w:rsidR="00853F1A">
        <w:rPr>
          <w:rFonts w:ascii="NewBaskerville" w:hAnsi="NewBaskerville"/>
          <w:bCs/>
          <w:sz w:val="20"/>
          <w:szCs w:val="20"/>
        </w:rPr>
        <w:t xml:space="preserve"> informando en </w:t>
      </w:r>
      <w:r w:rsidR="00CE0591">
        <w:rPr>
          <w:rFonts w:ascii="NewBaskerville" w:hAnsi="NewBaskerville"/>
          <w:bCs/>
          <w:sz w:val="20"/>
          <w:szCs w:val="20"/>
        </w:rPr>
        <w:t xml:space="preserve">la </w:t>
      </w:r>
      <w:r w:rsidR="00853F1A">
        <w:rPr>
          <w:rFonts w:ascii="NewBaskerville" w:hAnsi="NewBaskerville"/>
          <w:bCs/>
          <w:sz w:val="20"/>
          <w:szCs w:val="20"/>
        </w:rPr>
        <w:t>Memoria cuando sea probable la entrada de beneficios económicos</w:t>
      </w:r>
      <w:r w:rsidR="00CE0591">
        <w:rPr>
          <w:rFonts w:ascii="NewBaskerville" w:hAnsi="NewBaskerville"/>
          <w:bCs/>
          <w:sz w:val="20"/>
          <w:szCs w:val="20"/>
        </w:rPr>
        <w:t>,</w:t>
      </w:r>
      <w:r w:rsidR="00853F1A">
        <w:rPr>
          <w:rFonts w:ascii="NewBaskerville" w:hAnsi="NewBaskerville"/>
          <w:bCs/>
          <w:sz w:val="20"/>
          <w:szCs w:val="20"/>
        </w:rPr>
        <w:t xml:space="preserve"> proporcionando una breve descripción de su naturaleza</w:t>
      </w:r>
      <w:r w:rsidR="00CE0591">
        <w:rPr>
          <w:rFonts w:ascii="NewBaskerville" w:hAnsi="NewBaskerville"/>
          <w:bCs/>
          <w:sz w:val="20"/>
          <w:szCs w:val="20"/>
        </w:rPr>
        <w:t xml:space="preserve"> y una estimación de sus efectos financieros.</w:t>
      </w:r>
    </w:p>
    <w:p w:rsidR="002C4355" w:rsidRPr="006C6932" w:rsidRDefault="002C4355">
      <w:pPr>
        <w:tabs>
          <w:tab w:val="center" w:pos="1843"/>
          <w:tab w:val="center" w:pos="5671"/>
          <w:tab w:val="center" w:pos="7797"/>
        </w:tabs>
        <w:ind w:firstLine="540"/>
        <w:jc w:val="both"/>
        <w:rPr>
          <w:rFonts w:ascii="NewBaskerville" w:hAnsi="NewBaskerville"/>
          <w:bCs/>
        </w:rPr>
      </w:pPr>
    </w:p>
    <w:p w:rsidR="002C4355" w:rsidRDefault="002C4355" w:rsidP="0060409F">
      <w:pPr>
        <w:tabs>
          <w:tab w:val="center" w:pos="1843"/>
          <w:tab w:val="center" w:pos="5671"/>
          <w:tab w:val="center" w:pos="7797"/>
        </w:tabs>
        <w:ind w:firstLine="540"/>
        <w:jc w:val="both"/>
        <w:rPr>
          <w:rFonts w:ascii="NewBaskerville" w:hAnsi="NewBaskerville"/>
          <w:bCs/>
        </w:rPr>
      </w:pPr>
      <w:r w:rsidRPr="006C6932">
        <w:rPr>
          <w:rFonts w:ascii="NewBaskerville" w:hAnsi="NewBaskerville"/>
          <w:bCs/>
        </w:rPr>
        <w:t>Las inversiones inmobiliarias se amortizan por el método de amortización lineal en los mismos plazo</w:t>
      </w:r>
      <w:r w:rsidR="00CA6E1A">
        <w:rPr>
          <w:rFonts w:ascii="NewBaskerville" w:hAnsi="NewBaskerville"/>
          <w:bCs/>
        </w:rPr>
        <w:t>s que el inmovilizado material, excepto los bienes revertidos de concesiones a la Entidad</w:t>
      </w:r>
      <w:r w:rsidR="00E12B50">
        <w:rPr>
          <w:rFonts w:ascii="NewBaskerville" w:hAnsi="NewBaskerville"/>
          <w:bCs/>
        </w:rPr>
        <w:t>,</w:t>
      </w:r>
      <w:r w:rsidR="00CA6E1A">
        <w:rPr>
          <w:rFonts w:ascii="NewBaskerville" w:hAnsi="NewBaskerville"/>
          <w:bCs/>
        </w:rPr>
        <w:t xml:space="preserve"> cuya vida útil futura estimada se determina en la fecha de reversión por </w:t>
      </w:r>
      <w:r w:rsidR="004D5CA3">
        <w:rPr>
          <w:rFonts w:ascii="NewBaskerville" w:hAnsi="NewBaskerville"/>
          <w:bCs/>
        </w:rPr>
        <w:t xml:space="preserve">un </w:t>
      </w:r>
      <w:r w:rsidR="00CA6E1A">
        <w:rPr>
          <w:rFonts w:ascii="NewBaskerville" w:hAnsi="NewBaskerville"/>
          <w:bCs/>
        </w:rPr>
        <w:t>experto</w:t>
      </w:r>
      <w:r w:rsidR="00E12B50">
        <w:rPr>
          <w:rFonts w:ascii="NewBaskerville" w:hAnsi="NewBaskerville"/>
          <w:bCs/>
        </w:rPr>
        <w:t xml:space="preserve"> perito.</w:t>
      </w:r>
    </w:p>
    <w:p w:rsidR="006E464E" w:rsidRPr="006C6932" w:rsidRDefault="006E464E" w:rsidP="0060409F">
      <w:pPr>
        <w:tabs>
          <w:tab w:val="center" w:pos="1843"/>
          <w:tab w:val="center" w:pos="5671"/>
          <w:tab w:val="center" w:pos="7797"/>
        </w:tabs>
        <w:ind w:firstLine="540"/>
        <w:jc w:val="both"/>
        <w:rPr>
          <w:rFonts w:ascii="NewBaskerville" w:hAnsi="NewBaskerville"/>
          <w:bCs/>
        </w:rPr>
      </w:pPr>
    </w:p>
    <w:p w:rsidR="00994232" w:rsidRPr="006C6932" w:rsidRDefault="002C4355" w:rsidP="00BA6314">
      <w:pPr>
        <w:pStyle w:val="Prrafodelista"/>
        <w:numPr>
          <w:ilvl w:val="0"/>
          <w:numId w:val="41"/>
        </w:numPr>
        <w:spacing w:after="120"/>
        <w:jc w:val="both"/>
        <w:rPr>
          <w:rFonts w:ascii="NewBaskerville" w:hAnsi="NewBaskerville"/>
          <w:bCs/>
        </w:rPr>
      </w:pPr>
      <w:r w:rsidRPr="006C6932">
        <w:rPr>
          <w:rFonts w:ascii="NewBaskerville" w:hAnsi="NewBaskerville"/>
          <w:bCs/>
        </w:rPr>
        <w:t>Deterioro del valor de los activos no financieros</w:t>
      </w:r>
      <w:r w:rsidR="00994232" w:rsidRPr="006C6932">
        <w:rPr>
          <w:rFonts w:ascii="NewBaskerville" w:hAnsi="NewBaskerville"/>
          <w:bCs/>
        </w:rPr>
        <w:t xml:space="preserve"> sujetos a amortización o depreciación</w:t>
      </w:r>
    </w:p>
    <w:p w:rsidR="00994232" w:rsidRPr="006C6932" w:rsidRDefault="00994232" w:rsidP="00994232">
      <w:pPr>
        <w:tabs>
          <w:tab w:val="center" w:pos="1843"/>
          <w:tab w:val="center" w:pos="5671"/>
          <w:tab w:val="center" w:pos="7797"/>
        </w:tabs>
        <w:ind w:firstLine="567"/>
        <w:jc w:val="both"/>
        <w:rPr>
          <w:rFonts w:ascii="NewBaskerville" w:hAnsi="NewBaskerville"/>
          <w:bCs/>
        </w:rPr>
      </w:pPr>
      <w:r w:rsidRPr="006C6932">
        <w:rPr>
          <w:rFonts w:ascii="NewBaskerville" w:hAnsi="NewBaskerville"/>
          <w:bCs/>
        </w:rPr>
        <w:t>La Autoridad Portuaria analiza la existencia de deterioro de sus activos de acuerdo con lo establecido en e</w:t>
      </w:r>
      <w:r w:rsidR="00D6197D" w:rsidRPr="006C6932">
        <w:rPr>
          <w:rFonts w:ascii="NewBaskerville" w:hAnsi="NewBaskerville"/>
          <w:bCs/>
        </w:rPr>
        <w:t>l Plan General de Contabilidad,</w:t>
      </w:r>
      <w:r w:rsidRPr="006C6932">
        <w:rPr>
          <w:rFonts w:ascii="NewBaskerville" w:hAnsi="NewBaskerville"/>
          <w:bCs/>
        </w:rPr>
        <w:t xml:space="preserve"> </w:t>
      </w:r>
      <w:r w:rsidR="00F575DF">
        <w:rPr>
          <w:rFonts w:ascii="NewBaskerville" w:hAnsi="NewBaskerville"/>
          <w:bCs/>
        </w:rPr>
        <w:t xml:space="preserve">y </w:t>
      </w:r>
      <w:r w:rsidRPr="006C6932">
        <w:rPr>
          <w:rFonts w:ascii="NewBaskerville" w:hAnsi="NewBaskerville"/>
          <w:bCs/>
        </w:rPr>
        <w:t>en la resolución de ICAC de 18 de setiembre de 2013</w:t>
      </w:r>
      <w:r w:rsidR="00871878">
        <w:rPr>
          <w:rFonts w:ascii="NewBaskerville" w:hAnsi="NewBaskerville"/>
          <w:bCs/>
        </w:rPr>
        <w:t>,</w:t>
      </w:r>
      <w:r w:rsidRPr="006C6932">
        <w:rPr>
          <w:rFonts w:ascii="NewBaskerville" w:hAnsi="NewBaskerville"/>
          <w:bCs/>
        </w:rPr>
        <w:t xml:space="preserve"> </w:t>
      </w:r>
      <w:r w:rsidR="00D6197D" w:rsidRPr="006C6932">
        <w:rPr>
          <w:rFonts w:ascii="NewBaskerville" w:hAnsi="NewBaskerville"/>
          <w:bCs/>
        </w:rPr>
        <w:t xml:space="preserve">ya </w:t>
      </w:r>
      <w:r w:rsidRPr="006C6932">
        <w:rPr>
          <w:rFonts w:ascii="NewBaskerville" w:hAnsi="NewBaskerville"/>
          <w:bCs/>
        </w:rPr>
        <w:t>que según lo establecido en su norma primera resulta de aplicación para los activos</w:t>
      </w:r>
      <w:r w:rsidR="00E36D30">
        <w:rPr>
          <w:rFonts w:ascii="NewBaskerville" w:hAnsi="NewBaskerville"/>
          <w:bCs/>
        </w:rPr>
        <w:t xml:space="preserve"> generadores de efectivo de esta Entidad</w:t>
      </w:r>
      <w:r w:rsidR="00871878">
        <w:rPr>
          <w:rFonts w:ascii="NewBaskerville" w:hAnsi="NewBaskerville"/>
          <w:bCs/>
        </w:rPr>
        <w:t>,</w:t>
      </w:r>
      <w:r w:rsidR="00E36D30">
        <w:rPr>
          <w:rFonts w:ascii="NewBaskerville" w:hAnsi="NewBaskerville"/>
          <w:bCs/>
        </w:rPr>
        <w:t xml:space="preserve"> </w:t>
      </w:r>
      <w:r w:rsidR="00D6197D" w:rsidRPr="006C6932">
        <w:rPr>
          <w:rFonts w:ascii="NewBaskerville" w:hAnsi="NewBaskerville"/>
          <w:bCs/>
        </w:rPr>
        <w:t>y la Orden EHA</w:t>
      </w:r>
      <w:r w:rsidR="003D4191">
        <w:rPr>
          <w:rFonts w:ascii="NewBaskerville" w:hAnsi="NewBaskerville"/>
          <w:bCs/>
        </w:rPr>
        <w:t>/</w:t>
      </w:r>
      <w:r w:rsidR="00D6197D" w:rsidRPr="006C6932">
        <w:rPr>
          <w:rFonts w:ascii="NewBaskerville" w:hAnsi="NewBaskerville"/>
          <w:bCs/>
        </w:rPr>
        <w:t>733/2010.</w:t>
      </w:r>
    </w:p>
    <w:p w:rsidR="002C4355" w:rsidRPr="006C6932" w:rsidRDefault="002C4355" w:rsidP="00790062">
      <w:pPr>
        <w:tabs>
          <w:tab w:val="center" w:pos="1843"/>
          <w:tab w:val="center" w:pos="5671"/>
          <w:tab w:val="center" w:pos="7797"/>
        </w:tabs>
        <w:jc w:val="both"/>
        <w:rPr>
          <w:rFonts w:ascii="NewBaskerville" w:hAnsi="NewBaskerville"/>
          <w:bCs/>
        </w:rPr>
      </w:pPr>
    </w:p>
    <w:p w:rsidR="004C7DAF" w:rsidRPr="006C6932" w:rsidRDefault="002C4355">
      <w:pPr>
        <w:tabs>
          <w:tab w:val="center" w:pos="1843"/>
          <w:tab w:val="center" w:pos="5671"/>
          <w:tab w:val="center" w:pos="7797"/>
        </w:tabs>
        <w:ind w:firstLine="567"/>
        <w:jc w:val="both"/>
        <w:rPr>
          <w:rFonts w:ascii="NewBaskerville" w:hAnsi="NewBaskerville"/>
          <w:bCs/>
        </w:rPr>
      </w:pPr>
      <w:r w:rsidRPr="006C6932">
        <w:rPr>
          <w:rFonts w:ascii="NewBaskerville" w:hAnsi="NewBaskerville"/>
          <w:bCs/>
        </w:rPr>
        <w:t>Al menos al cierre del ejercicio, la Entidad evalúa si existen indicios de que algún activo no corriente pueda estar deteriorado</w:t>
      </w:r>
      <w:r w:rsidR="00640B8A">
        <w:rPr>
          <w:rFonts w:ascii="NewBaskerville" w:hAnsi="NewBaskerville"/>
          <w:bCs/>
        </w:rPr>
        <w:t>,</w:t>
      </w:r>
      <w:r w:rsidR="004C7DAF" w:rsidRPr="006C6932">
        <w:rPr>
          <w:rFonts w:ascii="NewBaskerville" w:hAnsi="NewBaskerville"/>
          <w:bCs/>
        </w:rPr>
        <w:t xml:space="preserve"> en particular si</w:t>
      </w:r>
      <w:r w:rsidR="007E4000">
        <w:rPr>
          <w:rFonts w:ascii="NewBaskerville" w:hAnsi="NewBaskerville"/>
          <w:bCs/>
        </w:rPr>
        <w:t>:</w:t>
      </w:r>
      <w:r w:rsidR="004C7DAF" w:rsidRPr="006C6932">
        <w:rPr>
          <w:rFonts w:ascii="NewBaskerville" w:hAnsi="NewBaskerville"/>
          <w:bCs/>
        </w:rPr>
        <w:t xml:space="preserve">  </w:t>
      </w:r>
    </w:p>
    <w:p w:rsidR="00D6197D" w:rsidRPr="006C6932" w:rsidRDefault="00D6197D">
      <w:pPr>
        <w:tabs>
          <w:tab w:val="center" w:pos="1843"/>
          <w:tab w:val="center" w:pos="5671"/>
          <w:tab w:val="center" w:pos="7797"/>
        </w:tabs>
        <w:ind w:firstLine="567"/>
        <w:jc w:val="both"/>
        <w:rPr>
          <w:rFonts w:ascii="NewBaskerville" w:hAnsi="NewBaskerville"/>
          <w:bCs/>
        </w:rPr>
      </w:pPr>
    </w:p>
    <w:p w:rsidR="004C7DAF" w:rsidRPr="006C6932" w:rsidRDefault="004C7DAF" w:rsidP="005D0B44">
      <w:pPr>
        <w:numPr>
          <w:ilvl w:val="0"/>
          <w:numId w:val="10"/>
        </w:numPr>
        <w:tabs>
          <w:tab w:val="center" w:pos="1134"/>
          <w:tab w:val="center" w:pos="5671"/>
          <w:tab w:val="center" w:pos="7797"/>
        </w:tabs>
        <w:ind w:left="1134" w:hanging="283"/>
        <w:jc w:val="both"/>
        <w:rPr>
          <w:rFonts w:ascii="NewBaskerville" w:hAnsi="NewBaskerville"/>
          <w:bCs/>
        </w:rPr>
      </w:pPr>
      <w:r w:rsidRPr="006C6932">
        <w:rPr>
          <w:rFonts w:ascii="NewBaskerville" w:hAnsi="NewBaskerville"/>
          <w:bCs/>
        </w:rPr>
        <w:t xml:space="preserve">Hay </w:t>
      </w:r>
      <w:r w:rsidR="008155BC" w:rsidRPr="006C6932">
        <w:rPr>
          <w:rFonts w:ascii="NewBaskerville" w:hAnsi="NewBaskerville"/>
          <w:bCs/>
        </w:rPr>
        <w:t>cambios significativos en el entorno tecnológico, regulatorio, legal o económicos</w:t>
      </w:r>
      <w:r w:rsidR="0035398A" w:rsidRPr="006C6932">
        <w:rPr>
          <w:rFonts w:ascii="NewBaskerville" w:hAnsi="NewBaskerville"/>
          <w:bCs/>
        </w:rPr>
        <w:t xml:space="preserve"> que tengan una incidencia n</w:t>
      </w:r>
      <w:r w:rsidRPr="006C6932">
        <w:rPr>
          <w:rFonts w:ascii="NewBaskerville" w:hAnsi="NewBaskerville"/>
          <w:bCs/>
        </w:rPr>
        <w:t>egativa sobre la empresa.</w:t>
      </w:r>
    </w:p>
    <w:p w:rsidR="008E58B8" w:rsidRPr="006C6932" w:rsidRDefault="004C7DAF" w:rsidP="005D0B44">
      <w:pPr>
        <w:numPr>
          <w:ilvl w:val="0"/>
          <w:numId w:val="10"/>
        </w:numPr>
        <w:tabs>
          <w:tab w:val="center" w:pos="1134"/>
          <w:tab w:val="center" w:pos="5671"/>
          <w:tab w:val="center" w:pos="7797"/>
        </w:tabs>
        <w:ind w:left="1134" w:hanging="283"/>
        <w:jc w:val="both"/>
        <w:rPr>
          <w:rFonts w:ascii="NewBaskerville" w:hAnsi="NewBaskerville"/>
          <w:bCs/>
        </w:rPr>
      </w:pPr>
      <w:r w:rsidRPr="006C6932">
        <w:rPr>
          <w:rFonts w:ascii="NewBaskerville" w:hAnsi="NewBaskerville"/>
          <w:bCs/>
        </w:rPr>
        <w:t>Disminución significativa de su valor razonable superior a la esperada por su uso normal.</w:t>
      </w:r>
    </w:p>
    <w:p w:rsidR="004C7DAF" w:rsidRPr="006C6932" w:rsidRDefault="004C7DAF" w:rsidP="005D0B44">
      <w:pPr>
        <w:numPr>
          <w:ilvl w:val="0"/>
          <w:numId w:val="10"/>
        </w:numPr>
        <w:tabs>
          <w:tab w:val="center" w:pos="1134"/>
          <w:tab w:val="center" w:pos="5671"/>
          <w:tab w:val="center" w:pos="7797"/>
        </w:tabs>
        <w:ind w:left="1134" w:hanging="283"/>
        <w:jc w:val="both"/>
        <w:rPr>
          <w:rFonts w:ascii="NewBaskerville" w:hAnsi="NewBaskerville"/>
          <w:bCs/>
        </w:rPr>
      </w:pPr>
      <w:r w:rsidRPr="006C6932">
        <w:rPr>
          <w:rFonts w:ascii="NewBaskerville" w:hAnsi="NewBaskerville"/>
          <w:bCs/>
        </w:rPr>
        <w:t>Evidencia de obsolescencia, cambios en el rendimiento</w:t>
      </w:r>
      <w:r w:rsidR="00752472" w:rsidRPr="006C6932">
        <w:rPr>
          <w:rFonts w:ascii="NewBaskerville" w:hAnsi="NewBaskerville"/>
          <w:bCs/>
        </w:rPr>
        <w:t xml:space="preserve"> o deterioro físico, no previstos a través de la amortización.</w:t>
      </w:r>
    </w:p>
    <w:p w:rsidR="00320CB8" w:rsidRPr="006C6932" w:rsidRDefault="00320CB8" w:rsidP="005D0B44">
      <w:pPr>
        <w:numPr>
          <w:ilvl w:val="0"/>
          <w:numId w:val="10"/>
        </w:numPr>
        <w:tabs>
          <w:tab w:val="center" w:pos="1134"/>
          <w:tab w:val="center" w:pos="5671"/>
          <w:tab w:val="center" w:pos="7797"/>
        </w:tabs>
        <w:ind w:left="1134" w:hanging="283"/>
        <w:jc w:val="both"/>
        <w:rPr>
          <w:rFonts w:ascii="NewBaskerville" w:hAnsi="NewBaskerville"/>
          <w:bCs/>
        </w:rPr>
      </w:pPr>
      <w:r w:rsidRPr="006C6932">
        <w:rPr>
          <w:rFonts w:ascii="NewBaskerville" w:hAnsi="NewBaskerville"/>
          <w:bCs/>
        </w:rPr>
        <w:t>Cambios significativos en la demanda o la forma de utilización del activo que tengan influencia relevante y negativa sobre la empresa.</w:t>
      </w:r>
    </w:p>
    <w:p w:rsidR="00320CB8" w:rsidRPr="006C6932" w:rsidRDefault="00320CB8" w:rsidP="00320CB8">
      <w:pPr>
        <w:tabs>
          <w:tab w:val="center" w:pos="1134"/>
          <w:tab w:val="center" w:pos="5671"/>
          <w:tab w:val="center" w:pos="7797"/>
        </w:tabs>
        <w:ind w:left="1134"/>
        <w:jc w:val="both"/>
        <w:rPr>
          <w:rFonts w:ascii="NewBaskerville" w:hAnsi="NewBaskerville"/>
          <w:bCs/>
        </w:rPr>
      </w:pPr>
    </w:p>
    <w:p w:rsidR="002C4355" w:rsidRPr="006C6932" w:rsidRDefault="00523CD1" w:rsidP="00523CD1">
      <w:pPr>
        <w:tabs>
          <w:tab w:val="center" w:pos="1843"/>
          <w:tab w:val="center" w:pos="5671"/>
          <w:tab w:val="center" w:pos="7797"/>
        </w:tabs>
        <w:ind w:firstLine="567"/>
        <w:jc w:val="both"/>
        <w:rPr>
          <w:rFonts w:ascii="NewBaskerville" w:hAnsi="NewBaskerville"/>
          <w:bCs/>
        </w:rPr>
      </w:pPr>
      <w:r w:rsidRPr="006C6932">
        <w:rPr>
          <w:rFonts w:ascii="NewBaskerville" w:hAnsi="NewBaskerville"/>
          <w:bCs/>
        </w:rPr>
        <w:t xml:space="preserve">  Se produce una pérdida </w:t>
      </w:r>
      <w:r w:rsidR="006010B3" w:rsidRPr="006C6932">
        <w:rPr>
          <w:rFonts w:ascii="NewBaskerville" w:hAnsi="NewBaskerville"/>
          <w:bCs/>
        </w:rPr>
        <w:t>por deterioro de valor cuando su valor contable supere a su importe recuperable, entendiendo éste como el mayor importe entre su valor razonable menos los co</w:t>
      </w:r>
      <w:r w:rsidRPr="006C6932">
        <w:rPr>
          <w:rFonts w:ascii="NewBaskerville" w:hAnsi="NewBaskerville"/>
          <w:bCs/>
        </w:rPr>
        <w:t>stes de venta y su valor en uso para los activos generadores de efectivo</w:t>
      </w:r>
      <w:r w:rsidR="00CF25FE">
        <w:rPr>
          <w:rFonts w:ascii="NewBaskerville" w:hAnsi="NewBaskerville"/>
          <w:bCs/>
        </w:rPr>
        <w:t>,</w:t>
      </w:r>
      <w:r w:rsidRPr="006C6932">
        <w:rPr>
          <w:rFonts w:ascii="NewBaskerville" w:hAnsi="NewBaskerville"/>
          <w:bCs/>
        </w:rPr>
        <w:t xml:space="preserve"> y el mayor valor entre el coste de reposición depreciado y el valor razonable menos los costes de venta para los activos no generadores de efectivo.</w:t>
      </w:r>
    </w:p>
    <w:p w:rsidR="00D6197D" w:rsidRPr="006C6932" w:rsidRDefault="00D6197D" w:rsidP="00523CD1">
      <w:pPr>
        <w:tabs>
          <w:tab w:val="center" w:pos="1843"/>
          <w:tab w:val="center" w:pos="5671"/>
          <w:tab w:val="center" w:pos="7797"/>
        </w:tabs>
        <w:ind w:firstLine="567"/>
        <w:jc w:val="both"/>
        <w:rPr>
          <w:rFonts w:ascii="NewBaskerville" w:hAnsi="NewBaskerville"/>
          <w:bCs/>
        </w:rPr>
      </w:pPr>
    </w:p>
    <w:p w:rsidR="00E6742F" w:rsidRDefault="002C4355" w:rsidP="008A5BD6">
      <w:pPr>
        <w:tabs>
          <w:tab w:val="center" w:pos="1843"/>
          <w:tab w:val="center" w:pos="5671"/>
          <w:tab w:val="center" w:pos="7797"/>
        </w:tabs>
        <w:ind w:firstLine="567"/>
        <w:jc w:val="both"/>
        <w:rPr>
          <w:rFonts w:ascii="NewBaskerville" w:hAnsi="NewBaskerville"/>
          <w:bCs/>
        </w:rPr>
      </w:pPr>
      <w:r w:rsidRPr="006C6932">
        <w:rPr>
          <w:rFonts w:ascii="NewBaskerville" w:hAnsi="NewBaskerville"/>
          <w:bCs/>
        </w:rPr>
        <w:t>Las correcciones valorativas por deterioro y su reversión se contabilizan en la cuenta de pérdidas y ganancias. Las correcciones valorativas por deterioro se revierten cuando las circunstancias que las motivaron dejan de existir</w:t>
      </w:r>
      <w:r w:rsidR="00DF294E" w:rsidRPr="006C6932">
        <w:rPr>
          <w:rFonts w:ascii="NewBaskerville" w:hAnsi="NewBaskerville"/>
          <w:bCs/>
        </w:rPr>
        <w:t>, teniendo</w:t>
      </w:r>
      <w:r w:rsidRPr="006C6932">
        <w:rPr>
          <w:rFonts w:ascii="NewBaskerville" w:hAnsi="NewBaskerville"/>
          <w:bCs/>
        </w:rPr>
        <w:t xml:space="preserve"> como límite el valor contable del activo que figuraría si no se hubiera reconocido previamente el correspondiente deterioro del valor.</w:t>
      </w:r>
      <w:r w:rsidR="00790062" w:rsidRPr="006C6932">
        <w:rPr>
          <w:rFonts w:ascii="NewBaskerville" w:hAnsi="NewBaskerville"/>
          <w:bCs/>
        </w:rPr>
        <w:t xml:space="preserve"> La reversión de la pérdida por deterioro de valor se registra con abono a la cuenta de pérdidas y gana</w:t>
      </w:r>
      <w:r w:rsidR="00A60572" w:rsidRPr="006C6932">
        <w:rPr>
          <w:rFonts w:ascii="NewBaskerville" w:hAnsi="NewBaskerville"/>
          <w:bCs/>
        </w:rPr>
        <w:t>n</w:t>
      </w:r>
      <w:r w:rsidR="00790062" w:rsidRPr="006C6932">
        <w:rPr>
          <w:rFonts w:ascii="NewBaskerville" w:hAnsi="NewBaskerville"/>
          <w:bCs/>
        </w:rPr>
        <w:t>cias.</w:t>
      </w:r>
    </w:p>
    <w:p w:rsidR="00074175" w:rsidRPr="006C6932" w:rsidRDefault="00074175" w:rsidP="008A5BD6">
      <w:pPr>
        <w:tabs>
          <w:tab w:val="center" w:pos="1843"/>
          <w:tab w:val="center" w:pos="5671"/>
          <w:tab w:val="center" w:pos="7797"/>
        </w:tabs>
        <w:ind w:firstLine="567"/>
        <w:jc w:val="both"/>
        <w:rPr>
          <w:rFonts w:ascii="NewBaskerville" w:hAnsi="NewBaskerville"/>
          <w:bCs/>
        </w:rPr>
      </w:pPr>
    </w:p>
    <w:p w:rsidR="002C4355" w:rsidRPr="006C6932" w:rsidRDefault="002C4355" w:rsidP="00BA6314">
      <w:pPr>
        <w:numPr>
          <w:ilvl w:val="0"/>
          <w:numId w:val="41"/>
        </w:numPr>
        <w:spacing w:after="120"/>
        <w:ind w:left="567" w:hanging="283"/>
        <w:jc w:val="both"/>
        <w:rPr>
          <w:rFonts w:ascii="NewBaskerville" w:hAnsi="NewBaskerville"/>
          <w:bCs/>
        </w:rPr>
      </w:pPr>
      <w:r w:rsidRPr="006C6932">
        <w:rPr>
          <w:rFonts w:ascii="NewBaskerville" w:hAnsi="NewBaskerville"/>
          <w:bCs/>
        </w:rPr>
        <w:t>Arrendamientos</w:t>
      </w:r>
    </w:p>
    <w:p w:rsidR="002C4355" w:rsidRDefault="002C4355" w:rsidP="00074175">
      <w:pPr>
        <w:tabs>
          <w:tab w:val="center" w:pos="1843"/>
          <w:tab w:val="center" w:pos="5671"/>
          <w:tab w:val="center" w:pos="7797"/>
        </w:tabs>
        <w:spacing w:before="100"/>
        <w:ind w:firstLine="567"/>
        <w:jc w:val="both"/>
        <w:rPr>
          <w:rFonts w:ascii="NewBaskerville" w:hAnsi="NewBaskerville"/>
          <w:bCs/>
        </w:rPr>
      </w:pPr>
      <w:r w:rsidRPr="006C6932">
        <w:rPr>
          <w:rFonts w:ascii="NewBaskerville" w:hAnsi="NewBaskerville"/>
          <w:bCs/>
        </w:rPr>
        <w:t>Los ingresos derivados de los</w:t>
      </w:r>
      <w:r w:rsidR="00AF2BF5">
        <w:rPr>
          <w:rFonts w:ascii="NewBaskerville" w:hAnsi="NewBaskerville"/>
          <w:bCs/>
        </w:rPr>
        <w:t xml:space="preserve"> acuerdos de</w:t>
      </w:r>
      <w:r w:rsidRPr="006C6932">
        <w:rPr>
          <w:rFonts w:ascii="NewBaskerville" w:hAnsi="NewBaskerville"/>
          <w:bCs/>
        </w:rPr>
        <w:t xml:space="preserve"> arrendam</w:t>
      </w:r>
      <w:r w:rsidR="00AF2BF5">
        <w:rPr>
          <w:rFonts w:ascii="NewBaskerville" w:hAnsi="NewBaskerville"/>
          <w:bCs/>
        </w:rPr>
        <w:t>iento operativo son considerados como ingreso del ejercicio en el que los mismos se devenguen, imputándose a la cuenta de pérdidas y ganancias,</w:t>
      </w:r>
      <w:r w:rsidR="002B5526" w:rsidRPr="006C6932">
        <w:rPr>
          <w:rFonts w:ascii="NewBaskerville" w:hAnsi="NewBaskerville"/>
          <w:bCs/>
        </w:rPr>
        <w:t xml:space="preserve"> </w:t>
      </w:r>
      <w:r w:rsidR="00AF2BF5">
        <w:rPr>
          <w:rFonts w:ascii="NewBaskerville" w:hAnsi="NewBaskerville"/>
          <w:bCs/>
        </w:rPr>
        <w:t xml:space="preserve">y </w:t>
      </w:r>
      <w:r w:rsidR="002B5526" w:rsidRPr="006C6932">
        <w:rPr>
          <w:rFonts w:ascii="NewBaskerville" w:hAnsi="NewBaskerville"/>
          <w:bCs/>
        </w:rPr>
        <w:t>se reconocen de forma lineal a lo largo del plazo de arrendamiento</w:t>
      </w:r>
      <w:r w:rsidR="0019630E" w:rsidRPr="006C6932">
        <w:rPr>
          <w:rFonts w:ascii="NewBaskerville" w:hAnsi="NewBaskerville"/>
          <w:bCs/>
        </w:rPr>
        <w:t>.</w:t>
      </w:r>
    </w:p>
    <w:p w:rsidR="00AF2BF5" w:rsidRPr="006C6932" w:rsidRDefault="00AF2BF5" w:rsidP="00074175">
      <w:pPr>
        <w:tabs>
          <w:tab w:val="center" w:pos="1843"/>
          <w:tab w:val="center" w:pos="5671"/>
          <w:tab w:val="center" w:pos="7797"/>
        </w:tabs>
        <w:spacing w:before="100"/>
        <w:ind w:firstLine="567"/>
        <w:jc w:val="both"/>
        <w:rPr>
          <w:rFonts w:ascii="NewBaskerville" w:hAnsi="NewBaskerville"/>
          <w:bCs/>
        </w:rPr>
      </w:pPr>
      <w:r>
        <w:rPr>
          <w:rFonts w:ascii="NewBaskerville" w:hAnsi="NewBaskerville"/>
          <w:bCs/>
        </w:rPr>
        <w:lastRenderedPageBreak/>
        <w:t>Los gastos correspondientes a la Entidad</w:t>
      </w:r>
      <w:r w:rsidR="00CA1C0A">
        <w:rPr>
          <w:rFonts w:ascii="NewBaskerville" w:hAnsi="NewBaskerville"/>
          <w:bCs/>
        </w:rPr>
        <w:t xml:space="preserve"> como arrendataria derivados de acuerdos de arrendamiento operativo, son considerados gasto del ejercicio en el que los mismos se devenguen, imputándose a la cuenta de pérdidas y ganancias.</w:t>
      </w:r>
    </w:p>
    <w:p w:rsidR="007926F9" w:rsidRDefault="007926F9" w:rsidP="00396608">
      <w:pPr>
        <w:tabs>
          <w:tab w:val="center" w:pos="1843"/>
          <w:tab w:val="center" w:pos="5671"/>
          <w:tab w:val="center" w:pos="7797"/>
        </w:tabs>
        <w:ind w:firstLine="567"/>
        <w:jc w:val="both"/>
        <w:rPr>
          <w:bCs/>
        </w:rPr>
      </w:pPr>
    </w:p>
    <w:p w:rsidR="007C12D1" w:rsidRPr="00864153" w:rsidRDefault="002C4355" w:rsidP="00BA6314">
      <w:pPr>
        <w:numPr>
          <w:ilvl w:val="0"/>
          <w:numId w:val="41"/>
        </w:numPr>
        <w:spacing w:after="120"/>
        <w:ind w:left="567" w:hanging="283"/>
        <w:jc w:val="both"/>
        <w:rPr>
          <w:rFonts w:ascii="NewBaskerville" w:hAnsi="NewBaskerville"/>
          <w:bCs/>
        </w:rPr>
      </w:pPr>
      <w:r w:rsidRPr="00864153">
        <w:rPr>
          <w:rFonts w:ascii="NewBaskerville" w:hAnsi="NewBaskerville"/>
          <w:bCs/>
        </w:rPr>
        <w:t>Instrumentos financieros</w:t>
      </w:r>
    </w:p>
    <w:p w:rsidR="007C12D1" w:rsidRDefault="007C12D1" w:rsidP="00396608">
      <w:pPr>
        <w:tabs>
          <w:tab w:val="center" w:pos="1843"/>
          <w:tab w:val="center" w:pos="5671"/>
          <w:tab w:val="center" w:pos="7797"/>
        </w:tabs>
        <w:ind w:firstLine="567"/>
        <w:jc w:val="both"/>
        <w:rPr>
          <w:rFonts w:ascii="NewBaskerville" w:hAnsi="NewBaskerville"/>
          <w:bCs/>
        </w:rPr>
      </w:pPr>
      <w:r w:rsidRPr="00864153">
        <w:rPr>
          <w:rFonts w:ascii="NewBaskerville" w:hAnsi="NewBaskerville"/>
          <w:bCs/>
        </w:rPr>
        <w:t>Los instrumentos financieros se clasifican en el momento de su reconocimiento inicial</w:t>
      </w:r>
      <w:r w:rsidR="008F62CB" w:rsidRPr="00864153">
        <w:rPr>
          <w:rFonts w:ascii="NewBaskerville" w:hAnsi="NewBaskerville"/>
          <w:bCs/>
        </w:rPr>
        <w:t xml:space="preserve"> como un activo financiero, pasi</w:t>
      </w:r>
      <w:r w:rsidRPr="00864153">
        <w:rPr>
          <w:rFonts w:ascii="NewBaskerville" w:hAnsi="NewBaskerville"/>
          <w:bCs/>
        </w:rPr>
        <w:t>vo financiero o un instrumento de patrimonio de conformidad con sus características.</w:t>
      </w:r>
    </w:p>
    <w:p w:rsidR="00E36D30" w:rsidRDefault="00E36D30" w:rsidP="00396608">
      <w:pPr>
        <w:tabs>
          <w:tab w:val="center" w:pos="1843"/>
          <w:tab w:val="center" w:pos="5671"/>
          <w:tab w:val="center" w:pos="7797"/>
        </w:tabs>
        <w:ind w:firstLine="567"/>
        <w:jc w:val="both"/>
        <w:rPr>
          <w:rFonts w:ascii="NewBaskerville" w:hAnsi="NewBaskerville"/>
          <w:bCs/>
        </w:rPr>
      </w:pPr>
      <w:r>
        <w:rPr>
          <w:rFonts w:ascii="NewBaskerville" w:hAnsi="NewBaskerville"/>
          <w:bCs/>
        </w:rPr>
        <w:t xml:space="preserve">La Entidad reconocerá un instrumento financiero en su balance cuando se convierta en una parte obligada del contrato o negocio jurídico conforme a las disposiciones del mismo, bien como emisor o como </w:t>
      </w:r>
      <w:r w:rsidR="003F24D6">
        <w:rPr>
          <w:rFonts w:ascii="NewBaskerville" w:hAnsi="NewBaskerville"/>
          <w:bCs/>
        </w:rPr>
        <w:t>tenedor</w:t>
      </w:r>
      <w:r>
        <w:rPr>
          <w:rFonts w:ascii="NewBaskerville" w:hAnsi="NewBaskerville"/>
          <w:bCs/>
        </w:rPr>
        <w:t xml:space="preserve"> o adquiriente de aquél.</w:t>
      </w:r>
    </w:p>
    <w:p w:rsidR="007D5CD1" w:rsidRPr="00864153" w:rsidRDefault="007D5CD1" w:rsidP="00396608">
      <w:pPr>
        <w:tabs>
          <w:tab w:val="center" w:pos="1843"/>
          <w:tab w:val="center" w:pos="5671"/>
          <w:tab w:val="center" w:pos="7797"/>
        </w:tabs>
        <w:ind w:firstLine="567"/>
        <w:jc w:val="both"/>
        <w:rPr>
          <w:rFonts w:ascii="NewBaskerville" w:hAnsi="NewBaskerville"/>
          <w:bCs/>
        </w:rPr>
      </w:pPr>
      <w:r>
        <w:rPr>
          <w:rFonts w:ascii="NewBaskerville" w:hAnsi="NewBaskerville"/>
          <w:bCs/>
        </w:rPr>
        <w:t>La APB clasifica los instrumentos financieros en las diferentes categorías atendiendo a las características y a las intenciones del Departamento Económico-Financiero de la Entidad en el momento de su reconocimiento inicial.</w:t>
      </w:r>
    </w:p>
    <w:p w:rsidR="007926F9" w:rsidRPr="00072D1A" w:rsidRDefault="002C4355" w:rsidP="007F4E28">
      <w:pPr>
        <w:tabs>
          <w:tab w:val="center" w:pos="5671"/>
          <w:tab w:val="center" w:pos="7797"/>
        </w:tabs>
        <w:ind w:firstLine="568"/>
        <w:jc w:val="both"/>
      </w:pPr>
      <w:r w:rsidRPr="00072D1A">
        <w:t xml:space="preserve"> </w:t>
      </w:r>
    </w:p>
    <w:p w:rsidR="002C4355" w:rsidRPr="00864153" w:rsidRDefault="002C4355" w:rsidP="005D0B44">
      <w:pPr>
        <w:pStyle w:val="Sangra2detindependiente"/>
        <w:numPr>
          <w:ilvl w:val="0"/>
          <w:numId w:val="2"/>
        </w:numPr>
        <w:tabs>
          <w:tab w:val="clear" w:pos="1843"/>
          <w:tab w:val="clear" w:pos="5671"/>
          <w:tab w:val="clear" w:pos="7797"/>
        </w:tabs>
        <w:ind w:left="1134" w:hanging="283"/>
        <w:rPr>
          <w:rFonts w:ascii="NewBaskerville" w:hAnsi="NewBaskerville"/>
          <w:sz w:val="20"/>
        </w:rPr>
      </w:pPr>
      <w:r w:rsidRPr="00864153">
        <w:rPr>
          <w:rFonts w:ascii="NewBaskerville" w:hAnsi="NewBaskerville"/>
          <w:sz w:val="20"/>
        </w:rPr>
        <w:t>Activos financieros</w:t>
      </w:r>
    </w:p>
    <w:p w:rsidR="007D42E0" w:rsidRPr="00AE3B6A" w:rsidRDefault="00AE3B6A" w:rsidP="00ED7B5A">
      <w:pPr>
        <w:spacing w:before="240"/>
        <w:rPr>
          <w:rFonts w:ascii="NewBaskerville" w:hAnsi="NewBaskerville" w:cs="Arial"/>
          <w:u w:val="single"/>
        </w:rPr>
      </w:pPr>
      <w:r>
        <w:rPr>
          <w:rFonts w:ascii="NewBaskerville" w:hAnsi="NewBaskerville" w:cs="Arial"/>
          <w:u w:val="single"/>
        </w:rPr>
        <w:t>Activos financieros a coste amortizado.</w:t>
      </w:r>
    </w:p>
    <w:p w:rsidR="002C4355" w:rsidRPr="00072D1A" w:rsidRDefault="002C4355" w:rsidP="003B432F">
      <w:pPr>
        <w:pStyle w:val="Ttulo5"/>
        <w:ind w:left="709"/>
        <w:rPr>
          <w:sz w:val="20"/>
        </w:rPr>
      </w:pPr>
    </w:p>
    <w:p w:rsidR="000300BD" w:rsidRDefault="002C4355" w:rsidP="006A5525">
      <w:pPr>
        <w:pStyle w:val="Ttulo5"/>
        <w:rPr>
          <w:rFonts w:ascii="NewBaskerville" w:hAnsi="NewBaskerville"/>
          <w:sz w:val="20"/>
        </w:rPr>
      </w:pPr>
      <w:r w:rsidRPr="00AE3B6A">
        <w:rPr>
          <w:rFonts w:ascii="NewBaskerville" w:hAnsi="NewBaskerville"/>
          <w:sz w:val="20"/>
        </w:rPr>
        <w:t>En esta categoría se registran los créditos por operacion</w:t>
      </w:r>
      <w:r w:rsidR="00074175">
        <w:rPr>
          <w:rFonts w:ascii="NewBaskerville" w:hAnsi="NewBaskerville"/>
          <w:sz w:val="20"/>
        </w:rPr>
        <w:t>es comerciales y no comerciales:</w:t>
      </w:r>
    </w:p>
    <w:p w:rsidR="00074175" w:rsidRPr="00074175" w:rsidRDefault="00074175" w:rsidP="00074175"/>
    <w:p w:rsidR="00896485" w:rsidRDefault="00896485" w:rsidP="00074175">
      <w:pPr>
        <w:pStyle w:val="Ttulo5"/>
        <w:numPr>
          <w:ilvl w:val="0"/>
          <w:numId w:val="6"/>
        </w:numPr>
        <w:rPr>
          <w:rFonts w:ascii="NewBaskerville" w:hAnsi="NewBaskerville"/>
          <w:sz w:val="20"/>
        </w:rPr>
      </w:pPr>
      <w:r>
        <w:rPr>
          <w:rFonts w:ascii="NewBaskerville" w:hAnsi="NewBaskerville"/>
          <w:sz w:val="20"/>
        </w:rPr>
        <w:t>Crédi</w:t>
      </w:r>
      <w:r w:rsidR="003D4191">
        <w:rPr>
          <w:rFonts w:ascii="NewBaskerville" w:hAnsi="NewBaskerville"/>
          <w:sz w:val="20"/>
        </w:rPr>
        <w:t>tos por operaciones comerciales:</w:t>
      </w:r>
      <w:r>
        <w:rPr>
          <w:rFonts w:ascii="NewBaskerville" w:hAnsi="NewBaskerville"/>
          <w:sz w:val="20"/>
        </w:rPr>
        <w:t xml:space="preserve"> son aquellos </w:t>
      </w:r>
      <w:r w:rsidR="002C4355" w:rsidRPr="00AE3B6A">
        <w:rPr>
          <w:rFonts w:ascii="NewBaskerville" w:hAnsi="NewBaskerville"/>
          <w:sz w:val="20"/>
        </w:rPr>
        <w:t xml:space="preserve">activos financieros </w:t>
      </w:r>
      <w:r>
        <w:rPr>
          <w:rFonts w:ascii="NewBaskerville" w:hAnsi="NewBaskerville"/>
          <w:sz w:val="20"/>
        </w:rPr>
        <w:t>que se originan en la prestación de servicios por operaciones de tráfico de la Entidad con cobro aplazado.</w:t>
      </w:r>
    </w:p>
    <w:p w:rsidR="008E58B8" w:rsidRPr="00AE3B6A" w:rsidRDefault="00896485" w:rsidP="00074175">
      <w:pPr>
        <w:pStyle w:val="Ttulo5"/>
        <w:numPr>
          <w:ilvl w:val="0"/>
          <w:numId w:val="6"/>
        </w:numPr>
        <w:rPr>
          <w:rFonts w:ascii="NewBaskerville" w:hAnsi="NewBaskerville"/>
          <w:sz w:val="20"/>
        </w:rPr>
      </w:pPr>
      <w:r>
        <w:rPr>
          <w:rFonts w:ascii="NewBaskerville" w:hAnsi="NewBaskerville"/>
          <w:sz w:val="20"/>
        </w:rPr>
        <w:t>Créditos por operaciones no comerciales: son aquellos activos financieros que, no siendo instrumentos de patrimonio ni derivados, no tienen origen comercial y cuyos cobros son de cuantía determinada o determinable, que proceden de operaciones de préstamo o crédito concedidos por la Entidad</w:t>
      </w:r>
      <w:r w:rsidR="002C4355" w:rsidRPr="00AE3B6A">
        <w:rPr>
          <w:rFonts w:ascii="NewBaskerville" w:hAnsi="NewBaskerville"/>
          <w:sz w:val="20"/>
        </w:rPr>
        <w:t>.</w:t>
      </w:r>
    </w:p>
    <w:p w:rsidR="002C4355" w:rsidRPr="00AE3B6A" w:rsidRDefault="002C4355" w:rsidP="006A5525">
      <w:pPr>
        <w:pStyle w:val="Ttulo5"/>
        <w:rPr>
          <w:rFonts w:ascii="NewBaskerville" w:hAnsi="NewBaskerville"/>
          <w:sz w:val="20"/>
        </w:rPr>
      </w:pPr>
    </w:p>
    <w:p w:rsidR="002C4355" w:rsidRPr="00AE3B6A" w:rsidRDefault="002C4355" w:rsidP="006A5525">
      <w:pPr>
        <w:pStyle w:val="Ttulo5"/>
        <w:rPr>
          <w:rFonts w:ascii="NewBaskerville" w:hAnsi="NewBaskerville"/>
          <w:sz w:val="20"/>
        </w:rPr>
      </w:pPr>
      <w:r w:rsidRPr="00AE3B6A">
        <w:rPr>
          <w:rFonts w:ascii="NewBaskerville" w:hAnsi="NewBaskerville"/>
          <w:sz w:val="20"/>
        </w:rPr>
        <w:t>En su reconocimiento inicial en el balance, se registran por su valor razonable, que, salvo evidencia en contrario, es el precio de la transacción, que equivale al valor razonable de la contraprestación entregada más los costes de transacción que les sean directamente atribuibles.</w:t>
      </w:r>
    </w:p>
    <w:p w:rsidR="002C4355" w:rsidRPr="00AE3B6A" w:rsidRDefault="002C4355" w:rsidP="006A5525">
      <w:pPr>
        <w:rPr>
          <w:rFonts w:ascii="NewBaskerville" w:hAnsi="NewBaskerville" w:cs="Arial"/>
        </w:rPr>
      </w:pPr>
    </w:p>
    <w:p w:rsidR="007D42E0" w:rsidRDefault="001D192C" w:rsidP="006A5525">
      <w:pPr>
        <w:ind w:firstLine="426"/>
        <w:jc w:val="both"/>
      </w:pPr>
      <w:r w:rsidRPr="00AE3B6A">
        <w:rPr>
          <w:rFonts w:ascii="NewBaskerville" w:hAnsi="NewBaskerville"/>
        </w:rPr>
        <w:t>No obstante, los créditos por operaciones comerciales con vencimiento no superior a un año y que no tienen un tipo de interés contractual, así como los anticipos y créditos al personal,  se valoran por su valor nominal, ya que el efecto de no actualizar los flujos de efectivo no es significativo</w:t>
      </w:r>
      <w:r w:rsidRPr="00072D1A">
        <w:t>.</w:t>
      </w:r>
    </w:p>
    <w:p w:rsidR="001D6131" w:rsidRDefault="001D6131" w:rsidP="006A5525">
      <w:pPr>
        <w:ind w:firstLine="426"/>
        <w:jc w:val="both"/>
      </w:pPr>
    </w:p>
    <w:p w:rsidR="00B35FCD" w:rsidRDefault="00890019" w:rsidP="006A5525">
      <w:pPr>
        <w:ind w:firstLine="426"/>
        <w:jc w:val="both"/>
        <w:rPr>
          <w:rFonts w:ascii="NewBaskerville" w:hAnsi="NewBaskerville"/>
        </w:rPr>
      </w:pPr>
      <w:r>
        <w:rPr>
          <w:rFonts w:ascii="NewBaskerville" w:hAnsi="NewBaskerville"/>
        </w:rPr>
        <w:t>Posteriormente, los activos incluidos en esta categoría se valorarán por su coste amortizado. Los intereses devengados se contabilizarán en la cuenta de pérdidas y ganancias, aplicando el método del tipo de interés efectivo.</w:t>
      </w:r>
    </w:p>
    <w:p w:rsidR="00890019" w:rsidRDefault="00890019" w:rsidP="006A5525">
      <w:pPr>
        <w:ind w:firstLine="426"/>
        <w:jc w:val="both"/>
        <w:rPr>
          <w:rFonts w:ascii="NewBaskerville" w:hAnsi="NewBaskerville"/>
        </w:rPr>
      </w:pPr>
    </w:p>
    <w:p w:rsidR="00890019" w:rsidRPr="00B35FCD" w:rsidRDefault="001D0923" w:rsidP="006A5525">
      <w:pPr>
        <w:ind w:firstLine="426"/>
        <w:jc w:val="both"/>
        <w:rPr>
          <w:rFonts w:ascii="NewBaskerville" w:hAnsi="NewBaskerville"/>
        </w:rPr>
      </w:pPr>
      <w:r>
        <w:rPr>
          <w:rFonts w:ascii="NewBaskerville" w:hAnsi="NewBaskerville"/>
        </w:rPr>
        <w:t>Sin embargo</w:t>
      </w:r>
      <w:r w:rsidR="00890019">
        <w:rPr>
          <w:rFonts w:ascii="NewBaskerville" w:hAnsi="NewBaskerville"/>
        </w:rPr>
        <w:t>, los créditos de acuerdo con lo dispuesto anteriormente se valoren inicialmente por su valor nominal, continuarán valorándose por dicho importe, salvo que se hubieran deteriorado.</w:t>
      </w:r>
    </w:p>
    <w:p w:rsidR="001D6131" w:rsidRPr="00072D1A" w:rsidRDefault="001D6131" w:rsidP="006A5525">
      <w:pPr>
        <w:ind w:firstLine="426"/>
        <w:jc w:val="both"/>
        <w:rPr>
          <w:rFonts w:cs="Arial"/>
        </w:rPr>
      </w:pPr>
    </w:p>
    <w:p w:rsidR="001F2D6C" w:rsidRDefault="001F2D6C" w:rsidP="006A5525">
      <w:pPr>
        <w:rPr>
          <w:rFonts w:ascii="NewBaskerville" w:hAnsi="NewBaskerville" w:cs="Arial"/>
          <w:color w:val="000000"/>
          <w:u w:val="single"/>
        </w:rPr>
      </w:pPr>
      <w:r w:rsidRPr="006A5525">
        <w:rPr>
          <w:rFonts w:ascii="NewBaskerville" w:hAnsi="NewBaskerville" w:cs="Arial"/>
          <w:color w:val="000000"/>
          <w:u w:val="single"/>
        </w:rPr>
        <w:t>Intereses recibidos de activos financieros</w:t>
      </w:r>
    </w:p>
    <w:p w:rsidR="006A5525" w:rsidRDefault="006A5525" w:rsidP="003B432F">
      <w:pPr>
        <w:pStyle w:val="Ttulo5"/>
        <w:ind w:left="709"/>
        <w:rPr>
          <w:sz w:val="20"/>
        </w:rPr>
      </w:pPr>
    </w:p>
    <w:p w:rsidR="001F2D6C" w:rsidRPr="006A5525" w:rsidRDefault="001F2D6C" w:rsidP="006A5525">
      <w:pPr>
        <w:pStyle w:val="Ttulo5"/>
        <w:rPr>
          <w:rFonts w:ascii="NewBaskerville" w:hAnsi="NewBaskerville"/>
          <w:sz w:val="20"/>
        </w:rPr>
      </w:pPr>
      <w:r w:rsidRPr="006A5525">
        <w:rPr>
          <w:rFonts w:ascii="NewBaskerville" w:hAnsi="NewBaskerville"/>
          <w:sz w:val="20"/>
        </w:rPr>
        <w:t>Los intereses de activos financieros devengados con posterioridad al momento de la adquisición se reconocen como ingresos en la cuenta de pérdidas y ganancias. Los intereses se reconocen utilizando el método del tipo de interés efectivo.</w:t>
      </w:r>
    </w:p>
    <w:p w:rsidR="002918E7" w:rsidRPr="006A5525" w:rsidRDefault="002918E7" w:rsidP="006A5525">
      <w:pPr>
        <w:rPr>
          <w:rFonts w:ascii="NewBaskerville" w:hAnsi="NewBaskerville"/>
        </w:rPr>
      </w:pPr>
    </w:p>
    <w:p w:rsidR="001F2D6C" w:rsidRPr="006A5525" w:rsidRDefault="001F2D6C" w:rsidP="006A5525">
      <w:pPr>
        <w:pStyle w:val="Ttulo5"/>
        <w:rPr>
          <w:rFonts w:ascii="NewBaskerville" w:hAnsi="NewBaskerville"/>
          <w:sz w:val="20"/>
        </w:rPr>
      </w:pPr>
      <w:r w:rsidRPr="006A5525">
        <w:rPr>
          <w:rFonts w:ascii="NewBaskerville" w:hAnsi="NewBaskerville"/>
          <w:sz w:val="20"/>
        </w:rPr>
        <w:lastRenderedPageBreak/>
        <w:t>A estos efectos, en la valoración inicial de los activos financieros se registran de forma independiente, atendiendo a su vencimiento, el importe de los intereses explícitos devengados y no vencidos en dicho momento. Se entiende por intereses explícitos aquellos que se obtienen de aplicar el tipo de interés contract</w:t>
      </w:r>
      <w:r w:rsidR="00267551" w:rsidRPr="006A5525">
        <w:rPr>
          <w:rFonts w:ascii="NewBaskerville" w:hAnsi="NewBaskerville"/>
          <w:sz w:val="20"/>
        </w:rPr>
        <w:t>ual del instrumento financiero.</w:t>
      </w:r>
    </w:p>
    <w:p w:rsidR="00EE5732" w:rsidRDefault="00EE5732" w:rsidP="00EE5732"/>
    <w:p w:rsidR="008A5BD6" w:rsidRPr="000F36F8" w:rsidRDefault="001F2D6C" w:rsidP="000F36F8">
      <w:pPr>
        <w:widowControl w:val="0"/>
        <w:autoSpaceDE w:val="0"/>
        <w:autoSpaceDN w:val="0"/>
        <w:adjustRightInd w:val="0"/>
        <w:spacing w:before="240"/>
        <w:ind w:left="142"/>
        <w:rPr>
          <w:rFonts w:ascii="NewBaskerville" w:hAnsi="NewBaskerville" w:cs="Arial"/>
          <w:color w:val="000000"/>
          <w:u w:val="single"/>
        </w:rPr>
      </w:pPr>
      <w:r w:rsidRPr="000F36F8">
        <w:rPr>
          <w:rFonts w:ascii="NewBaskerville" w:hAnsi="NewBaskerville" w:cs="Arial"/>
          <w:color w:val="000000"/>
          <w:u w:val="single"/>
        </w:rPr>
        <w:t>Deterioro del valor de los ac</w:t>
      </w:r>
      <w:r w:rsidR="00267551" w:rsidRPr="000F36F8">
        <w:rPr>
          <w:rFonts w:ascii="NewBaskerville" w:hAnsi="NewBaskerville" w:cs="Arial"/>
          <w:color w:val="000000"/>
          <w:u w:val="single"/>
        </w:rPr>
        <w:t>tivos financieros</w:t>
      </w:r>
    </w:p>
    <w:p w:rsidR="000A14A4" w:rsidRDefault="000A14A4" w:rsidP="000F36F8">
      <w:pPr>
        <w:widowControl w:val="0"/>
        <w:autoSpaceDE w:val="0"/>
        <w:autoSpaceDN w:val="0"/>
        <w:adjustRightInd w:val="0"/>
        <w:spacing w:before="240"/>
        <w:ind w:firstLine="567"/>
        <w:jc w:val="both"/>
        <w:rPr>
          <w:rFonts w:ascii="NewBaskerville" w:hAnsi="NewBaskerville"/>
        </w:rPr>
      </w:pPr>
      <w:r>
        <w:rPr>
          <w:rFonts w:ascii="NewBaskerville" w:hAnsi="NewBaskerville"/>
        </w:rPr>
        <w:t>A fecha de cierre, se han efectuado por la Entidad las correcciones valorativas necesarias, siempre que exista evidencia de que el valor de un activo financiero se ha deteriorado como resultado de un</w:t>
      </w:r>
      <w:r w:rsidR="003E2475">
        <w:rPr>
          <w:rFonts w:ascii="NewBaskerville" w:hAnsi="NewBaskerville"/>
        </w:rPr>
        <w:t>o</w:t>
      </w:r>
      <w:r>
        <w:rPr>
          <w:rFonts w:ascii="NewBaskerville" w:hAnsi="NewBaskerville"/>
        </w:rPr>
        <w:t xml:space="preserve"> o más eventos que hayan ocurrido después de su reconocimiento inicial y que ocasionen una reducción o retraso en los flujos de efectivo futuros.</w:t>
      </w:r>
    </w:p>
    <w:p w:rsidR="00262737" w:rsidRDefault="00A7426D" w:rsidP="000F36F8">
      <w:pPr>
        <w:widowControl w:val="0"/>
        <w:autoSpaceDE w:val="0"/>
        <w:autoSpaceDN w:val="0"/>
        <w:adjustRightInd w:val="0"/>
        <w:spacing w:before="240"/>
        <w:ind w:firstLine="567"/>
        <w:jc w:val="both"/>
        <w:rPr>
          <w:rFonts w:ascii="NewBaskerville" w:hAnsi="NewBaskerville"/>
        </w:rPr>
      </w:pPr>
      <w:r w:rsidRPr="000F36F8">
        <w:rPr>
          <w:rFonts w:ascii="NewBaskerville" w:hAnsi="NewBaskerville"/>
        </w:rPr>
        <w:t>El valor en libros de los activos financieros se corrige por la Entidad con cargo a la cuenta de pérdidas y ganancias cuando existe una evidencia objetiva de que se ha producido una pérdida por deterioro</w:t>
      </w:r>
      <w:r w:rsidR="00262737">
        <w:rPr>
          <w:rFonts w:ascii="NewBaskerville" w:hAnsi="NewBaskerville"/>
        </w:rPr>
        <w:t>.</w:t>
      </w:r>
    </w:p>
    <w:p w:rsidR="00262737" w:rsidRDefault="00262737" w:rsidP="00262737">
      <w:pPr>
        <w:widowControl w:val="0"/>
        <w:autoSpaceDE w:val="0"/>
        <w:autoSpaceDN w:val="0"/>
        <w:adjustRightInd w:val="0"/>
        <w:ind w:firstLine="567"/>
        <w:jc w:val="both"/>
        <w:rPr>
          <w:rFonts w:ascii="NewBaskerville" w:hAnsi="NewBaskerville"/>
        </w:rPr>
      </w:pPr>
    </w:p>
    <w:p w:rsidR="001F2D6C" w:rsidRPr="00262737" w:rsidRDefault="001F2D6C" w:rsidP="00262737">
      <w:pPr>
        <w:ind w:firstLine="567"/>
        <w:jc w:val="both"/>
        <w:rPr>
          <w:rFonts w:ascii="NewBaskerville" w:hAnsi="NewBaskerville"/>
        </w:rPr>
      </w:pPr>
      <w:r w:rsidRPr="00262737">
        <w:rPr>
          <w:rFonts w:ascii="NewBaskerville" w:hAnsi="NewBaskerville"/>
        </w:rPr>
        <w:t>Para determinar las pérdidas por deterioro de los activos financieros, la Entidad evalúa las posibles pérdidas tanto de los activos individuales como de los grupos de activos con cara</w:t>
      </w:r>
      <w:r w:rsidR="00262737">
        <w:rPr>
          <w:rFonts w:ascii="NewBaskerville" w:hAnsi="NewBaskerville"/>
        </w:rPr>
        <w:t xml:space="preserve">cterísticas de riesgo similares </w:t>
      </w:r>
      <w:r w:rsidR="003E2475">
        <w:rPr>
          <w:rFonts w:ascii="NewBaskerville" w:hAnsi="NewBaskerville"/>
        </w:rPr>
        <w:t>que</w:t>
      </w:r>
      <w:r w:rsidR="00262737">
        <w:rPr>
          <w:rFonts w:ascii="NewBaskerville" w:hAnsi="NewBaskerville"/>
        </w:rPr>
        <w:t xml:space="preserve"> result</w:t>
      </w:r>
      <w:r w:rsidR="003E2475">
        <w:rPr>
          <w:rFonts w:ascii="NewBaskerville" w:hAnsi="NewBaskerville"/>
        </w:rPr>
        <w:t>en</w:t>
      </w:r>
      <w:r w:rsidR="00262737">
        <w:rPr>
          <w:rFonts w:ascii="NewBaskerville" w:hAnsi="NewBaskerville"/>
        </w:rPr>
        <w:t xml:space="preserve"> de uno o más eventos que hayan ocurrido después </w:t>
      </w:r>
      <w:r w:rsidR="006D2A63">
        <w:rPr>
          <w:rFonts w:ascii="NewBaskerville" w:hAnsi="NewBaskerville"/>
        </w:rPr>
        <w:t>d</w:t>
      </w:r>
      <w:r w:rsidR="00262737">
        <w:rPr>
          <w:rFonts w:ascii="NewBaskerville" w:hAnsi="NewBaskerville"/>
        </w:rPr>
        <w:t>e su reconocimiento inicial.</w:t>
      </w:r>
    </w:p>
    <w:p w:rsidR="001F2D6C" w:rsidRPr="000F36F8" w:rsidRDefault="001F2D6C" w:rsidP="000F36F8">
      <w:pPr>
        <w:pStyle w:val="Ttulo5"/>
        <w:rPr>
          <w:rFonts w:ascii="NewBaskerville" w:hAnsi="NewBaskerville"/>
          <w:sz w:val="20"/>
        </w:rPr>
      </w:pPr>
      <w:r w:rsidRPr="000F36F8">
        <w:rPr>
          <w:rFonts w:ascii="NewBaskerville" w:hAnsi="NewBaskerville"/>
          <w:sz w:val="20"/>
        </w:rPr>
        <w:t xml:space="preserve">  </w:t>
      </w:r>
    </w:p>
    <w:p w:rsidR="006D2A63" w:rsidRPr="000F36F8" w:rsidRDefault="00311954" w:rsidP="006D2A63">
      <w:pPr>
        <w:ind w:firstLine="567"/>
        <w:jc w:val="both"/>
        <w:rPr>
          <w:rFonts w:ascii="NewBaskerville" w:hAnsi="NewBaskerville"/>
        </w:rPr>
      </w:pPr>
      <w:r>
        <w:rPr>
          <w:rFonts w:ascii="NewBaskerville" w:hAnsi="NewBaskerville"/>
        </w:rPr>
        <w:t xml:space="preserve">Para la categoría de activos financieros a coste amortizado, créditos por operaciones comerciales, </w:t>
      </w:r>
      <w:r w:rsidR="006D2A63">
        <w:rPr>
          <w:rFonts w:ascii="NewBaskerville" w:hAnsi="NewBaskerville"/>
        </w:rPr>
        <w:t>y s</w:t>
      </w:r>
      <w:r w:rsidR="006D2A63" w:rsidRPr="000F36F8">
        <w:rPr>
          <w:rFonts w:ascii="NewBaskerville" w:hAnsi="NewBaskerville"/>
        </w:rPr>
        <w:t xml:space="preserve">iguiendo las instrucciones emitidas por Puertos del Estado para el sistema portuario, se realiza una </w:t>
      </w:r>
      <w:r w:rsidR="00CA1C0A">
        <w:rPr>
          <w:rFonts w:ascii="NewBaskerville" w:hAnsi="NewBaskerville"/>
        </w:rPr>
        <w:t>estimación del deterioro</w:t>
      </w:r>
      <w:r w:rsidR="006D2A63" w:rsidRPr="000F36F8">
        <w:rPr>
          <w:rFonts w:ascii="NewBaskerville" w:hAnsi="NewBaskerville"/>
        </w:rPr>
        <w:t xml:space="preserve"> en función de la antigüedad de la deuda y la tipología de la </w:t>
      </w:r>
      <w:r w:rsidR="003E2475">
        <w:rPr>
          <w:rFonts w:ascii="NewBaskerville" w:hAnsi="NewBaskerville"/>
        </w:rPr>
        <w:t>misma</w:t>
      </w:r>
      <w:r w:rsidR="006D2A63" w:rsidRPr="000F36F8">
        <w:rPr>
          <w:rFonts w:ascii="NewBaskerville" w:hAnsi="NewBaskerville"/>
        </w:rPr>
        <w:t xml:space="preserve"> según sea tasa o tarifa. Además atendiendo a casos específicos en los que existe evidencia de impago o el deudor se encuentra en concurso de acreedores se efectúan las correspondientes dotaciones.</w:t>
      </w:r>
    </w:p>
    <w:p w:rsidR="00311954" w:rsidRDefault="00311954" w:rsidP="000F36F8">
      <w:pPr>
        <w:ind w:firstLine="567"/>
        <w:jc w:val="both"/>
        <w:rPr>
          <w:rFonts w:ascii="NewBaskerville" w:hAnsi="NewBaskerville"/>
        </w:rPr>
      </w:pPr>
    </w:p>
    <w:p w:rsidR="007D3E06" w:rsidRDefault="006D2A63" w:rsidP="000F36F8">
      <w:pPr>
        <w:ind w:firstLine="567"/>
        <w:jc w:val="both"/>
        <w:rPr>
          <w:rFonts w:ascii="NewBaskerville" w:hAnsi="NewBaskerville"/>
        </w:rPr>
      </w:pPr>
      <w:r>
        <w:rPr>
          <w:rFonts w:ascii="NewBaskerville" w:hAnsi="NewBaskerville"/>
        </w:rPr>
        <w:t>En activos financieros a coste amortizado l</w:t>
      </w:r>
      <w:r w:rsidR="001F2D6C" w:rsidRPr="000F36F8">
        <w:rPr>
          <w:rFonts w:ascii="NewBaskerville" w:hAnsi="NewBaskerville"/>
        </w:rPr>
        <w:t xml:space="preserve">a reversión de las correcciones valorativas por deterioro se registra en la cuenta de pérdidas y ganancias, con el límite del valor en libros </w:t>
      </w:r>
      <w:r w:rsidR="00311954">
        <w:rPr>
          <w:rFonts w:ascii="NewBaskerville" w:hAnsi="NewBaskerville"/>
        </w:rPr>
        <w:t>del activo que estaría reconocido</w:t>
      </w:r>
      <w:r w:rsidR="001F2D6C" w:rsidRPr="000F36F8">
        <w:rPr>
          <w:rFonts w:ascii="NewBaskerville" w:hAnsi="NewBaskerville"/>
        </w:rPr>
        <w:t xml:space="preserve"> en la fecha de reversión si no se hubiera r</w:t>
      </w:r>
      <w:r w:rsidR="00311954">
        <w:rPr>
          <w:rFonts w:ascii="NewBaskerville" w:hAnsi="NewBaskerville"/>
        </w:rPr>
        <w:t>egistrado el deterioro de valor</w:t>
      </w:r>
      <w:r>
        <w:rPr>
          <w:rFonts w:ascii="NewBaskerville" w:hAnsi="NewBaskerville"/>
        </w:rPr>
        <w:t>.</w:t>
      </w:r>
    </w:p>
    <w:p w:rsidR="002C4355" w:rsidRPr="00072D1A" w:rsidRDefault="002C4355" w:rsidP="002918E7">
      <w:pPr>
        <w:ind w:left="709"/>
        <w:jc w:val="both"/>
      </w:pPr>
    </w:p>
    <w:p w:rsidR="002C4355" w:rsidRDefault="002C4355" w:rsidP="002918E7">
      <w:pPr>
        <w:pStyle w:val="Sangra2detindependiente"/>
        <w:numPr>
          <w:ilvl w:val="0"/>
          <w:numId w:val="2"/>
        </w:numPr>
        <w:ind w:left="709"/>
        <w:rPr>
          <w:rFonts w:ascii="NewBaskerville" w:hAnsi="NewBaskerville"/>
          <w:sz w:val="20"/>
        </w:rPr>
      </w:pPr>
      <w:r w:rsidRPr="00ED7B5A">
        <w:rPr>
          <w:rFonts w:ascii="NewBaskerville" w:hAnsi="NewBaskerville"/>
          <w:sz w:val="20"/>
        </w:rPr>
        <w:t>Pasivos financieros</w:t>
      </w:r>
    </w:p>
    <w:p w:rsidR="00074175" w:rsidRPr="00ED7B5A" w:rsidRDefault="00074175" w:rsidP="00074175">
      <w:pPr>
        <w:pStyle w:val="Sangra2detindependiente"/>
        <w:ind w:left="709" w:firstLine="0"/>
        <w:rPr>
          <w:rFonts w:ascii="NewBaskerville" w:hAnsi="NewBaskerville"/>
          <w:sz w:val="20"/>
        </w:rPr>
      </w:pPr>
    </w:p>
    <w:p w:rsidR="002C4355" w:rsidRPr="00ED7B5A" w:rsidRDefault="00525F4B" w:rsidP="00ED7B5A">
      <w:pPr>
        <w:widowControl w:val="0"/>
        <w:autoSpaceDE w:val="0"/>
        <w:spacing w:before="240"/>
        <w:rPr>
          <w:rFonts w:ascii="NewBaskerville" w:hAnsi="NewBaskerville" w:cs="Arial"/>
          <w:color w:val="000000"/>
          <w:u w:val="single"/>
        </w:rPr>
      </w:pPr>
      <w:r>
        <w:rPr>
          <w:rFonts w:ascii="NewBaskerville" w:hAnsi="NewBaskerville" w:cs="Arial"/>
          <w:color w:val="000000"/>
          <w:u w:val="single"/>
        </w:rPr>
        <w:t>Pasivos financieros a coste amortizado.</w:t>
      </w:r>
    </w:p>
    <w:p w:rsidR="002C4355" w:rsidRPr="00072D1A" w:rsidRDefault="002C4355" w:rsidP="002918E7">
      <w:pPr>
        <w:pStyle w:val="Ttulo5"/>
        <w:ind w:left="709"/>
        <w:rPr>
          <w:sz w:val="20"/>
        </w:rPr>
      </w:pPr>
    </w:p>
    <w:p w:rsidR="002C4355" w:rsidRDefault="000300BD" w:rsidP="00525F4B">
      <w:pPr>
        <w:pStyle w:val="Ttulo5"/>
        <w:rPr>
          <w:rFonts w:ascii="NewBaskerville" w:hAnsi="NewBaskerville"/>
          <w:sz w:val="20"/>
        </w:rPr>
      </w:pPr>
      <w:r>
        <w:rPr>
          <w:rFonts w:ascii="NewBaskerville" w:hAnsi="NewBaskerville"/>
          <w:sz w:val="20"/>
        </w:rPr>
        <w:t>Con carácter general, se incluyen en esta categoría los débitos por operaciones comerciales y los débitos</w:t>
      </w:r>
      <w:r w:rsidR="00074175">
        <w:rPr>
          <w:rFonts w:ascii="NewBaskerville" w:hAnsi="NewBaskerville"/>
          <w:sz w:val="20"/>
        </w:rPr>
        <w:t xml:space="preserve"> por operaciones no comerciales:</w:t>
      </w:r>
    </w:p>
    <w:p w:rsidR="000300BD" w:rsidRPr="00074175" w:rsidRDefault="00410426" w:rsidP="00074175">
      <w:pPr>
        <w:pStyle w:val="Prrafodelista"/>
        <w:numPr>
          <w:ilvl w:val="0"/>
          <w:numId w:val="6"/>
        </w:numPr>
        <w:jc w:val="both"/>
        <w:rPr>
          <w:rFonts w:ascii="NewBaskerville" w:hAnsi="NewBaskerville"/>
        </w:rPr>
      </w:pPr>
      <w:r w:rsidRPr="00074175">
        <w:rPr>
          <w:rFonts w:ascii="NewBaskerville" w:hAnsi="NewBaskerville"/>
        </w:rPr>
        <w:t xml:space="preserve">Débitos por operaciones comerciales: son aquellos pasivos financieros que se originan en la compra de bienes y servicios por operaciones de tráfico </w:t>
      </w:r>
      <w:r w:rsidR="00F45BF6" w:rsidRPr="00074175">
        <w:rPr>
          <w:rFonts w:ascii="NewBaskerville" w:hAnsi="NewBaskerville"/>
        </w:rPr>
        <w:t>de la Entidad con pago aplazado.</w:t>
      </w:r>
    </w:p>
    <w:p w:rsidR="00410426" w:rsidRPr="00074175" w:rsidRDefault="00410426" w:rsidP="00074175">
      <w:pPr>
        <w:pStyle w:val="Prrafodelista"/>
        <w:numPr>
          <w:ilvl w:val="0"/>
          <w:numId w:val="6"/>
        </w:numPr>
        <w:jc w:val="both"/>
        <w:rPr>
          <w:rFonts w:ascii="NewBaskerville" w:hAnsi="NewBaskerville"/>
        </w:rPr>
      </w:pPr>
      <w:r w:rsidRPr="00074175">
        <w:rPr>
          <w:rFonts w:ascii="NewBaskerville" w:hAnsi="NewBaskerville"/>
        </w:rPr>
        <w:t>Débitos por operaciones no comerciales: son aquellos pasivos financieros que, no siendo instrumentos derivados, no tienen origen comercial, sino que proceden de operaciones de préstamo o crédito recibidos por la empresa.</w:t>
      </w:r>
    </w:p>
    <w:p w:rsidR="002C4355" w:rsidRPr="00525F4B" w:rsidRDefault="002C4355" w:rsidP="00525F4B">
      <w:pPr>
        <w:rPr>
          <w:rFonts w:ascii="NewBaskerville" w:hAnsi="NewBaskerville"/>
        </w:rPr>
      </w:pPr>
    </w:p>
    <w:p w:rsidR="002C4355" w:rsidRDefault="002C4355" w:rsidP="00525F4B">
      <w:pPr>
        <w:pStyle w:val="Ttulo5"/>
        <w:rPr>
          <w:rFonts w:ascii="NewBaskerville" w:hAnsi="NewBaskerville"/>
          <w:sz w:val="20"/>
        </w:rPr>
      </w:pPr>
      <w:r w:rsidRPr="00525F4B">
        <w:rPr>
          <w:rFonts w:ascii="NewBaskerville" w:hAnsi="NewBaskerville"/>
          <w:sz w:val="20"/>
        </w:rPr>
        <w:t>En su reconocimiento inicial en el balance, se registran por su valor razonable, que, salvo evidencia en contrario, es el precio de la transacción, que equivale al valor razonable de la contraprestación recibida ajustado por los costes de transacción que les</w:t>
      </w:r>
      <w:r w:rsidR="001F2D6C" w:rsidRPr="00525F4B">
        <w:rPr>
          <w:rFonts w:ascii="NewBaskerville" w:hAnsi="NewBaskerville"/>
          <w:sz w:val="20"/>
        </w:rPr>
        <w:t xml:space="preserve"> sean directamente atribuibles.</w:t>
      </w:r>
    </w:p>
    <w:p w:rsidR="00417100" w:rsidRPr="00417100" w:rsidRDefault="00417100" w:rsidP="00417100"/>
    <w:p w:rsidR="00417100" w:rsidRPr="00525F4B" w:rsidRDefault="00417100" w:rsidP="00417100">
      <w:pPr>
        <w:pStyle w:val="Ttulo5"/>
        <w:rPr>
          <w:rFonts w:ascii="NewBaskerville" w:hAnsi="NewBaskerville"/>
          <w:sz w:val="20"/>
        </w:rPr>
      </w:pPr>
      <w:r w:rsidRPr="00525F4B">
        <w:rPr>
          <w:rFonts w:ascii="NewBaskerville" w:hAnsi="NewBaskerville"/>
          <w:sz w:val="20"/>
        </w:rPr>
        <w:t>No obstante, los débitos por operaciones comerciales con vencimiento no superior a un año y que no tengan un tipo de interés contractual, cuyo importe se espera pagar en el corto plazo, se valoran por su valor nominal, cuando el efecto de no actualizar los flujos de efectivo no es significativo.</w:t>
      </w:r>
    </w:p>
    <w:p w:rsidR="001F2D6C" w:rsidRPr="00525F4B" w:rsidRDefault="001F2D6C" w:rsidP="00525F4B">
      <w:pPr>
        <w:rPr>
          <w:rFonts w:ascii="NewBaskerville" w:hAnsi="NewBaskerville"/>
        </w:rPr>
      </w:pPr>
    </w:p>
    <w:p w:rsidR="002C4355" w:rsidRPr="00525F4B" w:rsidRDefault="002C4355" w:rsidP="00525F4B">
      <w:pPr>
        <w:pStyle w:val="Ttulo5"/>
        <w:rPr>
          <w:rFonts w:ascii="NewBaskerville" w:hAnsi="NewBaskerville"/>
          <w:sz w:val="20"/>
        </w:rPr>
      </w:pPr>
      <w:r w:rsidRPr="00525F4B">
        <w:rPr>
          <w:rFonts w:ascii="NewBaskerville" w:hAnsi="NewBaskerville"/>
          <w:sz w:val="20"/>
        </w:rPr>
        <w:lastRenderedPageBreak/>
        <w:t>Tras su reconocimiento inicial, estos pasivos financieros se valoran por su coste amortizado. Los intereses devengados se contabilizan en la cuenta de pérdidas y ganancias, aplicando el método del tipo de interés efectivo.</w:t>
      </w:r>
    </w:p>
    <w:p w:rsidR="002C4355" w:rsidRPr="00525F4B" w:rsidRDefault="002C4355" w:rsidP="00525F4B">
      <w:pPr>
        <w:rPr>
          <w:rFonts w:ascii="NewBaskerville" w:hAnsi="NewBaskerville"/>
        </w:rPr>
      </w:pPr>
    </w:p>
    <w:p w:rsidR="003B432F" w:rsidRPr="00525F4B" w:rsidRDefault="00812E0C" w:rsidP="00525F4B">
      <w:pPr>
        <w:pStyle w:val="Ttulo5"/>
        <w:rPr>
          <w:rFonts w:ascii="NewBaskerville" w:hAnsi="NewBaskerville"/>
          <w:sz w:val="20"/>
        </w:rPr>
      </w:pPr>
      <w:r>
        <w:rPr>
          <w:rFonts w:ascii="NewBaskerville" w:hAnsi="NewBaskerville"/>
          <w:sz w:val="20"/>
        </w:rPr>
        <w:t>Sin embargo</w:t>
      </w:r>
      <w:r w:rsidR="002C4355" w:rsidRPr="00525F4B">
        <w:rPr>
          <w:rFonts w:ascii="NewBaskerville" w:hAnsi="NewBaskerville"/>
          <w:sz w:val="20"/>
        </w:rPr>
        <w:t xml:space="preserve">, los débitos con vencimiento no superior a un año </w:t>
      </w:r>
      <w:r w:rsidR="00417100">
        <w:rPr>
          <w:rFonts w:ascii="NewBaskerville" w:hAnsi="NewBaskerville"/>
          <w:sz w:val="20"/>
        </w:rPr>
        <w:t xml:space="preserve">descritos anteriormente que se valoren </w:t>
      </w:r>
      <w:r w:rsidR="003F24D6">
        <w:rPr>
          <w:rFonts w:ascii="NewBaskerville" w:hAnsi="NewBaskerville"/>
          <w:sz w:val="20"/>
        </w:rPr>
        <w:t>inicialmente</w:t>
      </w:r>
      <w:r w:rsidR="00417100">
        <w:rPr>
          <w:rFonts w:ascii="NewBaskerville" w:hAnsi="NewBaskerville"/>
          <w:sz w:val="20"/>
        </w:rPr>
        <w:t xml:space="preserve"> por su valor nominal, continuarán valorándose por dicho importe.</w:t>
      </w:r>
    </w:p>
    <w:p w:rsidR="00890019" w:rsidRDefault="00890019" w:rsidP="00890019"/>
    <w:p w:rsidR="002C4355" w:rsidRDefault="00890019" w:rsidP="00525F4B">
      <w:pPr>
        <w:rPr>
          <w:rFonts w:ascii="NewBaskerville" w:hAnsi="NewBaskerville"/>
          <w:u w:val="single"/>
        </w:rPr>
      </w:pPr>
      <w:r w:rsidRPr="00890019">
        <w:rPr>
          <w:rFonts w:ascii="NewBaskerville" w:hAnsi="NewBaskerville"/>
          <w:u w:val="single"/>
        </w:rPr>
        <w:t>Fianzas y depósitos entregado</w:t>
      </w:r>
      <w:r w:rsidR="003E2475">
        <w:rPr>
          <w:rFonts w:ascii="NewBaskerville" w:hAnsi="NewBaskerville"/>
          <w:u w:val="single"/>
        </w:rPr>
        <w:t>s</w:t>
      </w:r>
      <w:r w:rsidRPr="00890019">
        <w:rPr>
          <w:rFonts w:ascii="NewBaskerville" w:hAnsi="NewBaskerville"/>
          <w:u w:val="single"/>
        </w:rPr>
        <w:t xml:space="preserve"> y recibidos.</w:t>
      </w:r>
    </w:p>
    <w:p w:rsidR="00890019" w:rsidRDefault="00890019" w:rsidP="002918E7">
      <w:pPr>
        <w:ind w:left="709"/>
        <w:rPr>
          <w:rFonts w:ascii="NewBaskerville" w:hAnsi="NewBaskerville"/>
          <w:u w:val="single"/>
        </w:rPr>
      </w:pPr>
    </w:p>
    <w:p w:rsidR="00890019" w:rsidRDefault="00890019" w:rsidP="00525F4B">
      <w:pPr>
        <w:ind w:firstLine="426"/>
        <w:jc w:val="both"/>
        <w:rPr>
          <w:rFonts w:ascii="NewBaskerville" w:hAnsi="NewBaskerville"/>
        </w:rPr>
      </w:pPr>
      <w:r>
        <w:rPr>
          <w:rFonts w:ascii="NewBaskerville" w:hAnsi="NewBaskerville"/>
        </w:rPr>
        <w:t xml:space="preserve">Las fianzas y depósitos entregados o recibidos, teniendo en cuenta las prácticas habituales del sector económico específico en el que operan </w:t>
      </w:r>
      <w:r w:rsidR="003F24D6">
        <w:rPr>
          <w:rFonts w:ascii="NewBaskerville" w:hAnsi="NewBaskerville"/>
        </w:rPr>
        <w:t>los organismos</w:t>
      </w:r>
      <w:r>
        <w:rPr>
          <w:rFonts w:ascii="NewBaskerville" w:hAnsi="NewBaskerville"/>
        </w:rPr>
        <w:t xml:space="preserve"> públicos, la naturaleza y fines de dichas fianzas y depósitos, su actualización financiera tiene un efecto escasamente significativo. Por ello las fianzas y </w:t>
      </w:r>
      <w:r w:rsidR="003F24D6">
        <w:rPr>
          <w:rFonts w:ascii="NewBaskerville" w:hAnsi="NewBaskerville"/>
        </w:rPr>
        <w:t>depósitos</w:t>
      </w:r>
      <w:r>
        <w:rPr>
          <w:rFonts w:ascii="NewBaskerville" w:hAnsi="NewBaskerville"/>
        </w:rPr>
        <w:t xml:space="preserve"> recibidos o constituidos (tanto a corto como a largo plazo) se valorarán por su valor nominal.</w:t>
      </w:r>
    </w:p>
    <w:p w:rsidR="00890019" w:rsidRPr="00890019" w:rsidRDefault="00890019" w:rsidP="002918E7">
      <w:pPr>
        <w:ind w:left="709"/>
        <w:rPr>
          <w:rFonts w:ascii="NewBaskerville" w:hAnsi="NewBaskerville"/>
          <w:u w:val="single"/>
        </w:rPr>
      </w:pPr>
    </w:p>
    <w:p w:rsidR="002C4355" w:rsidRPr="0063644B" w:rsidRDefault="002C4355" w:rsidP="00074175">
      <w:pPr>
        <w:numPr>
          <w:ilvl w:val="0"/>
          <w:numId w:val="41"/>
        </w:numPr>
        <w:spacing w:after="120"/>
        <w:ind w:left="567" w:hanging="283"/>
        <w:jc w:val="both"/>
        <w:rPr>
          <w:rFonts w:ascii="NewBaskerville" w:hAnsi="NewBaskerville"/>
          <w:bCs/>
        </w:rPr>
      </w:pPr>
      <w:r w:rsidRPr="0063644B">
        <w:rPr>
          <w:rFonts w:ascii="NewBaskerville" w:hAnsi="NewBaskerville"/>
          <w:bCs/>
        </w:rPr>
        <w:t>Existencias</w:t>
      </w:r>
    </w:p>
    <w:p w:rsidR="002C4355" w:rsidRPr="0063644B" w:rsidRDefault="002C4355" w:rsidP="0063644B">
      <w:pPr>
        <w:tabs>
          <w:tab w:val="center" w:pos="1843"/>
          <w:tab w:val="center" w:pos="5671"/>
          <w:tab w:val="center" w:pos="7797"/>
        </w:tabs>
        <w:ind w:firstLine="568"/>
        <w:jc w:val="both"/>
        <w:rPr>
          <w:rFonts w:ascii="NewBaskerville" w:hAnsi="NewBaskerville"/>
          <w:bCs/>
        </w:rPr>
      </w:pPr>
      <w:r w:rsidRPr="0063644B">
        <w:rPr>
          <w:rFonts w:ascii="NewBaskerville" w:hAnsi="NewBaskerville"/>
          <w:bCs/>
        </w:rPr>
        <w:t>Los bienes comprendidos en las existencias se valoran inicialmente al precio de adquisición; los impuestos indirectos que gravan las existencias sólo se incluyen en el precio cuando no son directamente recuperables de la Hacienda Pública.</w:t>
      </w:r>
    </w:p>
    <w:p w:rsidR="002C4355" w:rsidRPr="0063644B" w:rsidRDefault="002C4355" w:rsidP="002918E7">
      <w:pPr>
        <w:tabs>
          <w:tab w:val="center" w:pos="1843"/>
          <w:tab w:val="center" w:pos="5671"/>
          <w:tab w:val="center" w:pos="7797"/>
        </w:tabs>
        <w:ind w:left="709" w:firstLine="568"/>
        <w:jc w:val="both"/>
        <w:rPr>
          <w:rFonts w:ascii="NewBaskerville" w:hAnsi="NewBaskerville"/>
        </w:rPr>
      </w:pPr>
    </w:p>
    <w:p w:rsidR="003B432F" w:rsidRPr="0063644B" w:rsidRDefault="002C4355" w:rsidP="00997D65">
      <w:pPr>
        <w:tabs>
          <w:tab w:val="center" w:pos="1843"/>
          <w:tab w:val="center" w:pos="5671"/>
          <w:tab w:val="center" w:pos="7797"/>
        </w:tabs>
        <w:ind w:firstLine="568"/>
        <w:jc w:val="both"/>
        <w:rPr>
          <w:rFonts w:ascii="NewBaskerville" w:hAnsi="NewBaskerville"/>
        </w:rPr>
      </w:pPr>
      <w:r w:rsidRPr="0063644B">
        <w:rPr>
          <w:rFonts w:ascii="NewBaskerville" w:hAnsi="NewBaskerville"/>
        </w:rPr>
        <w:t>El inventario de existencias se valora por e</w:t>
      </w:r>
      <w:r w:rsidR="00F45BF6">
        <w:rPr>
          <w:rFonts w:ascii="NewBaskerville" w:hAnsi="NewBaskerville"/>
        </w:rPr>
        <w:t>l método FIFO aplicándose a toda</w:t>
      </w:r>
      <w:r w:rsidRPr="0063644B">
        <w:rPr>
          <w:rFonts w:ascii="NewBaskerville" w:hAnsi="NewBaskerville"/>
        </w:rPr>
        <w:t>s las existencias</w:t>
      </w:r>
      <w:r w:rsidR="008A5BD6" w:rsidRPr="0063644B">
        <w:rPr>
          <w:rFonts w:ascii="NewBaskerville" w:hAnsi="NewBaskerville"/>
        </w:rPr>
        <w:t xml:space="preserve"> el mismo método de valoración.</w:t>
      </w:r>
    </w:p>
    <w:p w:rsidR="003B432F" w:rsidRDefault="003B432F" w:rsidP="008A5BD6">
      <w:pPr>
        <w:tabs>
          <w:tab w:val="center" w:pos="1843"/>
          <w:tab w:val="center" w:pos="5671"/>
          <w:tab w:val="center" w:pos="7797"/>
        </w:tabs>
        <w:ind w:firstLine="568"/>
        <w:jc w:val="both"/>
      </w:pPr>
    </w:p>
    <w:p w:rsidR="002C4355" w:rsidRPr="0063644B" w:rsidRDefault="002C4355" w:rsidP="00074175">
      <w:pPr>
        <w:pStyle w:val="Prrafodelista"/>
        <w:numPr>
          <w:ilvl w:val="0"/>
          <w:numId w:val="41"/>
        </w:numPr>
        <w:spacing w:after="120"/>
        <w:ind w:left="567" w:hanging="283"/>
        <w:jc w:val="both"/>
        <w:rPr>
          <w:rFonts w:ascii="NewBaskerville" w:hAnsi="NewBaskerville"/>
          <w:bCs/>
        </w:rPr>
      </w:pPr>
      <w:r w:rsidRPr="0063644B">
        <w:rPr>
          <w:rFonts w:ascii="NewBaskerville" w:hAnsi="NewBaskerville"/>
          <w:bCs/>
        </w:rPr>
        <w:t>Efectivo y otros activos líquidos equivalentes</w:t>
      </w:r>
    </w:p>
    <w:p w:rsidR="002C4355" w:rsidRPr="0063644B" w:rsidRDefault="002C4355">
      <w:pPr>
        <w:tabs>
          <w:tab w:val="center" w:pos="1843"/>
          <w:tab w:val="center" w:pos="5671"/>
          <w:tab w:val="center" w:pos="7797"/>
        </w:tabs>
        <w:ind w:firstLine="568"/>
        <w:jc w:val="both"/>
        <w:rPr>
          <w:rFonts w:ascii="NewBaskerville" w:hAnsi="NewBaskerville"/>
        </w:rPr>
      </w:pPr>
      <w:r w:rsidRPr="0063644B">
        <w:rPr>
          <w:rFonts w:ascii="NewBaskerville" w:hAnsi="NewBaskerville"/>
        </w:rPr>
        <w:t>Este epígrafe incluye el efectivo en caja, las cuentas corrientes bancarias y los depósitos y adquisiciones temporales de activos que cumplen con todos los siguientes requisitos:</w:t>
      </w:r>
    </w:p>
    <w:p w:rsidR="002C4355" w:rsidRPr="0063644B" w:rsidRDefault="002C4355" w:rsidP="00C86A95">
      <w:pPr>
        <w:widowControl w:val="0"/>
        <w:autoSpaceDE w:val="0"/>
        <w:autoSpaceDN w:val="0"/>
        <w:adjustRightInd w:val="0"/>
        <w:spacing w:before="120"/>
        <w:ind w:left="720" w:hanging="153"/>
        <w:jc w:val="both"/>
        <w:rPr>
          <w:rFonts w:ascii="NewBaskerville" w:hAnsi="NewBaskerville"/>
          <w:color w:val="000000"/>
        </w:rPr>
      </w:pPr>
      <w:r w:rsidRPr="0063644B">
        <w:rPr>
          <w:rFonts w:ascii="NewBaskerville" w:hAnsi="NewBaskerville"/>
        </w:rPr>
        <w:t>•</w:t>
      </w:r>
      <w:r w:rsidRPr="0063644B">
        <w:rPr>
          <w:rFonts w:ascii="NewBaskerville" w:hAnsi="NewBaskerville"/>
        </w:rPr>
        <w:tab/>
        <w:t>S</w:t>
      </w:r>
      <w:r w:rsidRPr="0063644B">
        <w:rPr>
          <w:rFonts w:ascii="NewBaskerville" w:hAnsi="NewBaskerville"/>
          <w:color w:val="000000"/>
        </w:rPr>
        <w:t xml:space="preserve">on convertibles en efectivo. </w:t>
      </w:r>
    </w:p>
    <w:p w:rsidR="002C4355" w:rsidRPr="0063644B" w:rsidRDefault="002C4355" w:rsidP="00C86A95">
      <w:pPr>
        <w:widowControl w:val="0"/>
        <w:autoSpaceDE w:val="0"/>
        <w:autoSpaceDN w:val="0"/>
        <w:adjustRightInd w:val="0"/>
        <w:spacing w:before="120"/>
        <w:ind w:left="720" w:hanging="153"/>
        <w:jc w:val="both"/>
        <w:rPr>
          <w:rFonts w:ascii="NewBaskerville" w:hAnsi="NewBaskerville"/>
          <w:color w:val="000000"/>
        </w:rPr>
      </w:pPr>
      <w:r w:rsidRPr="0063644B">
        <w:rPr>
          <w:rFonts w:ascii="NewBaskerville" w:hAnsi="NewBaskerville"/>
        </w:rPr>
        <w:t>•</w:t>
      </w:r>
      <w:r w:rsidRPr="0063644B">
        <w:rPr>
          <w:rFonts w:ascii="NewBaskerville" w:hAnsi="NewBaskerville"/>
        </w:rPr>
        <w:tab/>
      </w:r>
      <w:r w:rsidRPr="0063644B">
        <w:rPr>
          <w:rFonts w:ascii="NewBaskerville" w:hAnsi="NewBaskerville"/>
          <w:color w:val="000000"/>
        </w:rPr>
        <w:t>En el momento de su adquisición su vencimiento no era superior a tres meses.</w:t>
      </w:r>
    </w:p>
    <w:p w:rsidR="002C4355" w:rsidRPr="0063644B" w:rsidRDefault="002C4355" w:rsidP="00C86A95">
      <w:pPr>
        <w:widowControl w:val="0"/>
        <w:autoSpaceDE w:val="0"/>
        <w:autoSpaceDN w:val="0"/>
        <w:adjustRightInd w:val="0"/>
        <w:spacing w:before="120"/>
        <w:ind w:left="720" w:hanging="153"/>
        <w:jc w:val="both"/>
        <w:rPr>
          <w:rFonts w:ascii="NewBaskerville" w:hAnsi="NewBaskerville"/>
          <w:color w:val="000000"/>
        </w:rPr>
      </w:pPr>
      <w:r w:rsidRPr="0063644B">
        <w:rPr>
          <w:rFonts w:ascii="NewBaskerville" w:hAnsi="NewBaskerville"/>
        </w:rPr>
        <w:t>•</w:t>
      </w:r>
      <w:r w:rsidRPr="0063644B">
        <w:rPr>
          <w:rFonts w:ascii="NewBaskerville" w:hAnsi="NewBaskerville"/>
        </w:rPr>
        <w:tab/>
        <w:t>N</w:t>
      </w:r>
      <w:r w:rsidRPr="0063644B">
        <w:rPr>
          <w:rFonts w:ascii="NewBaskerville" w:hAnsi="NewBaskerville"/>
          <w:color w:val="000000"/>
        </w:rPr>
        <w:t>o están sujetos a un rie</w:t>
      </w:r>
      <w:r w:rsidR="00A60572" w:rsidRPr="0063644B">
        <w:rPr>
          <w:rFonts w:ascii="NewBaskerville" w:hAnsi="NewBaskerville"/>
          <w:color w:val="000000"/>
        </w:rPr>
        <w:t>s</w:t>
      </w:r>
      <w:r w:rsidRPr="0063644B">
        <w:rPr>
          <w:rFonts w:ascii="NewBaskerville" w:hAnsi="NewBaskerville"/>
          <w:color w:val="000000"/>
        </w:rPr>
        <w:t>go significativo de cambio de valor.</w:t>
      </w:r>
    </w:p>
    <w:p w:rsidR="00C86A95" w:rsidRDefault="002C4355" w:rsidP="00997D65">
      <w:pPr>
        <w:widowControl w:val="0"/>
        <w:autoSpaceDE w:val="0"/>
        <w:autoSpaceDN w:val="0"/>
        <w:adjustRightInd w:val="0"/>
        <w:spacing w:before="120"/>
        <w:ind w:left="720" w:hanging="153"/>
        <w:jc w:val="both"/>
        <w:rPr>
          <w:rFonts w:ascii="NewBaskerville" w:hAnsi="NewBaskerville"/>
          <w:color w:val="000000"/>
        </w:rPr>
      </w:pPr>
      <w:r w:rsidRPr="0063644B">
        <w:rPr>
          <w:rFonts w:ascii="NewBaskerville" w:hAnsi="NewBaskerville"/>
        </w:rPr>
        <w:t>•</w:t>
      </w:r>
      <w:r w:rsidRPr="0063644B">
        <w:rPr>
          <w:rFonts w:ascii="NewBaskerville" w:hAnsi="NewBaskerville"/>
        </w:rPr>
        <w:tab/>
        <w:t>F</w:t>
      </w:r>
      <w:r w:rsidRPr="0063644B">
        <w:rPr>
          <w:rFonts w:ascii="NewBaskerville" w:hAnsi="NewBaskerville"/>
          <w:color w:val="000000"/>
        </w:rPr>
        <w:t>orman parte de la política de gestión normal de tesorería de la Entidad.</w:t>
      </w:r>
    </w:p>
    <w:p w:rsidR="00074175" w:rsidRPr="0063644B" w:rsidRDefault="00074175" w:rsidP="00997D65">
      <w:pPr>
        <w:widowControl w:val="0"/>
        <w:autoSpaceDE w:val="0"/>
        <w:autoSpaceDN w:val="0"/>
        <w:adjustRightInd w:val="0"/>
        <w:spacing w:before="120"/>
        <w:ind w:left="720" w:hanging="153"/>
        <w:jc w:val="both"/>
        <w:rPr>
          <w:rFonts w:ascii="NewBaskerville" w:hAnsi="NewBaskerville"/>
          <w:color w:val="000000"/>
        </w:rPr>
      </w:pPr>
    </w:p>
    <w:p w:rsidR="002C4355" w:rsidRDefault="002C4355" w:rsidP="007D14D7">
      <w:pPr>
        <w:numPr>
          <w:ilvl w:val="0"/>
          <w:numId w:val="41"/>
        </w:numPr>
        <w:ind w:left="567" w:hanging="283"/>
        <w:jc w:val="both"/>
        <w:rPr>
          <w:rFonts w:ascii="NewBaskerville" w:hAnsi="NewBaskerville"/>
          <w:bCs/>
        </w:rPr>
      </w:pPr>
      <w:r w:rsidRPr="0063644B">
        <w:rPr>
          <w:rFonts w:ascii="NewBaskerville" w:hAnsi="NewBaskerville"/>
          <w:bCs/>
        </w:rPr>
        <w:t>Subvenciones de capital</w:t>
      </w:r>
      <w:r w:rsidR="00977F34" w:rsidRPr="0063644B">
        <w:rPr>
          <w:rFonts w:ascii="NewBaskerville" w:hAnsi="NewBaskerville"/>
          <w:bCs/>
        </w:rPr>
        <w:t>, donaciones y legados</w:t>
      </w:r>
    </w:p>
    <w:p w:rsidR="007D14D7" w:rsidRPr="0063644B" w:rsidRDefault="007D14D7" w:rsidP="007D14D7">
      <w:pPr>
        <w:ind w:left="567"/>
        <w:jc w:val="both"/>
        <w:rPr>
          <w:rFonts w:ascii="NewBaskerville" w:hAnsi="NewBaskerville"/>
          <w:bCs/>
        </w:rPr>
      </w:pPr>
    </w:p>
    <w:p w:rsidR="002C4355" w:rsidRPr="0063644B" w:rsidRDefault="007D14D7" w:rsidP="00083BB5">
      <w:pPr>
        <w:pStyle w:val="Ttulo5"/>
        <w:rPr>
          <w:rFonts w:ascii="NewBaskerville" w:hAnsi="NewBaskerville"/>
          <w:sz w:val="20"/>
        </w:rPr>
      </w:pPr>
      <w:r>
        <w:rPr>
          <w:rFonts w:ascii="NewBaskerville" w:hAnsi="NewBaskerville"/>
          <w:sz w:val="20"/>
        </w:rPr>
        <w:t xml:space="preserve">Las subvenciones de </w:t>
      </w:r>
      <w:r w:rsidR="002C4355" w:rsidRPr="0063644B">
        <w:rPr>
          <w:rFonts w:ascii="NewBaskerville" w:hAnsi="NewBaskerville"/>
          <w:sz w:val="20"/>
        </w:rPr>
        <w:t xml:space="preserve">carácter no reintegrable se </w:t>
      </w:r>
      <w:r>
        <w:rPr>
          <w:rFonts w:ascii="NewBaskerville" w:hAnsi="NewBaskerville"/>
          <w:sz w:val="20"/>
        </w:rPr>
        <w:t>valoran</w:t>
      </w:r>
      <w:r w:rsidR="002C4355" w:rsidRPr="0063644B">
        <w:rPr>
          <w:rFonts w:ascii="NewBaskerville" w:hAnsi="NewBaskerville"/>
          <w:sz w:val="20"/>
        </w:rPr>
        <w:t xml:space="preserve"> por el </w:t>
      </w:r>
      <w:r w:rsidR="004323C0">
        <w:rPr>
          <w:rFonts w:ascii="NewBaskerville" w:hAnsi="NewBaskerville"/>
          <w:sz w:val="20"/>
        </w:rPr>
        <w:t xml:space="preserve">valor razonable del </w:t>
      </w:r>
      <w:r w:rsidR="002C4355" w:rsidRPr="0063644B">
        <w:rPr>
          <w:rFonts w:ascii="NewBaskerville" w:hAnsi="NewBaskerville"/>
          <w:sz w:val="20"/>
        </w:rPr>
        <w:t>importe concedido,</w:t>
      </w:r>
      <w:r w:rsidR="00083BB5" w:rsidRPr="0063644B">
        <w:rPr>
          <w:rFonts w:ascii="NewBaskerville" w:hAnsi="NewBaskerville"/>
          <w:sz w:val="20"/>
        </w:rPr>
        <w:t xml:space="preserve"> </w:t>
      </w:r>
      <w:r w:rsidR="00A83A3C" w:rsidRPr="0063644B">
        <w:rPr>
          <w:rFonts w:ascii="NewBaskerville" w:hAnsi="NewBaskerville"/>
          <w:sz w:val="20"/>
        </w:rPr>
        <w:t>registrándose en el pat</w:t>
      </w:r>
      <w:r w:rsidR="00FA123B" w:rsidRPr="0063644B">
        <w:rPr>
          <w:rFonts w:ascii="NewBaskerville" w:hAnsi="NewBaskerville"/>
          <w:sz w:val="20"/>
        </w:rPr>
        <w:t>rimonio neto</w:t>
      </w:r>
      <w:r w:rsidR="00C14522">
        <w:rPr>
          <w:rFonts w:ascii="NewBaskerville" w:hAnsi="NewBaskerville"/>
          <w:sz w:val="20"/>
        </w:rPr>
        <w:t>, deducido el efecto impositivo,</w:t>
      </w:r>
      <w:r w:rsidR="00FA123B" w:rsidRPr="0063644B">
        <w:rPr>
          <w:rFonts w:ascii="NewBaskerville" w:hAnsi="NewBaskerville"/>
          <w:sz w:val="20"/>
        </w:rPr>
        <w:t xml:space="preserve"> cuando se obtienen. </w:t>
      </w:r>
      <w:r w:rsidR="00C14522">
        <w:rPr>
          <w:rFonts w:ascii="NewBaskerville" w:hAnsi="NewBaskerville"/>
          <w:sz w:val="20"/>
        </w:rPr>
        <w:t xml:space="preserve">Las ligadas al inmovilizado material se imputan como ingreso del ejercicio en proporción a la amortización </w:t>
      </w:r>
      <w:r w:rsidR="002C4355" w:rsidRPr="0063644B">
        <w:rPr>
          <w:rFonts w:ascii="NewBaskerville" w:hAnsi="NewBaskerville"/>
          <w:sz w:val="20"/>
        </w:rPr>
        <w:t>efectuada en el mismo periodo del activo financiado con dicha subvención</w:t>
      </w:r>
      <w:r w:rsidR="00C14522">
        <w:rPr>
          <w:rFonts w:ascii="NewBaskerville" w:hAnsi="NewBaskerville"/>
          <w:sz w:val="20"/>
        </w:rPr>
        <w:t>,</w:t>
      </w:r>
      <w:r w:rsidR="002C4355" w:rsidRPr="0063644B">
        <w:rPr>
          <w:rFonts w:ascii="NewBaskerville" w:hAnsi="NewBaskerville"/>
          <w:sz w:val="20"/>
        </w:rPr>
        <w:t xml:space="preserve"> o en su caso cuando se produzca su enajenación o baja en balance.</w:t>
      </w:r>
    </w:p>
    <w:p w:rsidR="002C4355" w:rsidRPr="0063644B" w:rsidRDefault="002C4355" w:rsidP="00FA123B">
      <w:pPr>
        <w:jc w:val="both"/>
        <w:rPr>
          <w:rFonts w:ascii="NewBaskerville" w:hAnsi="NewBaskerville"/>
        </w:rPr>
      </w:pPr>
    </w:p>
    <w:p w:rsidR="003B432F" w:rsidRDefault="002C4355" w:rsidP="00855D01">
      <w:pPr>
        <w:ind w:firstLine="540"/>
        <w:jc w:val="both"/>
        <w:rPr>
          <w:rFonts w:ascii="NewBaskerville" w:hAnsi="NewBaskerville"/>
        </w:rPr>
      </w:pPr>
      <w:r w:rsidRPr="0063644B">
        <w:rPr>
          <w:rFonts w:ascii="NewBaskerville" w:hAnsi="NewBaskerville"/>
        </w:rPr>
        <w:t>El devengo se reconoce simultáneamente al reconocimiento del pasivo por la certificación de obra.</w:t>
      </w:r>
    </w:p>
    <w:p w:rsidR="00306CAC" w:rsidRDefault="00306CAC" w:rsidP="00306CAC">
      <w:pPr>
        <w:ind w:firstLine="540"/>
        <w:jc w:val="both"/>
        <w:rPr>
          <w:rFonts w:ascii="NewBaskerville" w:hAnsi="NewBaskerville"/>
        </w:rPr>
      </w:pPr>
    </w:p>
    <w:p w:rsidR="00E02396" w:rsidRPr="0063644B" w:rsidRDefault="00306CAC" w:rsidP="00306CAC">
      <w:pPr>
        <w:ind w:firstLine="540"/>
        <w:jc w:val="both"/>
        <w:rPr>
          <w:rFonts w:ascii="NewBaskerville" w:hAnsi="NewBaskerville"/>
        </w:rPr>
      </w:pPr>
      <w:r>
        <w:rPr>
          <w:rFonts w:ascii="NewBaskerville" w:hAnsi="NewBaskerville"/>
        </w:rPr>
        <w:t xml:space="preserve">Las donaciones y legados concedidos para el establecimiento o estructura fija de la empresa (activos no corrientes) cuando no sean reintegrables se valoran por el valor razonable del bien recibido, atendiendo al efecto impositivo que pudiera corresponderles. Su imputación a resultados será similar a la descrita para las subvenciones.   </w:t>
      </w:r>
    </w:p>
    <w:p w:rsidR="001F2D6C" w:rsidRDefault="001F2D6C" w:rsidP="001F2D6C">
      <w:pPr>
        <w:ind w:firstLine="540"/>
      </w:pPr>
    </w:p>
    <w:p w:rsidR="00306CAC" w:rsidRDefault="00306CAC" w:rsidP="00306CAC">
      <w:pPr>
        <w:ind w:firstLine="540"/>
        <w:jc w:val="both"/>
        <w:rPr>
          <w:rFonts w:ascii="NewBaskerville" w:hAnsi="NewBaskerville"/>
        </w:rPr>
      </w:pPr>
      <w:r>
        <w:rPr>
          <w:rFonts w:ascii="NewBaskerville" w:hAnsi="NewBaskerville"/>
        </w:rPr>
        <w:t>En esta categoría se engloban los elementos adquiridos por reversión de concesiones, las adquisiciones a título lucrativo, y similares.</w:t>
      </w:r>
    </w:p>
    <w:p w:rsidR="00306CAC" w:rsidRDefault="00306CAC" w:rsidP="00306CAC">
      <w:pPr>
        <w:ind w:firstLine="540"/>
        <w:jc w:val="both"/>
        <w:rPr>
          <w:rFonts w:ascii="NewBaskerville" w:hAnsi="NewBaskerville"/>
        </w:rPr>
      </w:pPr>
    </w:p>
    <w:p w:rsidR="008A5BD6" w:rsidRPr="00306CAC" w:rsidRDefault="00981950" w:rsidP="00BA6314">
      <w:pPr>
        <w:numPr>
          <w:ilvl w:val="0"/>
          <w:numId w:val="41"/>
        </w:numPr>
        <w:spacing w:after="120"/>
        <w:ind w:left="567" w:hanging="283"/>
        <w:jc w:val="both"/>
        <w:rPr>
          <w:rFonts w:ascii="NewBaskerville" w:hAnsi="NewBaskerville"/>
          <w:bCs/>
        </w:rPr>
      </w:pPr>
      <w:r w:rsidRPr="00306CAC">
        <w:rPr>
          <w:rFonts w:ascii="NewBaskerville" w:hAnsi="NewBaskerville"/>
          <w:bCs/>
        </w:rPr>
        <w:t xml:space="preserve">Provisiones </w:t>
      </w:r>
    </w:p>
    <w:p w:rsidR="008A5BD6" w:rsidRPr="00306CAC" w:rsidRDefault="008A5BD6" w:rsidP="008A5BD6">
      <w:pPr>
        <w:pStyle w:val="Ttulo5"/>
        <w:rPr>
          <w:rFonts w:ascii="NewBaskerville" w:hAnsi="NewBaskerville"/>
          <w:sz w:val="20"/>
        </w:rPr>
      </w:pPr>
      <w:r w:rsidRPr="00306CAC">
        <w:rPr>
          <w:rFonts w:ascii="NewBaskerville" w:hAnsi="NewBaskerville"/>
          <w:sz w:val="20"/>
        </w:rPr>
        <w:lastRenderedPageBreak/>
        <w:t>Las provisiones se reconocen en el balance cuando la Entidad tiene una obligación actual, ya sea por una disposición legal, contractual o por una obligación implícita o tácita, surgida como consecuencia de sucesos pasados, que se estima probable que suponga una salida de recursos para su liquidación y que es cuantificable.</w:t>
      </w:r>
    </w:p>
    <w:p w:rsidR="008A5BD6" w:rsidRPr="00306CAC" w:rsidRDefault="008A5BD6" w:rsidP="008A5BD6">
      <w:pPr>
        <w:ind w:left="1065"/>
        <w:rPr>
          <w:rFonts w:ascii="NewBaskerville" w:hAnsi="NewBaskerville"/>
          <w:b/>
        </w:rPr>
      </w:pPr>
    </w:p>
    <w:p w:rsidR="002C4355" w:rsidRDefault="001F2D6C" w:rsidP="00E6742F">
      <w:pPr>
        <w:pStyle w:val="Ttulo5"/>
        <w:rPr>
          <w:rFonts w:ascii="NewBaskerville" w:hAnsi="NewBaskerville"/>
          <w:sz w:val="20"/>
        </w:rPr>
      </w:pPr>
      <w:r w:rsidRPr="00306CAC">
        <w:rPr>
          <w:rFonts w:ascii="NewBaskerville" w:hAnsi="NewBaskerville"/>
          <w:sz w:val="20"/>
        </w:rPr>
        <w:t>Las provisiones se valoran por el valor actual de la mejor estimación posible del importe necesario para cancelar o transferir a un tercero la obligación, registrándose los ajustes que surjan por la actualización de la provisión como un gasto financiero conforme se van devengando</w:t>
      </w:r>
      <w:r w:rsidR="000F3AD4" w:rsidRPr="00306CAC">
        <w:rPr>
          <w:rFonts w:ascii="NewBaskerville" w:hAnsi="NewBaskerville"/>
          <w:sz w:val="20"/>
        </w:rPr>
        <w:t xml:space="preserve">. </w:t>
      </w:r>
      <w:r w:rsidRPr="00306CAC">
        <w:rPr>
          <w:rFonts w:ascii="NewBaskerville" w:hAnsi="NewBaskerville"/>
          <w:sz w:val="20"/>
        </w:rPr>
        <w:t>Las provisiones se revisan a la fecha de cierre de cada balance y son ajustadas con el objetivo de reflejar la mejor estimación actual del pasivo correspondiente en cada momento.</w:t>
      </w:r>
    </w:p>
    <w:p w:rsidR="00306CAC" w:rsidRPr="00306CAC" w:rsidRDefault="00306CAC" w:rsidP="00306CAC"/>
    <w:p w:rsidR="002C4355" w:rsidRPr="00306CAC" w:rsidRDefault="002C4355" w:rsidP="00BA6314">
      <w:pPr>
        <w:numPr>
          <w:ilvl w:val="0"/>
          <w:numId w:val="41"/>
        </w:numPr>
        <w:spacing w:after="120"/>
        <w:ind w:left="567" w:hanging="283"/>
        <w:jc w:val="both"/>
        <w:rPr>
          <w:rFonts w:ascii="NewBaskerville" w:hAnsi="NewBaskerville"/>
          <w:bCs/>
        </w:rPr>
      </w:pPr>
      <w:r w:rsidRPr="00306CAC">
        <w:rPr>
          <w:rFonts w:ascii="NewBaskerville" w:hAnsi="NewBaskerville"/>
          <w:bCs/>
        </w:rPr>
        <w:t>Impuesto sobre sociedades</w:t>
      </w:r>
    </w:p>
    <w:p w:rsidR="00E74876" w:rsidRPr="00306CAC" w:rsidRDefault="00E74876" w:rsidP="00842F76">
      <w:pPr>
        <w:pStyle w:val="Ttulo5"/>
        <w:rPr>
          <w:rFonts w:ascii="NewBaskerville" w:hAnsi="NewBaskerville"/>
          <w:sz w:val="20"/>
        </w:rPr>
      </w:pPr>
      <w:r w:rsidRPr="00306CAC">
        <w:rPr>
          <w:rFonts w:ascii="NewBaskerville" w:hAnsi="NewBaskerville"/>
          <w:sz w:val="20"/>
        </w:rPr>
        <w:t>El gasto o ingreso por impuesto sobre beneficios comprende la parte relativa al gasto o ingreso por el impuesto corriente y la parte correspondiente al gasto e ingreso por impuesto diferido.</w:t>
      </w:r>
    </w:p>
    <w:p w:rsidR="00187A36" w:rsidRPr="00306CAC" w:rsidRDefault="00187A36" w:rsidP="00842F76">
      <w:pPr>
        <w:pStyle w:val="Ttulo5"/>
        <w:rPr>
          <w:rFonts w:ascii="NewBaskerville" w:hAnsi="NewBaskerville"/>
          <w:sz w:val="20"/>
        </w:rPr>
      </w:pPr>
    </w:p>
    <w:p w:rsidR="00E74876" w:rsidRPr="00306CAC" w:rsidRDefault="00E74876" w:rsidP="00842F76">
      <w:pPr>
        <w:pStyle w:val="Ttulo5"/>
        <w:rPr>
          <w:rFonts w:ascii="NewBaskerville" w:hAnsi="NewBaskerville"/>
          <w:sz w:val="20"/>
        </w:rPr>
      </w:pPr>
      <w:r w:rsidRPr="00306CAC">
        <w:rPr>
          <w:rFonts w:ascii="NewBaskerville" w:hAnsi="NewBaskerville"/>
          <w:sz w:val="20"/>
        </w:rPr>
        <w:t>El impuesto cor</w:t>
      </w:r>
      <w:r w:rsidR="00C116BF" w:rsidRPr="00306CAC">
        <w:rPr>
          <w:rFonts w:ascii="NewBaskerville" w:hAnsi="NewBaskerville"/>
          <w:sz w:val="20"/>
        </w:rPr>
        <w:t xml:space="preserve">riente es la cantidad que la </w:t>
      </w:r>
      <w:r w:rsidR="006E10AE">
        <w:rPr>
          <w:rFonts w:ascii="NewBaskerville" w:hAnsi="NewBaskerville"/>
          <w:sz w:val="20"/>
        </w:rPr>
        <w:t>Entidad</w:t>
      </w:r>
      <w:r w:rsidRPr="00306CAC">
        <w:rPr>
          <w:rFonts w:ascii="NewBaskerville" w:hAnsi="NewBaskerville"/>
          <w:sz w:val="20"/>
        </w:rPr>
        <w:t xml:space="preserve"> satisface como consecuencia de las liquidaciones fiscales del impu</w:t>
      </w:r>
      <w:r w:rsidR="00EA5EEF" w:rsidRPr="00306CAC">
        <w:rPr>
          <w:rFonts w:ascii="NewBaskerville" w:hAnsi="NewBaskerville"/>
          <w:sz w:val="20"/>
        </w:rPr>
        <w:t>esto sobre el beneficio relativa</w:t>
      </w:r>
      <w:r w:rsidRPr="00306CAC">
        <w:rPr>
          <w:rFonts w:ascii="NewBaskerville" w:hAnsi="NewBaskerville"/>
          <w:sz w:val="20"/>
        </w:rPr>
        <w:t xml:space="preserve"> a un ejercicio. Las deducciones y otras ventajas fiscales en la cuota del impuesto, excluidas las retenciones y pagos a cuenta, así como las pérdidas fiscales</w:t>
      </w:r>
      <w:r w:rsidR="00842F76" w:rsidRPr="00306CAC">
        <w:rPr>
          <w:rFonts w:ascii="NewBaskerville" w:hAnsi="NewBaskerville"/>
          <w:sz w:val="20"/>
        </w:rPr>
        <w:t xml:space="preserve"> compensables de ejercicios anteriores y aplicadas efectivamente en éste, dan lugar a un menor importe del impuesto corriente.</w:t>
      </w:r>
    </w:p>
    <w:p w:rsidR="00187A36" w:rsidRPr="00306CAC" w:rsidRDefault="00187A36" w:rsidP="00187A36">
      <w:pPr>
        <w:rPr>
          <w:rFonts w:ascii="NewBaskerville" w:hAnsi="NewBaskerville"/>
        </w:rPr>
      </w:pPr>
    </w:p>
    <w:p w:rsidR="00187A36" w:rsidRPr="000D1AE5" w:rsidRDefault="00842F76" w:rsidP="000D1AE5">
      <w:pPr>
        <w:pStyle w:val="Ttulo5"/>
        <w:rPr>
          <w:rFonts w:ascii="NewBaskerville" w:hAnsi="NewBaskerville"/>
        </w:rPr>
      </w:pPr>
      <w:r w:rsidRPr="00306CAC">
        <w:rPr>
          <w:rFonts w:ascii="NewBaskerville" w:hAnsi="NewBaskerville"/>
          <w:sz w:val="20"/>
        </w:rPr>
        <w:t xml:space="preserve">El gasto o el ingreso por impuesto diferido se corresponde con el reconocimiento y la cancelación de los activos y pasivos por impuesto diferido. Estos incluyen las diferencias temporarias que se identifican como aquellos importes que se prevén pagaderos o recuperables derivados de las diferencias entre los importes en libros de los activos y pasivos y su valor fiscal, así como las bases imponibles negativas pendientes de compensación y los créditos por deducciones fiscales no aplicadas fiscalmente. </w:t>
      </w:r>
      <w:r w:rsidRPr="000D1AE5">
        <w:rPr>
          <w:rFonts w:ascii="NewBaskerville" w:hAnsi="NewBaskerville"/>
          <w:sz w:val="20"/>
        </w:rPr>
        <w:t>Dichos importes se registran aplicando a la diferencia temporaria o crédito que corresponda el tipo de gravamen al que se espera recuperarlos o liquidarlos.</w:t>
      </w:r>
    </w:p>
    <w:p w:rsidR="00187A36" w:rsidRPr="000D1AE5" w:rsidRDefault="00187A36" w:rsidP="00EB2BD6">
      <w:pPr>
        <w:pStyle w:val="Ttulo5"/>
        <w:rPr>
          <w:rFonts w:ascii="NewBaskerville" w:hAnsi="NewBaskerville"/>
          <w:sz w:val="20"/>
        </w:rPr>
      </w:pPr>
    </w:p>
    <w:p w:rsidR="00842F76" w:rsidRPr="000D1AE5" w:rsidRDefault="00187A36" w:rsidP="00EB2BD6">
      <w:pPr>
        <w:pStyle w:val="Ttulo5"/>
        <w:rPr>
          <w:rFonts w:ascii="NewBaskerville" w:hAnsi="NewBaskerville"/>
          <w:sz w:val="20"/>
        </w:rPr>
      </w:pPr>
      <w:r w:rsidRPr="000D1AE5">
        <w:rPr>
          <w:rFonts w:ascii="NewBaskerville" w:hAnsi="NewBaskerville"/>
          <w:sz w:val="20"/>
        </w:rPr>
        <w:t>S</w:t>
      </w:r>
      <w:r w:rsidR="00842F76" w:rsidRPr="000D1AE5">
        <w:rPr>
          <w:rFonts w:ascii="NewBaskerville" w:hAnsi="NewBaskerville"/>
          <w:sz w:val="20"/>
        </w:rPr>
        <w:t>e reconocen pasivos por impuestos diferidos para todas las diferencias temporarias imponibles, excepto aquellas derivadas del reconocimiento inicial de fondos de comercio o de otros activos y pasivos en una operación que no afecta ni al resultado fiscal ni al resultado contable y no es una combinación de negocios</w:t>
      </w:r>
      <w:r w:rsidR="00EB2BD6" w:rsidRPr="000D1AE5">
        <w:rPr>
          <w:rFonts w:ascii="NewBaskerville" w:hAnsi="NewBaskerville"/>
          <w:sz w:val="20"/>
        </w:rPr>
        <w:t>.</w:t>
      </w:r>
    </w:p>
    <w:p w:rsidR="00EB2BD6" w:rsidRPr="000D1AE5" w:rsidRDefault="00EB2BD6" w:rsidP="00EB2BD6">
      <w:pPr>
        <w:pStyle w:val="Ttulo5"/>
        <w:rPr>
          <w:rFonts w:ascii="NewBaskerville" w:hAnsi="NewBaskerville"/>
          <w:sz w:val="20"/>
        </w:rPr>
      </w:pPr>
    </w:p>
    <w:p w:rsidR="00EB2BD6" w:rsidRPr="000D1AE5" w:rsidRDefault="00EB2BD6" w:rsidP="00EB2BD6">
      <w:pPr>
        <w:pStyle w:val="Ttulo5"/>
        <w:rPr>
          <w:rFonts w:ascii="NewBaskerville" w:hAnsi="NewBaskerville"/>
          <w:sz w:val="20"/>
        </w:rPr>
      </w:pPr>
      <w:r w:rsidRPr="000D1AE5">
        <w:rPr>
          <w:rFonts w:ascii="NewBaskerville" w:hAnsi="NewBaskerville"/>
          <w:sz w:val="20"/>
        </w:rPr>
        <w:t xml:space="preserve">Por su parte, los activos por impuestos diferidos sólo se reconocen en la medida en que se considere probable que la </w:t>
      </w:r>
      <w:r w:rsidR="003D4191">
        <w:rPr>
          <w:rFonts w:ascii="NewBaskerville" w:hAnsi="NewBaskerville"/>
          <w:sz w:val="20"/>
        </w:rPr>
        <w:t>Entidad</w:t>
      </w:r>
      <w:r w:rsidRPr="000D1AE5">
        <w:rPr>
          <w:rFonts w:ascii="NewBaskerville" w:hAnsi="NewBaskerville"/>
          <w:sz w:val="20"/>
        </w:rPr>
        <w:t xml:space="preserve"> vaya a disponer de ganancias fiscales futuras contra las que poder hacerlos efectivos.</w:t>
      </w:r>
    </w:p>
    <w:p w:rsidR="00427604" w:rsidRPr="000D1AE5" w:rsidRDefault="00427604" w:rsidP="00427604">
      <w:pPr>
        <w:rPr>
          <w:rFonts w:ascii="NewBaskerville" w:hAnsi="NewBaskerville"/>
        </w:rPr>
      </w:pPr>
    </w:p>
    <w:p w:rsidR="00427604" w:rsidRPr="000D1AE5" w:rsidRDefault="00427604" w:rsidP="00EE5732">
      <w:pPr>
        <w:pStyle w:val="Ttulo5"/>
        <w:rPr>
          <w:rFonts w:ascii="NewBaskerville" w:hAnsi="NewBaskerville"/>
          <w:sz w:val="20"/>
        </w:rPr>
      </w:pPr>
      <w:r w:rsidRPr="000D1AE5">
        <w:rPr>
          <w:rFonts w:ascii="NewBaskerville" w:hAnsi="NewBaskerville"/>
          <w:sz w:val="20"/>
        </w:rPr>
        <w:t>Los activos y pasivos por impuestos diferidos, originados por operaciones con cargos o abonos directos en cuentas de patrimonio, se contabilizan también con contrapartida en patrimonio neto.</w:t>
      </w:r>
    </w:p>
    <w:p w:rsidR="00427604" w:rsidRPr="000D1AE5" w:rsidRDefault="00427604" w:rsidP="00427604">
      <w:pPr>
        <w:pStyle w:val="Ttulo5"/>
        <w:rPr>
          <w:rFonts w:ascii="NewBaskerville" w:hAnsi="NewBaskerville"/>
          <w:sz w:val="20"/>
        </w:rPr>
      </w:pPr>
    </w:p>
    <w:p w:rsidR="00427604" w:rsidRDefault="00427604" w:rsidP="00427604">
      <w:pPr>
        <w:pStyle w:val="Ttulo5"/>
        <w:rPr>
          <w:sz w:val="20"/>
        </w:rPr>
      </w:pPr>
      <w:r w:rsidRPr="000D1AE5">
        <w:rPr>
          <w:rFonts w:ascii="NewBaskerville" w:hAnsi="NewBaskerville"/>
          <w:sz w:val="20"/>
        </w:rPr>
        <w:t xml:space="preserve"> En cada cierre contable se reconsideran los activos por impuestos diferidos registrados, efectuándose las oportunas correcciones a los mismos en la medida en que existan dudas sobre su recuperación futura. Asimismo, en cada cierre se evalúan los activos por impuestos diferidos no registrados en balance y éstos son objeto de reconocimiento en la medida en que pase a ser probable su recuperación con beneficios fiscales futuros</w:t>
      </w:r>
      <w:r w:rsidRPr="00427604">
        <w:rPr>
          <w:sz w:val="20"/>
        </w:rPr>
        <w:t>.</w:t>
      </w:r>
    </w:p>
    <w:p w:rsidR="000D1AE5" w:rsidRDefault="000D1AE5" w:rsidP="000D1AE5"/>
    <w:p w:rsidR="002C4355" w:rsidRPr="00980CC9" w:rsidRDefault="002C4355" w:rsidP="00BA6314">
      <w:pPr>
        <w:numPr>
          <w:ilvl w:val="0"/>
          <w:numId w:val="41"/>
        </w:numPr>
        <w:spacing w:after="120"/>
        <w:ind w:left="567" w:hanging="283"/>
        <w:jc w:val="both"/>
        <w:rPr>
          <w:rFonts w:ascii="NewBaskerville" w:hAnsi="NewBaskerville"/>
          <w:bCs/>
        </w:rPr>
      </w:pPr>
      <w:r w:rsidRPr="00980CC9">
        <w:rPr>
          <w:rFonts w:ascii="NewBaskerville" w:hAnsi="NewBaskerville"/>
          <w:bCs/>
        </w:rPr>
        <w:t>Clasificación de los activos y pasivos entre corrientes y no corrientes</w:t>
      </w:r>
    </w:p>
    <w:p w:rsidR="002C4355" w:rsidRPr="00980CC9" w:rsidRDefault="002C4355">
      <w:pPr>
        <w:pStyle w:val="Ttulo5"/>
        <w:rPr>
          <w:rFonts w:ascii="NewBaskerville" w:hAnsi="NewBaskerville"/>
          <w:sz w:val="20"/>
        </w:rPr>
      </w:pPr>
      <w:r w:rsidRPr="00980CC9">
        <w:rPr>
          <w:rFonts w:ascii="NewBaskerville" w:hAnsi="NewBaskerville"/>
          <w:sz w:val="20"/>
        </w:rPr>
        <w:t>Los activos y pasivos se presentan en el balance clasificados entre corrientes y no corrientes. A estos efectos, los activos y pasivos se clasifican como corrientes cuando están vinculados al ciclo normal de explotación de la Entidad y se esperan vender, consumir, realizar o liquidar en e</w:t>
      </w:r>
      <w:r w:rsidR="0087395A" w:rsidRPr="00980CC9">
        <w:rPr>
          <w:rFonts w:ascii="NewBaskerville" w:hAnsi="NewBaskerville"/>
          <w:sz w:val="20"/>
        </w:rPr>
        <w:t>l transcurso del mismo. Los activos y pasivos no corrientes no vinculados al ciclo normal de explotación</w:t>
      </w:r>
      <w:r w:rsidRPr="00980CC9">
        <w:rPr>
          <w:rFonts w:ascii="NewBaskerville" w:hAnsi="NewBaskerville"/>
          <w:sz w:val="20"/>
        </w:rPr>
        <w:t xml:space="preserve"> </w:t>
      </w:r>
      <w:r w:rsidR="0087395A" w:rsidRPr="00980CC9">
        <w:rPr>
          <w:rFonts w:ascii="NewBaskerville" w:hAnsi="NewBaskerville"/>
          <w:sz w:val="20"/>
        </w:rPr>
        <w:t>cuyo</w:t>
      </w:r>
      <w:r w:rsidRPr="00980CC9">
        <w:rPr>
          <w:rFonts w:ascii="NewBaskerville" w:hAnsi="NewBaskerville"/>
          <w:sz w:val="20"/>
        </w:rPr>
        <w:t xml:space="preserve"> vencimiento, </w:t>
      </w:r>
      <w:r w:rsidRPr="00980CC9">
        <w:rPr>
          <w:rFonts w:ascii="NewBaskerville" w:hAnsi="NewBaskerville"/>
          <w:sz w:val="20"/>
        </w:rPr>
        <w:lastRenderedPageBreak/>
        <w:t xml:space="preserve">enajenación o </w:t>
      </w:r>
      <w:r w:rsidR="0087395A" w:rsidRPr="00980CC9">
        <w:rPr>
          <w:rFonts w:ascii="NewBaskerville" w:hAnsi="NewBaskerville"/>
          <w:sz w:val="20"/>
        </w:rPr>
        <w:t>extinción</w:t>
      </w:r>
      <w:r w:rsidRPr="00980CC9">
        <w:rPr>
          <w:rFonts w:ascii="NewBaskerville" w:hAnsi="NewBaskerville"/>
          <w:sz w:val="20"/>
        </w:rPr>
        <w:t xml:space="preserve"> se espera que se produz</w:t>
      </w:r>
      <w:r w:rsidR="0087395A" w:rsidRPr="00980CC9">
        <w:rPr>
          <w:rFonts w:ascii="NewBaskerville" w:hAnsi="NewBaskerville"/>
          <w:sz w:val="20"/>
        </w:rPr>
        <w:t>ca en el plazo máximo de un año, contado a partir del cierre del ejercicio,</w:t>
      </w:r>
      <w:r w:rsidRPr="00980CC9">
        <w:rPr>
          <w:rFonts w:ascii="NewBaskerville" w:hAnsi="NewBaskerville"/>
          <w:sz w:val="20"/>
        </w:rPr>
        <w:t xml:space="preserve"> </w:t>
      </w:r>
      <w:r w:rsidR="0087395A" w:rsidRPr="00980CC9">
        <w:rPr>
          <w:rFonts w:ascii="NewBaskerville" w:hAnsi="NewBaskerville"/>
          <w:sz w:val="20"/>
        </w:rPr>
        <w:t>se reclasifican en corrientes en la parte que les corresponda.</w:t>
      </w:r>
    </w:p>
    <w:p w:rsidR="0087395A" w:rsidRPr="00980CC9" w:rsidRDefault="0087395A" w:rsidP="0087395A">
      <w:pPr>
        <w:rPr>
          <w:rFonts w:ascii="NewBaskerville" w:hAnsi="NewBaskerville"/>
        </w:rPr>
      </w:pPr>
    </w:p>
    <w:p w:rsidR="0087395A" w:rsidRPr="00980CC9" w:rsidRDefault="0087395A" w:rsidP="00EE5732">
      <w:pPr>
        <w:pStyle w:val="Ttulo5"/>
        <w:rPr>
          <w:rFonts w:ascii="NewBaskerville" w:hAnsi="NewBaskerville"/>
          <w:sz w:val="20"/>
        </w:rPr>
      </w:pPr>
      <w:r w:rsidRPr="00980CC9">
        <w:rPr>
          <w:rFonts w:ascii="NewBaskerville" w:hAnsi="NewBaskerville"/>
          <w:sz w:val="20"/>
        </w:rPr>
        <w:t>Los demás elementos se clasifican como no corrientes.</w:t>
      </w:r>
    </w:p>
    <w:p w:rsidR="002C4355" w:rsidRPr="00980CC9" w:rsidRDefault="002C4355">
      <w:pPr>
        <w:rPr>
          <w:rFonts w:ascii="NewBaskerville" w:hAnsi="NewBaskerville"/>
        </w:rPr>
      </w:pPr>
    </w:p>
    <w:p w:rsidR="003C7842" w:rsidRDefault="002C4355" w:rsidP="00997D65">
      <w:pPr>
        <w:pStyle w:val="Ttulo5"/>
        <w:rPr>
          <w:rFonts w:ascii="NewBaskerville" w:hAnsi="NewBaskerville"/>
          <w:sz w:val="20"/>
        </w:rPr>
      </w:pPr>
      <w:r w:rsidRPr="00980CC9">
        <w:rPr>
          <w:rFonts w:ascii="NewBaskerville" w:hAnsi="NewBaskerville"/>
          <w:sz w:val="20"/>
        </w:rPr>
        <w:t xml:space="preserve">El ciclo normal de explotación es </w:t>
      </w:r>
      <w:r w:rsidR="0087395A" w:rsidRPr="00980CC9">
        <w:rPr>
          <w:rFonts w:ascii="NewBaskerville" w:hAnsi="NewBaskerville"/>
          <w:sz w:val="20"/>
        </w:rPr>
        <w:t>de</w:t>
      </w:r>
      <w:r w:rsidRPr="00980CC9">
        <w:rPr>
          <w:rFonts w:ascii="NewBaskerville" w:hAnsi="NewBaskerville"/>
          <w:sz w:val="20"/>
        </w:rPr>
        <w:t xml:space="preserve"> un año.</w:t>
      </w:r>
    </w:p>
    <w:p w:rsidR="00401838" w:rsidRPr="00401838" w:rsidRDefault="00401838" w:rsidP="00401838"/>
    <w:p w:rsidR="00C20D30" w:rsidRPr="00980CC9" w:rsidRDefault="00C20D30" w:rsidP="00BA6314">
      <w:pPr>
        <w:numPr>
          <w:ilvl w:val="0"/>
          <w:numId w:val="41"/>
        </w:numPr>
        <w:spacing w:after="120"/>
        <w:ind w:left="567" w:hanging="283"/>
        <w:jc w:val="both"/>
        <w:rPr>
          <w:rFonts w:ascii="NewBaskerville" w:hAnsi="NewBaskerville"/>
          <w:bCs/>
        </w:rPr>
      </w:pPr>
      <w:r w:rsidRPr="00980CC9">
        <w:rPr>
          <w:rFonts w:ascii="NewBaskerville" w:hAnsi="NewBaskerville"/>
          <w:bCs/>
        </w:rPr>
        <w:t xml:space="preserve"> Medioambiente</w:t>
      </w:r>
    </w:p>
    <w:p w:rsidR="00443495" w:rsidRPr="00980CC9" w:rsidRDefault="00C20D30" w:rsidP="00443495">
      <w:pPr>
        <w:tabs>
          <w:tab w:val="center" w:pos="5671"/>
          <w:tab w:val="center" w:pos="7797"/>
        </w:tabs>
        <w:ind w:firstLine="568"/>
        <w:jc w:val="both"/>
        <w:rPr>
          <w:rFonts w:ascii="NewBaskerville" w:hAnsi="NewBaskerville"/>
        </w:rPr>
      </w:pPr>
      <w:r w:rsidRPr="00980CC9">
        <w:rPr>
          <w:rFonts w:ascii="NewBaskerville" w:hAnsi="NewBaskerville"/>
        </w:rPr>
        <w:t xml:space="preserve">La </w:t>
      </w:r>
      <w:r w:rsidR="00604269">
        <w:rPr>
          <w:rFonts w:ascii="NewBaskerville" w:hAnsi="NewBaskerville"/>
        </w:rPr>
        <w:t>E</w:t>
      </w:r>
      <w:r w:rsidRPr="00980CC9">
        <w:rPr>
          <w:rFonts w:ascii="NewBaskerville" w:hAnsi="NewBaskerville"/>
        </w:rPr>
        <w:t>ntidad realiza operaciones cuyo propósito principal es prevenir, reducir o reparar el daño que como resultado de sus actividades pueda producir sobre el medioambiente.</w:t>
      </w:r>
      <w:r w:rsidR="00443495" w:rsidRPr="00980CC9">
        <w:rPr>
          <w:rFonts w:ascii="NewBaskerville" w:hAnsi="NewBaskerville"/>
        </w:rPr>
        <w:t xml:space="preserve"> Los gastos medioambientales se consideran gastos de explotación del ejercicio en el que se devengan y se incorporan a la cuenta de pérdidas y ganancias en la partida correspondiente.</w:t>
      </w:r>
    </w:p>
    <w:p w:rsidR="00443495" w:rsidRPr="00980CC9" w:rsidRDefault="00443495" w:rsidP="00443495">
      <w:pPr>
        <w:tabs>
          <w:tab w:val="center" w:pos="5671"/>
          <w:tab w:val="center" w:pos="7797"/>
        </w:tabs>
        <w:ind w:firstLine="568"/>
        <w:jc w:val="both"/>
        <w:rPr>
          <w:rFonts w:ascii="NewBaskerville" w:hAnsi="NewBaskerville"/>
        </w:rPr>
      </w:pPr>
    </w:p>
    <w:p w:rsidR="008D4ADA" w:rsidRPr="00980CC9" w:rsidRDefault="00443495" w:rsidP="00997D65">
      <w:pPr>
        <w:tabs>
          <w:tab w:val="center" w:pos="5671"/>
          <w:tab w:val="center" w:pos="7797"/>
        </w:tabs>
        <w:ind w:firstLine="568"/>
        <w:jc w:val="both"/>
        <w:rPr>
          <w:rFonts w:ascii="NewBaskerville" w:hAnsi="NewBaskerville"/>
        </w:rPr>
      </w:pPr>
      <w:r w:rsidRPr="00980CC9">
        <w:rPr>
          <w:rFonts w:ascii="NewBaskerville" w:hAnsi="NewBaskerville"/>
        </w:rPr>
        <w:t>Los elementos del inmovilizado material adquiridos con el objeto de ser utilizados de forma duradera en su actividad y cuya finalidad principal es la minim</w:t>
      </w:r>
      <w:r w:rsidR="00A60572" w:rsidRPr="00980CC9">
        <w:rPr>
          <w:rFonts w:ascii="NewBaskerville" w:hAnsi="NewBaskerville"/>
        </w:rPr>
        <w:t>iz</w:t>
      </w:r>
      <w:r w:rsidRPr="00980CC9">
        <w:rPr>
          <w:rFonts w:ascii="NewBaskerville" w:hAnsi="NewBaskerville"/>
        </w:rPr>
        <w:t>ación del impacto medioambiental y su protección y m</w:t>
      </w:r>
      <w:r w:rsidR="00EC42BF" w:rsidRPr="00980CC9">
        <w:rPr>
          <w:rFonts w:ascii="NewBaskerville" w:hAnsi="NewBaskerville"/>
        </w:rPr>
        <w:t>ejora se reconocen como activos según las norm</w:t>
      </w:r>
      <w:r w:rsidR="00981950" w:rsidRPr="00980CC9">
        <w:rPr>
          <w:rFonts w:ascii="NewBaskerville" w:hAnsi="NewBaskerville"/>
        </w:rPr>
        <w:t xml:space="preserve">as detalladas en el apartado </w:t>
      </w:r>
      <w:r w:rsidR="00567F58" w:rsidRPr="00980CC9">
        <w:rPr>
          <w:rFonts w:ascii="NewBaskerville" w:hAnsi="NewBaskerville"/>
        </w:rPr>
        <w:t>4</w:t>
      </w:r>
      <w:r w:rsidR="00981950" w:rsidRPr="00980CC9">
        <w:rPr>
          <w:rFonts w:ascii="NewBaskerville" w:hAnsi="NewBaskerville"/>
        </w:rPr>
        <w:t>.b</w:t>
      </w:r>
    </w:p>
    <w:p w:rsidR="00D65F94" w:rsidRPr="00072D1A" w:rsidRDefault="00D65F94">
      <w:pPr>
        <w:tabs>
          <w:tab w:val="center" w:pos="5671"/>
          <w:tab w:val="center" w:pos="7797"/>
        </w:tabs>
        <w:ind w:left="851" w:hanging="284"/>
        <w:jc w:val="both"/>
        <w:rPr>
          <w:bCs/>
        </w:rPr>
      </w:pPr>
    </w:p>
    <w:p w:rsidR="002C4355" w:rsidRPr="00BF1854" w:rsidRDefault="002C4355" w:rsidP="00BA6314">
      <w:pPr>
        <w:numPr>
          <w:ilvl w:val="0"/>
          <w:numId w:val="41"/>
        </w:numPr>
        <w:spacing w:after="120"/>
        <w:ind w:left="567" w:hanging="283"/>
        <w:jc w:val="both"/>
        <w:rPr>
          <w:rFonts w:ascii="NewBaskerville" w:hAnsi="NewBaskerville"/>
          <w:bCs/>
        </w:rPr>
      </w:pPr>
      <w:r w:rsidRPr="00BF1854">
        <w:rPr>
          <w:rFonts w:ascii="NewBaskerville" w:hAnsi="NewBaskerville"/>
          <w:bCs/>
        </w:rPr>
        <w:t>Ingresos y gastos</w:t>
      </w:r>
    </w:p>
    <w:p w:rsidR="002C4355" w:rsidRPr="00BF1854" w:rsidRDefault="002C4355">
      <w:pPr>
        <w:tabs>
          <w:tab w:val="center" w:pos="5671"/>
          <w:tab w:val="center" w:pos="7797"/>
        </w:tabs>
        <w:ind w:firstLine="568"/>
        <w:jc w:val="both"/>
        <w:rPr>
          <w:rFonts w:ascii="NewBaskerville" w:hAnsi="NewBaskerville"/>
        </w:rPr>
      </w:pPr>
      <w:r w:rsidRPr="00BF1854">
        <w:rPr>
          <w:rFonts w:ascii="NewBaskerville" w:hAnsi="NewBaskerville"/>
        </w:rPr>
        <w:t>Los ingresos y gastos se imputan en función del momento de adquisición real de los bienes y de la prestación de los servicios con independencia del momento en que se produce la corriente monetaria o financiera derivada de ellos.</w:t>
      </w:r>
    </w:p>
    <w:p w:rsidR="00083E35" w:rsidRPr="00072D1A" w:rsidRDefault="00083E35">
      <w:pPr>
        <w:tabs>
          <w:tab w:val="center" w:pos="5671"/>
          <w:tab w:val="center" w:pos="7797"/>
        </w:tabs>
        <w:ind w:firstLine="568"/>
        <w:jc w:val="both"/>
      </w:pPr>
    </w:p>
    <w:p w:rsidR="002C4355" w:rsidRPr="00BF1854" w:rsidRDefault="001E4D8C">
      <w:pPr>
        <w:tabs>
          <w:tab w:val="center" w:pos="5671"/>
          <w:tab w:val="center" w:pos="7797"/>
        </w:tabs>
        <w:ind w:firstLine="568"/>
        <w:jc w:val="both"/>
        <w:rPr>
          <w:rFonts w:ascii="NewBaskerville" w:hAnsi="NewBaskerville"/>
        </w:rPr>
      </w:pPr>
      <w:r w:rsidRPr="00BF1854">
        <w:rPr>
          <w:rFonts w:ascii="NewBaskerville" w:hAnsi="NewBaskerville"/>
        </w:rPr>
        <w:t>Dado que el vigente</w:t>
      </w:r>
      <w:r w:rsidR="002C4355" w:rsidRPr="00BF1854">
        <w:rPr>
          <w:rFonts w:ascii="NewBaskerville" w:hAnsi="NewBaskerville"/>
        </w:rPr>
        <w:t xml:space="preserve"> </w:t>
      </w:r>
      <w:r w:rsidR="003D4191">
        <w:rPr>
          <w:rFonts w:ascii="NewBaskerville" w:hAnsi="NewBaskerville"/>
        </w:rPr>
        <w:t>p</w:t>
      </w:r>
      <w:r w:rsidR="002C4355" w:rsidRPr="00BF1854">
        <w:rPr>
          <w:rFonts w:ascii="NewBaskerville" w:hAnsi="NewBaskerville"/>
        </w:rPr>
        <w:t xml:space="preserve">lan </w:t>
      </w:r>
      <w:r w:rsidR="003D4191">
        <w:rPr>
          <w:rFonts w:ascii="NewBaskerville" w:hAnsi="NewBaskerville"/>
        </w:rPr>
        <w:t>g</w:t>
      </w:r>
      <w:r w:rsidR="002C4355" w:rsidRPr="00BF1854">
        <w:rPr>
          <w:rFonts w:ascii="NewBaskerville" w:hAnsi="NewBaskerville"/>
        </w:rPr>
        <w:t>eneral contable ha suprimido los gastos e ingresos de ejercicios anteriores, teniendo en cuenta el criterio de importancia relativa y que no se altera la imagen fiel</w:t>
      </w:r>
      <w:r w:rsidRPr="00BF1854">
        <w:rPr>
          <w:rFonts w:ascii="NewBaskerville" w:hAnsi="NewBaskerville"/>
        </w:rPr>
        <w:t>, dichos gastos e ingresos,</w:t>
      </w:r>
      <w:r w:rsidR="002C4355" w:rsidRPr="00BF1854">
        <w:rPr>
          <w:rFonts w:ascii="NewBaskerville" w:hAnsi="NewBaskerville"/>
        </w:rPr>
        <w:t xml:space="preserve"> se registran en el ejercicio corriente dentro de los correspondientes epígrafes por naturaleza del resultado de explotación o del resultado financiero.</w:t>
      </w:r>
    </w:p>
    <w:p w:rsidR="002C4355" w:rsidRPr="00BF1854" w:rsidRDefault="002C4355">
      <w:pPr>
        <w:tabs>
          <w:tab w:val="center" w:pos="5671"/>
          <w:tab w:val="center" w:pos="7797"/>
        </w:tabs>
        <w:jc w:val="both"/>
        <w:rPr>
          <w:rFonts w:ascii="NewBaskerville" w:hAnsi="NewBaskerville"/>
        </w:rPr>
      </w:pPr>
    </w:p>
    <w:p w:rsidR="002C4355" w:rsidRPr="00BF1854" w:rsidRDefault="009F28B8" w:rsidP="00E6742F">
      <w:pPr>
        <w:tabs>
          <w:tab w:val="center" w:pos="5671"/>
          <w:tab w:val="center" w:pos="7797"/>
        </w:tabs>
        <w:ind w:firstLine="568"/>
        <w:jc w:val="both"/>
        <w:rPr>
          <w:rFonts w:ascii="NewBaskerville" w:hAnsi="NewBaskerville"/>
        </w:rPr>
      </w:pPr>
      <w:r w:rsidRPr="00BF1854">
        <w:rPr>
          <w:rFonts w:ascii="NewBaskerville" w:hAnsi="NewBaskerville"/>
        </w:rPr>
        <w:t>L</w:t>
      </w:r>
      <w:r w:rsidR="002C4355" w:rsidRPr="00BF1854">
        <w:rPr>
          <w:rFonts w:ascii="NewBaskerville" w:hAnsi="NewBaskerville"/>
        </w:rPr>
        <w:t>a dotación de las provisiones contables</w:t>
      </w:r>
      <w:r w:rsidRPr="00BF1854">
        <w:rPr>
          <w:rFonts w:ascii="NewBaskerville" w:hAnsi="NewBaskerville"/>
        </w:rPr>
        <w:t xml:space="preserve"> por litigios de tarifas</w:t>
      </w:r>
      <w:r w:rsidR="002C4355" w:rsidRPr="00BF1854">
        <w:rPr>
          <w:rFonts w:ascii="NewBaskerville" w:hAnsi="NewBaskerville"/>
        </w:rPr>
        <w:t xml:space="preserve"> derivad</w:t>
      </w:r>
      <w:r w:rsidRPr="00BF1854">
        <w:rPr>
          <w:rFonts w:ascii="NewBaskerville" w:hAnsi="NewBaskerville"/>
        </w:rPr>
        <w:t>o</w:t>
      </w:r>
      <w:r w:rsidR="002C4355" w:rsidRPr="00BF1854">
        <w:rPr>
          <w:rFonts w:ascii="NewBaskerville" w:hAnsi="NewBaskerville"/>
        </w:rPr>
        <w:t xml:space="preserve">s de las sentencias del Tribunal Constitucional 116/2009 de 18 de mayo, 146/2009 de 15 de junio y 161/2009 de 29 de junio que impiden la refacturación de las liquidaciones recurridas, presenta las características de excepcionalidad y cuantía significativa exigidos en el Plan General Contable 2007 para que puedan dotarse con cargo a la partida “Otros resultados” del resultado de </w:t>
      </w:r>
      <w:r w:rsidR="008155BC" w:rsidRPr="00BF1854">
        <w:rPr>
          <w:rFonts w:ascii="NewBaskerville" w:hAnsi="NewBaskerville"/>
        </w:rPr>
        <w:t>explotación,</w:t>
      </w:r>
      <w:r w:rsidR="002C4355" w:rsidRPr="00BF1854">
        <w:rPr>
          <w:rFonts w:ascii="NewBaskerville" w:hAnsi="NewBaskerville"/>
        </w:rPr>
        <w:t xml:space="preserve"> gastos excepcionales.</w:t>
      </w:r>
      <w:r w:rsidR="00604269">
        <w:rPr>
          <w:rFonts w:ascii="NewBaskerville" w:hAnsi="NewBaskerville"/>
        </w:rPr>
        <w:t xml:space="preserve"> De igual manera, los excesos de </w:t>
      </w:r>
      <w:r w:rsidR="00194C18">
        <w:rPr>
          <w:rFonts w:ascii="NewBaskerville" w:hAnsi="NewBaskerville"/>
        </w:rPr>
        <w:t>provisiones por dichos litigios se registran con abono a la partida “Otros resultados” del resultado de explotación, ingresos excepcionales.</w:t>
      </w:r>
      <w:r w:rsidR="002C4355" w:rsidRPr="00BF1854">
        <w:rPr>
          <w:rFonts w:ascii="NewBaskerville" w:hAnsi="NewBaskerville"/>
        </w:rPr>
        <w:t xml:space="preserve"> </w:t>
      </w:r>
    </w:p>
    <w:p w:rsidR="00472775" w:rsidRPr="00072D1A" w:rsidRDefault="00472775" w:rsidP="00997D65">
      <w:pPr>
        <w:tabs>
          <w:tab w:val="center" w:pos="5671"/>
          <w:tab w:val="center" w:pos="7797"/>
        </w:tabs>
        <w:jc w:val="both"/>
      </w:pPr>
    </w:p>
    <w:p w:rsidR="002C4355" w:rsidRDefault="002C4355" w:rsidP="00FC6682">
      <w:pPr>
        <w:numPr>
          <w:ilvl w:val="0"/>
          <w:numId w:val="41"/>
        </w:numPr>
        <w:ind w:left="567" w:hanging="283"/>
        <w:jc w:val="both"/>
        <w:rPr>
          <w:rFonts w:ascii="NewBaskerville" w:hAnsi="NewBaskerville"/>
          <w:bCs/>
        </w:rPr>
      </w:pPr>
      <w:r w:rsidRPr="00FC6682">
        <w:rPr>
          <w:rFonts w:ascii="NewBaskerville" w:hAnsi="NewBaskerville"/>
          <w:bCs/>
        </w:rPr>
        <w:t>Fondo de Compensación Interportuario y aportación al Ente Público Puertos del Estado</w:t>
      </w:r>
    </w:p>
    <w:p w:rsidR="00FC6682" w:rsidRPr="00FC6682" w:rsidRDefault="00FC6682" w:rsidP="00FC6682">
      <w:pPr>
        <w:ind w:left="567"/>
        <w:jc w:val="both"/>
        <w:rPr>
          <w:rFonts w:ascii="NewBaskerville" w:hAnsi="NewBaskerville"/>
          <w:bCs/>
        </w:rPr>
      </w:pPr>
    </w:p>
    <w:p w:rsidR="002C4355" w:rsidRPr="00FC6682" w:rsidRDefault="001E4D8C" w:rsidP="00F348FE">
      <w:pPr>
        <w:tabs>
          <w:tab w:val="center" w:pos="5671"/>
          <w:tab w:val="center" w:pos="7797"/>
        </w:tabs>
        <w:ind w:firstLine="568"/>
        <w:jc w:val="both"/>
        <w:rPr>
          <w:rFonts w:ascii="NewBaskerville" w:hAnsi="NewBaskerville"/>
        </w:rPr>
      </w:pPr>
      <w:r w:rsidRPr="00FC6682">
        <w:rPr>
          <w:rFonts w:ascii="NewBaskerville" w:hAnsi="NewBaskerville"/>
        </w:rPr>
        <w:t>El</w:t>
      </w:r>
      <w:r w:rsidR="00276F7D" w:rsidRPr="00FC6682">
        <w:rPr>
          <w:rFonts w:ascii="NewBaskerville" w:hAnsi="NewBaskerville"/>
        </w:rPr>
        <w:t xml:space="preserve"> </w:t>
      </w:r>
      <w:r w:rsidR="00B237A6" w:rsidRPr="00FC6682">
        <w:rPr>
          <w:rFonts w:ascii="NewBaskerville" w:hAnsi="NewBaskerville"/>
        </w:rPr>
        <w:t xml:space="preserve">TRLPEMM </w:t>
      </w:r>
      <w:r w:rsidR="00276F7D" w:rsidRPr="00FC6682">
        <w:rPr>
          <w:rFonts w:ascii="NewBaskerville" w:hAnsi="NewBaskerville"/>
        </w:rPr>
        <w:t>establece en el art 19 b la contribución de las Autoridades Portuarias a los recursos económicos del Ente Público Puertos del Estado y en el artículo 159 regula el Fondo de Compensación Interportuario, que queda definido</w:t>
      </w:r>
      <w:r w:rsidR="007355D8" w:rsidRPr="00FC6682">
        <w:rPr>
          <w:rFonts w:ascii="NewBaskerville" w:hAnsi="NewBaskerville"/>
        </w:rPr>
        <w:t xml:space="preserve"> </w:t>
      </w:r>
      <w:r w:rsidR="00276F7D" w:rsidRPr="00FC6682">
        <w:rPr>
          <w:rFonts w:ascii="NewBaskerville" w:hAnsi="NewBaskerville"/>
        </w:rPr>
        <w:t xml:space="preserve">como instrumento de redistribución de recursos  del sistema portuario estatal, administrado por Puertos del Estado de conformidad con los acuerdos adoptados por el Comité de </w:t>
      </w:r>
      <w:r w:rsidR="003D4191">
        <w:rPr>
          <w:rFonts w:ascii="NewBaskerville" w:hAnsi="NewBaskerville"/>
        </w:rPr>
        <w:t>D</w:t>
      </w:r>
      <w:r w:rsidR="00276F7D" w:rsidRPr="00FC6682">
        <w:rPr>
          <w:rFonts w:ascii="NewBaskerville" w:hAnsi="NewBaskerville"/>
        </w:rPr>
        <w:t>istribución del Fondo.</w:t>
      </w:r>
      <w:r w:rsidR="00C963C8" w:rsidRPr="00FC6682">
        <w:rPr>
          <w:rFonts w:ascii="NewBaskerville" w:hAnsi="NewBaskerville"/>
        </w:rPr>
        <w:t xml:space="preserve"> </w:t>
      </w:r>
    </w:p>
    <w:p w:rsidR="005F35CD" w:rsidRDefault="005F35CD" w:rsidP="00F348FE">
      <w:pPr>
        <w:tabs>
          <w:tab w:val="center" w:pos="5671"/>
          <w:tab w:val="center" w:pos="7797"/>
        </w:tabs>
        <w:ind w:firstLine="568"/>
        <w:jc w:val="both"/>
      </w:pPr>
    </w:p>
    <w:p w:rsidR="002C4355" w:rsidRPr="00BF1854" w:rsidRDefault="002C4355" w:rsidP="005D0B44">
      <w:pPr>
        <w:numPr>
          <w:ilvl w:val="0"/>
          <w:numId w:val="2"/>
        </w:numPr>
        <w:tabs>
          <w:tab w:val="center" w:pos="5671"/>
          <w:tab w:val="center" w:pos="7797"/>
        </w:tabs>
        <w:jc w:val="both"/>
        <w:rPr>
          <w:rFonts w:ascii="NewBaskerville" w:hAnsi="NewBaskerville"/>
        </w:rPr>
      </w:pPr>
      <w:r w:rsidRPr="00BF1854">
        <w:rPr>
          <w:rFonts w:ascii="NewBaskerville" w:hAnsi="NewBaskerville"/>
        </w:rPr>
        <w:t>Aportación a Puertos del Estado</w:t>
      </w:r>
    </w:p>
    <w:p w:rsidR="002C4355" w:rsidRPr="00BF1854" w:rsidRDefault="002C4355">
      <w:pPr>
        <w:tabs>
          <w:tab w:val="center" w:pos="5671"/>
          <w:tab w:val="center" w:pos="7797"/>
        </w:tabs>
        <w:ind w:left="426"/>
        <w:jc w:val="both"/>
        <w:rPr>
          <w:rFonts w:ascii="NewBaskerville" w:hAnsi="NewBaskerville"/>
        </w:rPr>
      </w:pPr>
    </w:p>
    <w:p w:rsidR="002C4355" w:rsidRPr="00BF1854" w:rsidRDefault="002C4355">
      <w:pPr>
        <w:tabs>
          <w:tab w:val="center" w:pos="5671"/>
          <w:tab w:val="center" w:pos="7797"/>
        </w:tabs>
        <w:ind w:firstLine="567"/>
        <w:jc w:val="both"/>
        <w:rPr>
          <w:rFonts w:ascii="NewBaskerville" w:hAnsi="NewBaskerville"/>
        </w:rPr>
      </w:pPr>
      <w:r w:rsidRPr="00BF1854">
        <w:rPr>
          <w:rFonts w:ascii="NewBaskerville" w:hAnsi="NewBaskerville"/>
        </w:rPr>
        <w:t xml:space="preserve">La aportación a los recursos económicos de Puertos del Estado queda </w:t>
      </w:r>
      <w:r w:rsidR="008155BC" w:rsidRPr="00BF1854">
        <w:rPr>
          <w:rFonts w:ascii="NewBaskerville" w:hAnsi="NewBaskerville"/>
        </w:rPr>
        <w:t>fijada</w:t>
      </w:r>
      <w:r w:rsidR="001E4D8C" w:rsidRPr="00BF1854">
        <w:rPr>
          <w:rFonts w:ascii="NewBaskerville" w:hAnsi="NewBaskerville"/>
        </w:rPr>
        <w:t xml:space="preserve"> para la</w:t>
      </w:r>
      <w:r w:rsidRPr="00BF1854">
        <w:rPr>
          <w:rFonts w:ascii="NewBaskerville" w:hAnsi="NewBaskerville"/>
        </w:rPr>
        <w:t xml:space="preserve"> Autoridad Portuaria</w:t>
      </w:r>
      <w:r w:rsidR="001E4D8C" w:rsidRPr="00BF1854">
        <w:rPr>
          <w:rFonts w:ascii="NewBaskerville" w:hAnsi="NewBaskerville"/>
        </w:rPr>
        <w:t xml:space="preserve"> de Baleares</w:t>
      </w:r>
      <w:r w:rsidRPr="00BF1854">
        <w:rPr>
          <w:rFonts w:ascii="NewBaskerville" w:hAnsi="NewBaskerville"/>
        </w:rPr>
        <w:t xml:space="preserve"> en un 2 % de los ingresos devengados en concepto de tasas, calculadas sobre el cierre real del ejercicio anterior; esta aportación tiene la consideración de gasto de explotación.</w:t>
      </w:r>
    </w:p>
    <w:p w:rsidR="002C4355" w:rsidRPr="00BF1854" w:rsidRDefault="002C4355">
      <w:pPr>
        <w:tabs>
          <w:tab w:val="center" w:pos="5671"/>
          <w:tab w:val="center" w:pos="7797"/>
        </w:tabs>
        <w:ind w:firstLine="567"/>
        <w:jc w:val="both"/>
        <w:rPr>
          <w:rFonts w:ascii="NewBaskerville" w:hAnsi="NewBaskerville"/>
          <w:highlight w:val="yellow"/>
        </w:rPr>
      </w:pPr>
    </w:p>
    <w:p w:rsidR="002C4355" w:rsidRPr="00BF1854" w:rsidRDefault="002C4355" w:rsidP="005D0B44">
      <w:pPr>
        <w:numPr>
          <w:ilvl w:val="0"/>
          <w:numId w:val="2"/>
        </w:numPr>
        <w:tabs>
          <w:tab w:val="center" w:pos="5671"/>
          <w:tab w:val="center" w:pos="7797"/>
        </w:tabs>
        <w:jc w:val="both"/>
        <w:rPr>
          <w:rFonts w:ascii="NewBaskerville" w:hAnsi="NewBaskerville"/>
        </w:rPr>
      </w:pPr>
      <w:r w:rsidRPr="00BF1854">
        <w:rPr>
          <w:rFonts w:ascii="NewBaskerville" w:hAnsi="NewBaskerville"/>
        </w:rPr>
        <w:t>Fondo de Compensación Interportuario a aportar</w:t>
      </w:r>
    </w:p>
    <w:p w:rsidR="00095FD3" w:rsidRPr="00BF1854" w:rsidRDefault="00095FD3" w:rsidP="00095FD3">
      <w:pPr>
        <w:tabs>
          <w:tab w:val="center" w:pos="5671"/>
          <w:tab w:val="center" w:pos="7797"/>
        </w:tabs>
        <w:ind w:left="786"/>
        <w:jc w:val="both"/>
        <w:rPr>
          <w:rFonts w:ascii="NewBaskerville" w:hAnsi="NewBaskerville"/>
        </w:rPr>
      </w:pPr>
    </w:p>
    <w:p w:rsidR="002C4355" w:rsidRPr="00BF1854" w:rsidRDefault="00095FD3" w:rsidP="007F7DFA">
      <w:pPr>
        <w:tabs>
          <w:tab w:val="center" w:pos="5671"/>
          <w:tab w:val="center" w:pos="7797"/>
        </w:tabs>
        <w:ind w:firstLine="786"/>
        <w:jc w:val="both"/>
        <w:rPr>
          <w:rFonts w:ascii="NewBaskerville" w:hAnsi="NewBaskerville"/>
        </w:rPr>
      </w:pPr>
      <w:r w:rsidRPr="00BF1854">
        <w:rPr>
          <w:rFonts w:ascii="NewBaskerville" w:hAnsi="NewBaskerville"/>
        </w:rPr>
        <w:t xml:space="preserve">El apartado </w:t>
      </w:r>
      <w:r w:rsidR="007F7DFA" w:rsidRPr="00BF1854">
        <w:rPr>
          <w:rFonts w:ascii="NewBaskerville" w:hAnsi="NewBaskerville"/>
        </w:rPr>
        <w:t>3</w:t>
      </w:r>
      <w:r w:rsidRPr="00BF1854">
        <w:rPr>
          <w:rFonts w:ascii="NewBaskerville" w:hAnsi="NewBaskerville"/>
        </w:rPr>
        <w:t xml:space="preserve"> del art. 159 </w:t>
      </w:r>
      <w:r w:rsidR="001E4D8C" w:rsidRPr="00BF1854">
        <w:rPr>
          <w:rFonts w:ascii="NewBaskerville" w:hAnsi="NewBaskerville"/>
        </w:rPr>
        <w:t>del</w:t>
      </w:r>
      <w:r w:rsidR="007F7DFA" w:rsidRPr="00BF1854">
        <w:rPr>
          <w:rFonts w:ascii="NewBaskerville" w:hAnsi="NewBaskerville"/>
        </w:rPr>
        <w:t xml:space="preserve"> </w:t>
      </w:r>
      <w:r w:rsidR="0031074B" w:rsidRPr="00BF1854">
        <w:rPr>
          <w:rFonts w:ascii="NewBaskerville" w:hAnsi="NewBaskerville"/>
        </w:rPr>
        <w:t xml:space="preserve">TRLPEMM </w:t>
      </w:r>
      <w:r w:rsidR="007F7DFA" w:rsidRPr="00BF1854">
        <w:rPr>
          <w:rFonts w:ascii="NewBaskerville" w:hAnsi="NewBaskerville"/>
        </w:rPr>
        <w:t xml:space="preserve"> establece que:</w:t>
      </w:r>
    </w:p>
    <w:p w:rsidR="0031074B" w:rsidRPr="00BF1854" w:rsidRDefault="0031074B">
      <w:pPr>
        <w:tabs>
          <w:tab w:val="center" w:pos="5671"/>
          <w:tab w:val="center" w:pos="7797"/>
        </w:tabs>
        <w:ind w:firstLine="567"/>
        <w:jc w:val="both"/>
        <w:rPr>
          <w:rFonts w:ascii="NewBaskerville" w:hAnsi="NewBaskerville"/>
        </w:rPr>
      </w:pPr>
    </w:p>
    <w:p w:rsidR="002C4355" w:rsidRPr="00BF1854" w:rsidRDefault="002C4355">
      <w:pPr>
        <w:tabs>
          <w:tab w:val="center" w:pos="5671"/>
          <w:tab w:val="center" w:pos="7797"/>
        </w:tabs>
        <w:ind w:firstLine="567"/>
        <w:jc w:val="both"/>
        <w:rPr>
          <w:rFonts w:ascii="NewBaskerville" w:hAnsi="NewBaskerville"/>
        </w:rPr>
      </w:pPr>
      <w:r w:rsidRPr="00BF1854">
        <w:rPr>
          <w:rFonts w:ascii="NewBaskerville" w:hAnsi="NewBaskerville"/>
        </w:rPr>
        <w:lastRenderedPageBreak/>
        <w:t xml:space="preserve">La cuantía anual de la aportación de las Autoridades Portuarias al Fondo de Compensación Interportuario se determina </w:t>
      </w:r>
      <w:r w:rsidR="00B2006F" w:rsidRPr="00BF1854">
        <w:rPr>
          <w:rFonts w:ascii="NewBaskerville" w:hAnsi="NewBaskerville"/>
        </w:rPr>
        <w:t>por agregación de los siguientes importes correspondientes al ejercicio anterior</w:t>
      </w:r>
      <w:r w:rsidRPr="00BF1854">
        <w:rPr>
          <w:rFonts w:ascii="NewBaskerville" w:hAnsi="NewBaskerville"/>
        </w:rPr>
        <w:t>:</w:t>
      </w:r>
    </w:p>
    <w:p w:rsidR="002C4355" w:rsidRPr="00BF1854" w:rsidRDefault="002C4355">
      <w:pPr>
        <w:tabs>
          <w:tab w:val="center" w:pos="5671"/>
          <w:tab w:val="center" w:pos="7797"/>
        </w:tabs>
        <w:ind w:firstLine="567"/>
        <w:jc w:val="both"/>
        <w:rPr>
          <w:rFonts w:ascii="NewBaskerville" w:hAnsi="NewBaskerville"/>
        </w:rPr>
      </w:pPr>
    </w:p>
    <w:p w:rsidR="002C4355" w:rsidRPr="00BF1854" w:rsidRDefault="002C4355">
      <w:pPr>
        <w:tabs>
          <w:tab w:val="center" w:pos="5671"/>
          <w:tab w:val="center" w:pos="7797"/>
        </w:tabs>
        <w:ind w:left="851" w:hanging="284"/>
        <w:jc w:val="both"/>
        <w:rPr>
          <w:rFonts w:ascii="NewBaskerville" w:hAnsi="NewBaskerville"/>
        </w:rPr>
      </w:pPr>
      <w:r w:rsidRPr="00BF1854">
        <w:rPr>
          <w:rFonts w:ascii="NewBaskerville" w:hAnsi="NewBaskerville"/>
        </w:rPr>
        <w:t>a)</w:t>
      </w:r>
      <w:r w:rsidRPr="00BF1854">
        <w:rPr>
          <w:rFonts w:ascii="NewBaskerville" w:hAnsi="NewBaskerville"/>
        </w:rPr>
        <w:tab/>
        <w:t xml:space="preserve">El 80 % de los ingresos devengados por la tasa de </w:t>
      </w:r>
      <w:r w:rsidR="00BB0119" w:rsidRPr="00BF1854">
        <w:rPr>
          <w:rFonts w:ascii="NewBaskerville" w:hAnsi="NewBaskerville"/>
        </w:rPr>
        <w:t xml:space="preserve">ayudas a la navegación </w:t>
      </w:r>
      <w:r w:rsidRPr="00BF1854">
        <w:rPr>
          <w:rFonts w:ascii="NewBaskerville" w:hAnsi="NewBaskerville"/>
        </w:rPr>
        <w:t xml:space="preserve"> correspondiente a </w:t>
      </w:r>
      <w:r w:rsidR="00BB0119" w:rsidRPr="00BF1854">
        <w:rPr>
          <w:rFonts w:ascii="NewBaskerville" w:hAnsi="NewBaskerville"/>
        </w:rPr>
        <w:t>las embarcaciones que por sus características les sea de aplicación la tasa del buque.</w:t>
      </w:r>
    </w:p>
    <w:p w:rsidR="00BB0119" w:rsidRPr="00BF1854" w:rsidRDefault="00BB0119">
      <w:pPr>
        <w:tabs>
          <w:tab w:val="center" w:pos="5671"/>
          <w:tab w:val="center" w:pos="7797"/>
        </w:tabs>
        <w:ind w:left="851" w:hanging="284"/>
        <w:jc w:val="both"/>
        <w:rPr>
          <w:rFonts w:ascii="NewBaskerville" w:hAnsi="NewBaskerville"/>
        </w:rPr>
      </w:pPr>
    </w:p>
    <w:p w:rsidR="002C4355" w:rsidRPr="00BF1854" w:rsidRDefault="002C4355">
      <w:pPr>
        <w:tabs>
          <w:tab w:val="center" w:pos="5671"/>
          <w:tab w:val="center" w:pos="7797"/>
        </w:tabs>
        <w:ind w:left="851" w:hanging="284"/>
        <w:jc w:val="both"/>
        <w:rPr>
          <w:rFonts w:ascii="NewBaskerville" w:hAnsi="NewBaskerville"/>
        </w:rPr>
      </w:pPr>
      <w:r w:rsidRPr="00BF1854">
        <w:rPr>
          <w:rFonts w:ascii="NewBaskerville" w:hAnsi="NewBaskerville"/>
        </w:rPr>
        <w:t>b)</w:t>
      </w:r>
      <w:r w:rsidRPr="00BF1854">
        <w:rPr>
          <w:rFonts w:ascii="NewBaskerville" w:hAnsi="NewBaskerville"/>
        </w:rPr>
        <w:tab/>
        <w:t xml:space="preserve">Hasta el 12 % </w:t>
      </w:r>
      <w:r w:rsidR="00EA0B1E" w:rsidRPr="00BF1854">
        <w:rPr>
          <w:rFonts w:ascii="NewBaskerville" w:hAnsi="NewBaskerville"/>
        </w:rPr>
        <w:t xml:space="preserve">y no menos del 4% </w:t>
      </w:r>
      <w:r w:rsidRPr="00BF1854">
        <w:rPr>
          <w:rFonts w:ascii="NewBaskerville" w:hAnsi="NewBaskerville"/>
        </w:rPr>
        <w:t>de</w:t>
      </w:r>
      <w:r w:rsidR="00B2006F" w:rsidRPr="00BF1854">
        <w:rPr>
          <w:rFonts w:ascii="NewBaskerville" w:hAnsi="NewBaskerville"/>
        </w:rPr>
        <w:t>l</w:t>
      </w:r>
      <w:r w:rsidR="00E264FA" w:rsidRPr="00BF1854">
        <w:rPr>
          <w:rFonts w:ascii="NewBaskerville" w:hAnsi="NewBaskerville"/>
        </w:rPr>
        <w:t xml:space="preserve"> </w:t>
      </w:r>
      <w:r w:rsidR="00B2006F" w:rsidRPr="00BF1854">
        <w:rPr>
          <w:rFonts w:ascii="NewBaskerville" w:hAnsi="NewBaskerville"/>
        </w:rPr>
        <w:t>resultado del ejercicio,</w:t>
      </w:r>
      <w:r w:rsidR="00E264FA" w:rsidRPr="00BF1854">
        <w:rPr>
          <w:rFonts w:ascii="NewBaskerville" w:hAnsi="NewBaskerville"/>
        </w:rPr>
        <w:t xml:space="preserve"> </w:t>
      </w:r>
      <w:r w:rsidR="00B2006F" w:rsidRPr="00BF1854">
        <w:rPr>
          <w:rFonts w:ascii="NewBaskerville" w:hAnsi="NewBaskerville"/>
        </w:rPr>
        <w:t>excluyendo las amortizaciones del in</w:t>
      </w:r>
      <w:r w:rsidR="00F656B3" w:rsidRPr="00BF1854">
        <w:rPr>
          <w:rFonts w:ascii="NewBaskerville" w:hAnsi="NewBaskerville"/>
        </w:rPr>
        <w:t>movilizado, el resultado por ena</w:t>
      </w:r>
      <w:r w:rsidR="00B2006F" w:rsidRPr="00BF1854">
        <w:rPr>
          <w:rFonts w:ascii="NewBaskerville" w:hAnsi="NewBaskerville"/>
        </w:rPr>
        <w:t>jenaciones y bajas del activo no corriente, los ingresos</w:t>
      </w:r>
      <w:r w:rsidRPr="00BF1854">
        <w:rPr>
          <w:rFonts w:ascii="NewBaskerville" w:hAnsi="NewBaskerville"/>
        </w:rPr>
        <w:t xml:space="preserve"> </w:t>
      </w:r>
      <w:r w:rsidR="00B2006F" w:rsidRPr="00BF1854">
        <w:rPr>
          <w:rFonts w:ascii="NewBaskerville" w:hAnsi="NewBaskerville"/>
        </w:rPr>
        <w:t>por incorporación al activo de gastos financieros, el traspaso a resultados de subvenciones de capital y otros resultados</w:t>
      </w:r>
      <w:r w:rsidR="00E264FA" w:rsidRPr="00BF1854">
        <w:rPr>
          <w:rFonts w:ascii="NewBaskerville" w:hAnsi="NewBaskerville"/>
        </w:rPr>
        <w:t xml:space="preserve"> que tengan el carácter de extraordinarios</w:t>
      </w:r>
      <w:r w:rsidRPr="00BF1854">
        <w:rPr>
          <w:rFonts w:ascii="NewBaskerville" w:hAnsi="NewBaskerville"/>
        </w:rPr>
        <w:t xml:space="preserve">, </w:t>
      </w:r>
      <w:r w:rsidR="00E264FA" w:rsidRPr="00BF1854">
        <w:rPr>
          <w:rFonts w:ascii="NewBaskerville" w:hAnsi="NewBaskerville"/>
        </w:rPr>
        <w:t xml:space="preserve">la cantidad correspondiente al </w:t>
      </w:r>
      <w:r w:rsidRPr="00BF1854">
        <w:rPr>
          <w:rFonts w:ascii="NewBaskerville" w:hAnsi="NewBaskerville"/>
        </w:rPr>
        <w:t xml:space="preserve"> Fondo de Compensación aportado y recibido y los ingresos por la tasa de señalización mar</w:t>
      </w:r>
      <w:r w:rsidR="00DF2800" w:rsidRPr="00BF1854">
        <w:rPr>
          <w:rFonts w:ascii="NewBaskerville" w:hAnsi="NewBaskerville"/>
        </w:rPr>
        <w:t>ítima, siempre que el valor resultante sea positivo.</w:t>
      </w:r>
    </w:p>
    <w:p w:rsidR="002C4355" w:rsidRPr="00BF1854" w:rsidRDefault="002C4355">
      <w:pPr>
        <w:tabs>
          <w:tab w:val="center" w:pos="5671"/>
          <w:tab w:val="center" w:pos="7797"/>
        </w:tabs>
        <w:ind w:firstLine="567"/>
        <w:jc w:val="both"/>
        <w:rPr>
          <w:rFonts w:ascii="NewBaskerville" w:hAnsi="NewBaskerville"/>
          <w:highlight w:val="yellow"/>
        </w:rPr>
      </w:pPr>
    </w:p>
    <w:p w:rsidR="001349EC" w:rsidRDefault="00EA0B1E">
      <w:pPr>
        <w:tabs>
          <w:tab w:val="center" w:pos="5671"/>
          <w:tab w:val="center" w:pos="7797"/>
        </w:tabs>
        <w:ind w:firstLine="567"/>
        <w:jc w:val="both"/>
        <w:rPr>
          <w:rFonts w:ascii="NewBaskerville" w:hAnsi="NewBaskerville"/>
        </w:rPr>
      </w:pPr>
      <w:r w:rsidRPr="00BF1854">
        <w:rPr>
          <w:rFonts w:ascii="NewBaskerville" w:hAnsi="NewBaskerville"/>
        </w:rPr>
        <w:t xml:space="preserve">El porcentaje a </w:t>
      </w:r>
      <w:r w:rsidR="002C4355" w:rsidRPr="00BF1854">
        <w:rPr>
          <w:rFonts w:ascii="NewBaskerville" w:hAnsi="NewBaskerville"/>
        </w:rPr>
        <w:t xml:space="preserve">aplicar </w:t>
      </w:r>
      <w:r w:rsidRPr="00BF1854">
        <w:rPr>
          <w:rFonts w:ascii="NewBaskerville" w:hAnsi="NewBaskerville"/>
        </w:rPr>
        <w:t>d</w:t>
      </w:r>
      <w:r w:rsidR="002C4355" w:rsidRPr="00BF1854">
        <w:rPr>
          <w:rFonts w:ascii="NewBaskerville" w:hAnsi="NewBaskerville"/>
        </w:rPr>
        <w:t xml:space="preserve">el apartado b) se fija anualmente por el Comité de Distribución del Fondo, en función de las necesidades financieras </w:t>
      </w:r>
      <w:r w:rsidR="003D0DA3" w:rsidRPr="00BF1854">
        <w:rPr>
          <w:rFonts w:ascii="NewBaskerville" w:hAnsi="NewBaskerville"/>
        </w:rPr>
        <w:t xml:space="preserve"> globales  motivadas por la diferente situación competitiva </w:t>
      </w:r>
      <w:r w:rsidR="00240F9A" w:rsidRPr="00BF1854">
        <w:rPr>
          <w:rFonts w:ascii="NewBaskerville" w:hAnsi="NewBaskerville"/>
        </w:rPr>
        <w:t xml:space="preserve">en que se encuentran las Autoridades Portuarias sobre la base de no discriminación de tratamiento entre las mismas. </w:t>
      </w:r>
      <w:r w:rsidR="00E318AD">
        <w:rPr>
          <w:rFonts w:ascii="NewBaskerville" w:hAnsi="NewBaskerville"/>
        </w:rPr>
        <w:t xml:space="preserve">Dicho porcentaje se reduce en un 50% para la APB. En la reunión celebrada </w:t>
      </w:r>
      <w:r w:rsidR="00E318AD" w:rsidRPr="00B714D7">
        <w:rPr>
          <w:rFonts w:ascii="NewBaskerville" w:hAnsi="NewBaskerville"/>
        </w:rPr>
        <w:t xml:space="preserve">el </w:t>
      </w:r>
      <w:r w:rsidR="00E92A80">
        <w:rPr>
          <w:rFonts w:ascii="NewBaskerville" w:hAnsi="NewBaskerville"/>
        </w:rPr>
        <w:t>02</w:t>
      </w:r>
      <w:r w:rsidR="00E318AD" w:rsidRPr="00B714D7">
        <w:rPr>
          <w:rFonts w:ascii="NewBaskerville" w:hAnsi="NewBaskerville"/>
        </w:rPr>
        <w:t xml:space="preserve"> de </w:t>
      </w:r>
      <w:r w:rsidR="00E92A80">
        <w:rPr>
          <w:rFonts w:ascii="NewBaskerville" w:hAnsi="NewBaskerville"/>
        </w:rPr>
        <w:t>octubre</w:t>
      </w:r>
      <w:r w:rsidR="00E318AD" w:rsidRPr="00B714D7">
        <w:rPr>
          <w:rFonts w:ascii="NewBaskerville" w:hAnsi="NewBaskerville"/>
        </w:rPr>
        <w:t xml:space="preserve"> de 202</w:t>
      </w:r>
      <w:r w:rsidR="00E92A80">
        <w:rPr>
          <w:rFonts w:ascii="NewBaskerville" w:hAnsi="NewBaskerville"/>
        </w:rPr>
        <w:t>3</w:t>
      </w:r>
      <w:r w:rsidR="00E318AD">
        <w:rPr>
          <w:rFonts w:ascii="NewBaskerville" w:hAnsi="NewBaskerville"/>
        </w:rPr>
        <w:t>, el porcentaje se fijó, con carácter general en el 4%, y por tanto para la APB en el 2%.</w:t>
      </w:r>
    </w:p>
    <w:p w:rsidR="006C7F54" w:rsidRDefault="006C7F54">
      <w:pPr>
        <w:tabs>
          <w:tab w:val="center" w:pos="5671"/>
          <w:tab w:val="center" w:pos="7797"/>
        </w:tabs>
        <w:ind w:firstLine="567"/>
        <w:jc w:val="both"/>
        <w:rPr>
          <w:rFonts w:ascii="NewBaskerville" w:hAnsi="NewBaskerville"/>
        </w:rPr>
      </w:pPr>
    </w:p>
    <w:p w:rsidR="001349EC" w:rsidRPr="00BF1854" w:rsidRDefault="001349EC">
      <w:pPr>
        <w:tabs>
          <w:tab w:val="center" w:pos="5671"/>
          <w:tab w:val="center" w:pos="7797"/>
        </w:tabs>
        <w:ind w:firstLine="567"/>
        <w:jc w:val="both"/>
        <w:rPr>
          <w:rFonts w:ascii="NewBaskerville" w:hAnsi="NewBaskerville"/>
        </w:rPr>
      </w:pPr>
      <w:r>
        <w:rPr>
          <w:rFonts w:ascii="NewBaskerville" w:hAnsi="NewBaskerville"/>
        </w:rPr>
        <w:t>Considerando que el Comité de Distribución del Fondo en su reunión del 22 de marzo de 2018 acordó, para un período mínimo de cuatro años</w:t>
      </w:r>
      <w:r w:rsidR="00E318AD">
        <w:rPr>
          <w:rFonts w:ascii="NewBaskerville" w:hAnsi="NewBaskerville"/>
        </w:rPr>
        <w:t xml:space="preserve">, prorrogados por otros cuatro en su reunión del </w:t>
      </w:r>
      <w:r w:rsidR="00802A41">
        <w:rPr>
          <w:rFonts w:ascii="NewBaskerville" w:hAnsi="NewBaskerville"/>
        </w:rPr>
        <w:t>30 de junio de 2021</w:t>
      </w:r>
      <w:r>
        <w:rPr>
          <w:rFonts w:ascii="NewBaskerville" w:hAnsi="NewBaskerville"/>
        </w:rPr>
        <w:t>, la aportación de un 1% anual adicional del porcentaje a aplicar correspondiente al apartado b) del citado artículo, dedicado exclusivamente para actuaciones y programas de investigación y desarrollo de interés portuario, y que dicha aportación adicional ser</w:t>
      </w:r>
      <w:r w:rsidR="00F52C1B">
        <w:rPr>
          <w:rFonts w:ascii="NewBaskerville" w:hAnsi="NewBaskerville"/>
        </w:rPr>
        <w:t>ía</w:t>
      </w:r>
      <w:r>
        <w:rPr>
          <w:rFonts w:ascii="NewBaskerville" w:hAnsi="NewBaskerville"/>
        </w:rPr>
        <w:t xml:space="preserve"> del 0,5% para las Autoridades Portuarias que realizan aportaciones re</w:t>
      </w:r>
      <w:r w:rsidR="00F52C1B">
        <w:rPr>
          <w:rFonts w:ascii="NewBaskerville" w:hAnsi="NewBaskerville"/>
        </w:rPr>
        <w:t>ducidas a dicho fondo, resultando</w:t>
      </w:r>
      <w:r>
        <w:rPr>
          <w:rFonts w:ascii="NewBaskerville" w:hAnsi="NewBaskerville"/>
        </w:rPr>
        <w:t xml:space="preserve"> la efectiva aplicación de un por</w:t>
      </w:r>
      <w:r w:rsidR="00F37105">
        <w:rPr>
          <w:rFonts w:ascii="NewBaskerville" w:hAnsi="NewBaskerville"/>
        </w:rPr>
        <w:t>centaje total del 5%, y para la</w:t>
      </w:r>
      <w:r>
        <w:rPr>
          <w:rFonts w:ascii="NewBaskerville" w:hAnsi="NewBaskerville"/>
        </w:rPr>
        <w:t xml:space="preserve"> APB</w:t>
      </w:r>
      <w:r w:rsidR="00F52C1B">
        <w:rPr>
          <w:rFonts w:ascii="NewBaskerville" w:hAnsi="NewBaskerville"/>
        </w:rPr>
        <w:t xml:space="preserve"> un</w:t>
      </w:r>
      <w:r w:rsidR="00802A41">
        <w:rPr>
          <w:rFonts w:ascii="NewBaskerville" w:hAnsi="NewBaskerville"/>
        </w:rPr>
        <w:t xml:space="preserve"> porcentaje</w:t>
      </w:r>
      <w:r w:rsidR="00F52C1B">
        <w:rPr>
          <w:rFonts w:ascii="NewBaskerville" w:hAnsi="NewBaskerville"/>
        </w:rPr>
        <w:t xml:space="preserve"> efectivo 2,5%. </w:t>
      </w:r>
    </w:p>
    <w:p w:rsidR="008873C5" w:rsidRPr="00BF1854" w:rsidRDefault="008873C5">
      <w:pPr>
        <w:tabs>
          <w:tab w:val="center" w:pos="5671"/>
          <w:tab w:val="center" w:pos="7797"/>
        </w:tabs>
        <w:ind w:firstLine="567"/>
        <w:jc w:val="both"/>
        <w:rPr>
          <w:rFonts w:ascii="NewBaskerville" w:hAnsi="NewBaskerville"/>
        </w:rPr>
      </w:pPr>
    </w:p>
    <w:p w:rsidR="0017441D" w:rsidRPr="00BF1854" w:rsidRDefault="001F2D6C" w:rsidP="005F35CD">
      <w:pPr>
        <w:tabs>
          <w:tab w:val="center" w:pos="5671"/>
          <w:tab w:val="center" w:pos="7797"/>
        </w:tabs>
        <w:ind w:firstLine="567"/>
        <w:jc w:val="both"/>
        <w:rPr>
          <w:rFonts w:ascii="NewBaskerville" w:hAnsi="NewBaskerville"/>
        </w:rPr>
      </w:pPr>
      <w:r w:rsidRPr="00BF1854">
        <w:rPr>
          <w:rFonts w:ascii="NewBaskerville" w:hAnsi="NewBaskerville"/>
        </w:rPr>
        <w:t>Las aportaciones de la AP</w:t>
      </w:r>
      <w:r w:rsidR="006C7F54">
        <w:rPr>
          <w:rFonts w:ascii="NewBaskerville" w:hAnsi="NewBaskerville"/>
        </w:rPr>
        <w:t>B</w:t>
      </w:r>
      <w:r w:rsidRPr="00BF1854">
        <w:rPr>
          <w:rFonts w:ascii="NewBaskerville" w:hAnsi="NewBaskerville"/>
        </w:rPr>
        <w:t xml:space="preserve"> tienen la consideración de gasto no</w:t>
      </w:r>
      <w:r w:rsidR="00E0278B" w:rsidRPr="00BF1854">
        <w:rPr>
          <w:rFonts w:ascii="NewBaskerville" w:hAnsi="NewBaskerville"/>
        </w:rPr>
        <w:t xml:space="preserve"> </w:t>
      </w:r>
      <w:r w:rsidRPr="00BF1854">
        <w:rPr>
          <w:rFonts w:ascii="NewBaskerville" w:hAnsi="NewBaskerville"/>
        </w:rPr>
        <w:t>reinteg</w:t>
      </w:r>
      <w:r w:rsidR="00A60572" w:rsidRPr="00BF1854">
        <w:rPr>
          <w:rFonts w:ascii="NewBaskerville" w:hAnsi="NewBaskerville"/>
        </w:rPr>
        <w:t>r</w:t>
      </w:r>
      <w:r w:rsidRPr="00BF1854">
        <w:rPr>
          <w:rFonts w:ascii="NewBaskerville" w:hAnsi="NewBaskerville"/>
        </w:rPr>
        <w:t>able</w:t>
      </w:r>
      <w:r w:rsidR="00E0278B" w:rsidRPr="00BF1854">
        <w:rPr>
          <w:rFonts w:ascii="NewBaskerville" w:hAnsi="NewBaskerville"/>
        </w:rPr>
        <w:t>.</w:t>
      </w:r>
      <w:r w:rsidRPr="00BF1854">
        <w:rPr>
          <w:rFonts w:ascii="NewBaskerville" w:hAnsi="NewBaskerville"/>
        </w:rPr>
        <w:t xml:space="preserve"> </w:t>
      </w:r>
    </w:p>
    <w:p w:rsidR="00DF2800" w:rsidRDefault="00DF2800" w:rsidP="001F2D6C">
      <w:pPr>
        <w:pStyle w:val="Sangradetextonormal"/>
        <w:tabs>
          <w:tab w:val="clear" w:pos="8364"/>
          <w:tab w:val="center" w:pos="5671"/>
          <w:tab w:val="center" w:pos="7797"/>
        </w:tabs>
        <w:overflowPunct/>
        <w:autoSpaceDE/>
        <w:autoSpaceDN/>
        <w:adjustRightInd/>
        <w:ind w:firstLine="0"/>
        <w:textAlignment w:val="auto"/>
        <w:rPr>
          <w:color w:val="000000"/>
          <w:sz w:val="20"/>
        </w:rPr>
      </w:pPr>
    </w:p>
    <w:p w:rsidR="0017441D" w:rsidRPr="00F52C1B" w:rsidRDefault="0017441D" w:rsidP="005D0B44">
      <w:pPr>
        <w:numPr>
          <w:ilvl w:val="0"/>
          <w:numId w:val="2"/>
        </w:numPr>
        <w:tabs>
          <w:tab w:val="center" w:pos="5671"/>
          <w:tab w:val="center" w:pos="7797"/>
        </w:tabs>
        <w:jc w:val="both"/>
        <w:rPr>
          <w:rFonts w:ascii="NewBaskerville" w:hAnsi="NewBaskerville"/>
        </w:rPr>
      </w:pPr>
      <w:r w:rsidRPr="00F52C1B">
        <w:rPr>
          <w:rFonts w:ascii="NewBaskerville" w:hAnsi="NewBaskerville"/>
        </w:rPr>
        <w:t>Fondo de Compensación Interportuario a recibir</w:t>
      </w:r>
    </w:p>
    <w:p w:rsidR="0017441D" w:rsidRPr="00F52C1B" w:rsidRDefault="0017441D" w:rsidP="0017441D">
      <w:pPr>
        <w:tabs>
          <w:tab w:val="center" w:pos="5671"/>
          <w:tab w:val="center" w:pos="7797"/>
        </w:tabs>
        <w:ind w:left="426"/>
        <w:jc w:val="both"/>
        <w:rPr>
          <w:rFonts w:ascii="NewBaskerville" w:hAnsi="NewBaskerville"/>
          <w:b/>
          <w:bCs/>
          <w:highlight w:val="yellow"/>
        </w:rPr>
      </w:pPr>
    </w:p>
    <w:p w:rsidR="0017441D" w:rsidRPr="00F52C1B" w:rsidRDefault="0017441D" w:rsidP="0017441D">
      <w:pPr>
        <w:tabs>
          <w:tab w:val="center" w:pos="5671"/>
          <w:tab w:val="center" w:pos="7797"/>
        </w:tabs>
        <w:ind w:firstLine="567"/>
        <w:jc w:val="both"/>
        <w:rPr>
          <w:rFonts w:ascii="NewBaskerville" w:hAnsi="NewBaskerville"/>
        </w:rPr>
      </w:pPr>
      <w:r w:rsidRPr="00F52C1B">
        <w:rPr>
          <w:rFonts w:ascii="NewBaskerville" w:hAnsi="NewBaskerville"/>
        </w:rPr>
        <w:t>La distribución del Fondo de Compensación Interportuario entre Puertos del Estado y Autoridades Portuarias se realiza atendiendo a los siguientes criterios:</w:t>
      </w:r>
    </w:p>
    <w:p w:rsidR="0017441D" w:rsidRPr="00F52C1B" w:rsidRDefault="0017441D" w:rsidP="0017441D">
      <w:pPr>
        <w:tabs>
          <w:tab w:val="center" w:pos="5671"/>
          <w:tab w:val="center" w:pos="7797"/>
        </w:tabs>
        <w:ind w:firstLine="567"/>
        <w:jc w:val="both"/>
        <w:rPr>
          <w:rFonts w:ascii="NewBaskerville" w:hAnsi="NewBaskerville"/>
        </w:rPr>
      </w:pPr>
    </w:p>
    <w:p w:rsidR="0017441D" w:rsidRPr="00F52C1B" w:rsidRDefault="0017441D" w:rsidP="0017441D">
      <w:pPr>
        <w:tabs>
          <w:tab w:val="center" w:pos="5671"/>
          <w:tab w:val="center" w:pos="7797"/>
        </w:tabs>
        <w:ind w:left="851" w:hanging="425"/>
        <w:jc w:val="both"/>
        <w:rPr>
          <w:rFonts w:ascii="NewBaskerville" w:hAnsi="NewBaskerville"/>
        </w:rPr>
      </w:pPr>
      <w:r w:rsidRPr="00F52C1B">
        <w:rPr>
          <w:rFonts w:ascii="NewBaskerville" w:hAnsi="NewBaskerville"/>
        </w:rPr>
        <w:t>1.</w:t>
      </w:r>
      <w:r w:rsidRPr="00F52C1B">
        <w:rPr>
          <w:rFonts w:ascii="NewBaskerville" w:hAnsi="NewBaskerville"/>
        </w:rPr>
        <w:tab/>
      </w:r>
      <w:r w:rsidR="005E62B9" w:rsidRPr="00F52C1B">
        <w:rPr>
          <w:rFonts w:ascii="NewBaskerville" w:hAnsi="NewBaskerville"/>
        </w:rPr>
        <w:t xml:space="preserve"> Las aportaciones del apartado</w:t>
      </w:r>
      <w:r w:rsidR="0044094D" w:rsidRPr="00F52C1B">
        <w:rPr>
          <w:rFonts w:ascii="NewBaskerville" w:hAnsi="NewBaskerville"/>
        </w:rPr>
        <w:t xml:space="preserve"> 3.</w:t>
      </w:r>
      <w:r w:rsidR="005E62B9" w:rsidRPr="00F52C1B">
        <w:rPr>
          <w:rFonts w:ascii="NewBaskerville" w:hAnsi="NewBaskerville"/>
        </w:rPr>
        <w:t>a)</w:t>
      </w:r>
      <w:r w:rsidRPr="00F52C1B">
        <w:rPr>
          <w:rFonts w:ascii="NewBaskerville" w:hAnsi="NewBaskerville"/>
        </w:rPr>
        <w:t xml:space="preserve"> </w:t>
      </w:r>
      <w:r w:rsidR="0044094D" w:rsidRPr="00F52C1B">
        <w:rPr>
          <w:rFonts w:ascii="NewBaskerville" w:hAnsi="NewBaskerville"/>
        </w:rPr>
        <w:t xml:space="preserve">del art.159.5 </w:t>
      </w:r>
      <w:r w:rsidR="005E62B9" w:rsidRPr="00F52C1B">
        <w:rPr>
          <w:rFonts w:ascii="NewBaskerville" w:hAnsi="NewBaskerville"/>
        </w:rPr>
        <w:t xml:space="preserve">se distribuirán en función de </w:t>
      </w:r>
      <w:r w:rsidR="00E73B09" w:rsidRPr="00F52C1B">
        <w:rPr>
          <w:rFonts w:ascii="NewBaskerville" w:hAnsi="NewBaskerville"/>
        </w:rPr>
        <w:t>las</w:t>
      </w:r>
      <w:r w:rsidRPr="00F52C1B">
        <w:rPr>
          <w:rFonts w:ascii="NewBaskerville" w:hAnsi="NewBaskerville"/>
        </w:rPr>
        <w:t xml:space="preserve"> ayudas a la </w:t>
      </w:r>
      <w:r w:rsidR="00E73B09" w:rsidRPr="00F52C1B">
        <w:rPr>
          <w:rFonts w:ascii="NewBaskerville" w:hAnsi="NewBaskerville"/>
        </w:rPr>
        <w:t>n</w:t>
      </w:r>
      <w:r w:rsidRPr="00F52C1B">
        <w:rPr>
          <w:rFonts w:ascii="NewBaskerville" w:hAnsi="NewBaskerville"/>
        </w:rPr>
        <w:t xml:space="preserve">avegación </w:t>
      </w:r>
      <w:r w:rsidR="00E73B09" w:rsidRPr="00F52C1B">
        <w:rPr>
          <w:rFonts w:ascii="NewBaskerville" w:hAnsi="NewBaskerville"/>
        </w:rPr>
        <w:t>m</w:t>
      </w:r>
      <w:r w:rsidRPr="00F52C1B">
        <w:rPr>
          <w:rFonts w:ascii="NewBaskerville" w:hAnsi="NewBaskerville"/>
        </w:rPr>
        <w:t>arítima asignadas a cada Autoridad Portuaria</w:t>
      </w:r>
      <w:r w:rsidR="001E4D8C" w:rsidRPr="00F52C1B">
        <w:rPr>
          <w:rFonts w:ascii="NewBaskerville" w:hAnsi="NewBaskerville"/>
        </w:rPr>
        <w:t>.</w:t>
      </w:r>
      <w:r w:rsidRPr="00F52C1B">
        <w:rPr>
          <w:rFonts w:ascii="NewBaskerville" w:hAnsi="NewBaskerville"/>
        </w:rPr>
        <w:t xml:space="preserve"> </w:t>
      </w:r>
    </w:p>
    <w:p w:rsidR="0017441D" w:rsidRPr="00F52C1B" w:rsidRDefault="0017441D" w:rsidP="00F10C4A">
      <w:pPr>
        <w:tabs>
          <w:tab w:val="center" w:pos="5671"/>
          <w:tab w:val="center" w:pos="7797"/>
        </w:tabs>
        <w:jc w:val="both"/>
        <w:rPr>
          <w:rFonts w:ascii="NewBaskerville" w:hAnsi="NewBaskerville"/>
        </w:rPr>
      </w:pPr>
    </w:p>
    <w:p w:rsidR="0049376B" w:rsidRPr="00F52C1B" w:rsidRDefault="0017441D" w:rsidP="00901A98">
      <w:pPr>
        <w:pStyle w:val="Sangra3detindependiente"/>
        <w:ind w:left="851" w:hanging="425"/>
        <w:rPr>
          <w:rFonts w:ascii="NewBaskerville" w:hAnsi="NewBaskerville"/>
          <w:sz w:val="20"/>
          <w:szCs w:val="20"/>
        </w:rPr>
      </w:pPr>
      <w:r w:rsidRPr="00F52C1B">
        <w:rPr>
          <w:rFonts w:ascii="NewBaskerville" w:hAnsi="NewBaskerville"/>
          <w:sz w:val="20"/>
          <w:szCs w:val="20"/>
        </w:rPr>
        <w:t>2.</w:t>
      </w:r>
      <w:r w:rsidRPr="00F52C1B">
        <w:rPr>
          <w:rFonts w:ascii="NewBaskerville" w:hAnsi="NewBaskerville"/>
          <w:sz w:val="20"/>
          <w:szCs w:val="20"/>
        </w:rPr>
        <w:tab/>
      </w:r>
      <w:r w:rsidR="00823D66" w:rsidRPr="00F52C1B">
        <w:rPr>
          <w:rFonts w:ascii="NewBaskerville" w:hAnsi="NewBaskerville"/>
          <w:sz w:val="20"/>
          <w:szCs w:val="20"/>
        </w:rPr>
        <w:t xml:space="preserve">Las aportaciones previstas en el apartado </w:t>
      </w:r>
      <w:r w:rsidR="003D4191">
        <w:rPr>
          <w:rFonts w:ascii="NewBaskerville" w:hAnsi="NewBaskerville"/>
          <w:sz w:val="20"/>
          <w:szCs w:val="20"/>
        </w:rPr>
        <w:t>3.</w:t>
      </w:r>
      <w:r w:rsidR="00823D66" w:rsidRPr="00F52C1B">
        <w:rPr>
          <w:rFonts w:ascii="NewBaskerville" w:hAnsi="NewBaskerville"/>
          <w:sz w:val="20"/>
          <w:szCs w:val="20"/>
        </w:rPr>
        <w:t>b)</w:t>
      </w:r>
      <w:r w:rsidR="0044094D" w:rsidRPr="00F52C1B">
        <w:rPr>
          <w:rFonts w:ascii="NewBaskerville" w:hAnsi="NewBaskerville"/>
          <w:sz w:val="20"/>
          <w:szCs w:val="20"/>
        </w:rPr>
        <w:t xml:space="preserve"> y 4 </w:t>
      </w:r>
      <w:r w:rsidRPr="00F52C1B">
        <w:rPr>
          <w:rFonts w:ascii="NewBaskerville" w:hAnsi="NewBaskerville"/>
          <w:sz w:val="20"/>
          <w:szCs w:val="20"/>
        </w:rPr>
        <w:t xml:space="preserve"> </w:t>
      </w:r>
      <w:r w:rsidR="00823D66" w:rsidRPr="00F52C1B">
        <w:rPr>
          <w:rFonts w:ascii="NewBaskerville" w:hAnsi="NewBaskerville"/>
          <w:sz w:val="20"/>
          <w:szCs w:val="20"/>
        </w:rPr>
        <w:t xml:space="preserve">tendrán carácter finalista y su aplicación estará condicionada a su ejecución efectiva destinándose entre otras a financiar inversiones en infraestructuras, planes de saneamiento, actuaciones </w:t>
      </w:r>
      <w:r w:rsidR="00DF2800" w:rsidRPr="00F52C1B">
        <w:rPr>
          <w:rFonts w:ascii="NewBaskerville" w:hAnsi="NewBaskerville"/>
          <w:sz w:val="20"/>
          <w:szCs w:val="20"/>
        </w:rPr>
        <w:t>medioambientales y de seguridad</w:t>
      </w:r>
      <w:r w:rsidR="00823D66" w:rsidRPr="00F52C1B">
        <w:rPr>
          <w:rFonts w:ascii="NewBaskerville" w:hAnsi="NewBaskerville"/>
          <w:sz w:val="20"/>
          <w:szCs w:val="20"/>
        </w:rPr>
        <w:t>, actuaciones o programas de desarrollo e innovación de interés portuario y daños físicos o situaciones económicas excepcionales no previstas.</w:t>
      </w:r>
      <w:r w:rsidRPr="00F52C1B">
        <w:rPr>
          <w:rFonts w:ascii="NewBaskerville" w:hAnsi="NewBaskerville"/>
          <w:sz w:val="20"/>
          <w:szCs w:val="20"/>
        </w:rPr>
        <w:t xml:space="preserve"> </w:t>
      </w:r>
    </w:p>
    <w:p w:rsidR="00472775" w:rsidRPr="00F52C1B" w:rsidRDefault="00472775" w:rsidP="00514E88">
      <w:pPr>
        <w:pStyle w:val="Sangra3detindependiente"/>
        <w:ind w:left="426" w:firstLine="0"/>
        <w:rPr>
          <w:rFonts w:ascii="NewBaskerville" w:hAnsi="NewBaskerville"/>
          <w:sz w:val="20"/>
          <w:szCs w:val="20"/>
        </w:rPr>
      </w:pPr>
    </w:p>
    <w:p w:rsidR="0017441D" w:rsidRPr="00F52C1B" w:rsidRDefault="001D30F9" w:rsidP="00F52C1B">
      <w:pPr>
        <w:pStyle w:val="Sangra3detindependiente"/>
        <w:ind w:firstLine="567"/>
        <w:rPr>
          <w:rFonts w:ascii="NewBaskerville" w:hAnsi="NewBaskerville"/>
          <w:sz w:val="20"/>
          <w:szCs w:val="20"/>
        </w:rPr>
      </w:pPr>
      <w:r w:rsidRPr="00F52C1B">
        <w:rPr>
          <w:rFonts w:ascii="NewBaskerville" w:hAnsi="NewBaskerville"/>
          <w:sz w:val="20"/>
          <w:szCs w:val="20"/>
        </w:rPr>
        <w:t>A</w:t>
      </w:r>
      <w:r w:rsidR="00823D66" w:rsidRPr="00F52C1B">
        <w:rPr>
          <w:rFonts w:ascii="NewBaskerville" w:hAnsi="NewBaskerville"/>
          <w:sz w:val="20"/>
          <w:szCs w:val="20"/>
        </w:rPr>
        <w:t>simismo se destinarán a compensar los menores ingresos estructurales de las Autoridades Portuarias de C</w:t>
      </w:r>
      <w:r w:rsidR="00DF2800" w:rsidRPr="00F52C1B">
        <w:rPr>
          <w:rFonts w:ascii="NewBaskerville" w:hAnsi="NewBaskerville"/>
          <w:sz w:val="20"/>
          <w:szCs w:val="20"/>
        </w:rPr>
        <w:t>euta y Melilla y las insulares, debido a las reducciones y bonificaciones de las tasas del buque, pasaje y mercancía.</w:t>
      </w:r>
      <w:r w:rsidR="0017441D" w:rsidRPr="00F52C1B">
        <w:rPr>
          <w:rFonts w:ascii="NewBaskerville" w:hAnsi="NewBaskerville"/>
          <w:sz w:val="20"/>
          <w:szCs w:val="20"/>
        </w:rPr>
        <w:t xml:space="preserve"> </w:t>
      </w:r>
      <w:r w:rsidR="00915006" w:rsidRPr="00F52C1B">
        <w:rPr>
          <w:rFonts w:ascii="NewBaskerville" w:hAnsi="NewBaskerville"/>
          <w:sz w:val="20"/>
          <w:szCs w:val="20"/>
        </w:rPr>
        <w:t xml:space="preserve">Las cantidades a recibir por estas compensaciones se sujetarán a los siguientes criterios: </w:t>
      </w:r>
    </w:p>
    <w:p w:rsidR="00915006" w:rsidRPr="00F52C1B" w:rsidRDefault="00915006" w:rsidP="00F52C1B">
      <w:pPr>
        <w:pStyle w:val="Sangra3detindependiente"/>
        <w:ind w:firstLine="567"/>
        <w:rPr>
          <w:rFonts w:ascii="NewBaskerville" w:hAnsi="NewBaskerville"/>
          <w:sz w:val="20"/>
          <w:szCs w:val="20"/>
        </w:rPr>
      </w:pPr>
    </w:p>
    <w:p w:rsidR="00915006" w:rsidRPr="00F52C1B" w:rsidRDefault="00915006" w:rsidP="00F52C1B">
      <w:pPr>
        <w:tabs>
          <w:tab w:val="center" w:pos="5671"/>
          <w:tab w:val="center" w:pos="7797"/>
        </w:tabs>
        <w:ind w:firstLine="567"/>
        <w:jc w:val="both"/>
        <w:rPr>
          <w:rFonts w:ascii="NewBaskerville" w:hAnsi="NewBaskerville"/>
        </w:rPr>
      </w:pPr>
      <w:r w:rsidRPr="00F52C1B">
        <w:rPr>
          <w:rFonts w:ascii="NewBaskerville" w:hAnsi="NewBaskerville"/>
        </w:rPr>
        <w:t xml:space="preserve">El volumen total de estas compensaciones será la aportación mínima al </w:t>
      </w:r>
      <w:r w:rsidR="003F24D6">
        <w:rPr>
          <w:rFonts w:ascii="NewBaskerville" w:hAnsi="NewBaskerville"/>
        </w:rPr>
        <w:t>F</w:t>
      </w:r>
      <w:r w:rsidRPr="00F52C1B">
        <w:rPr>
          <w:rFonts w:ascii="NewBaskerville" w:hAnsi="NewBaskerville"/>
        </w:rPr>
        <w:t xml:space="preserve">ondo de </w:t>
      </w:r>
      <w:r w:rsidR="003F24D6">
        <w:rPr>
          <w:rFonts w:ascii="NewBaskerville" w:hAnsi="NewBaskerville"/>
        </w:rPr>
        <w:t>C</w:t>
      </w:r>
      <w:r w:rsidRPr="00F52C1B">
        <w:rPr>
          <w:rFonts w:ascii="NewBaskerville" w:hAnsi="NewBaskerville"/>
        </w:rPr>
        <w:t xml:space="preserve">ompensación </w:t>
      </w:r>
      <w:r w:rsidR="003F24D6">
        <w:rPr>
          <w:rFonts w:ascii="NewBaskerville" w:hAnsi="NewBaskerville"/>
        </w:rPr>
        <w:t>I</w:t>
      </w:r>
      <w:r w:rsidRPr="00F52C1B">
        <w:rPr>
          <w:rFonts w:ascii="NewBaskerville" w:hAnsi="NewBaskerville"/>
        </w:rPr>
        <w:t>n</w:t>
      </w:r>
      <w:r w:rsidR="00A61BF7" w:rsidRPr="00F52C1B">
        <w:rPr>
          <w:rFonts w:ascii="NewBaskerville" w:hAnsi="NewBaskerville"/>
        </w:rPr>
        <w:t>ter</w:t>
      </w:r>
      <w:r w:rsidRPr="00F52C1B">
        <w:rPr>
          <w:rFonts w:ascii="NewBaskerville" w:hAnsi="NewBaskerville"/>
        </w:rPr>
        <w:t>portuario establecido en el apartado 3.b) art 159.</w:t>
      </w:r>
    </w:p>
    <w:p w:rsidR="00915006" w:rsidRPr="00F52C1B" w:rsidRDefault="00915006" w:rsidP="00F52C1B">
      <w:pPr>
        <w:tabs>
          <w:tab w:val="center" w:pos="5671"/>
          <w:tab w:val="center" w:pos="7797"/>
        </w:tabs>
        <w:ind w:firstLine="567"/>
        <w:jc w:val="both"/>
        <w:rPr>
          <w:rFonts w:ascii="NewBaskerville" w:hAnsi="NewBaskerville"/>
        </w:rPr>
      </w:pPr>
    </w:p>
    <w:p w:rsidR="00915006" w:rsidRPr="00F52C1B" w:rsidRDefault="00915006" w:rsidP="00F52C1B">
      <w:pPr>
        <w:tabs>
          <w:tab w:val="center" w:pos="5671"/>
          <w:tab w:val="center" w:pos="7797"/>
        </w:tabs>
        <w:ind w:firstLine="567"/>
        <w:jc w:val="both"/>
        <w:rPr>
          <w:rFonts w:ascii="NewBaskerville" w:hAnsi="NewBaskerville"/>
        </w:rPr>
      </w:pPr>
      <w:r w:rsidRPr="00F52C1B">
        <w:rPr>
          <w:rFonts w:ascii="NewBaskerville" w:hAnsi="NewBaskerville"/>
        </w:rPr>
        <w:lastRenderedPageBreak/>
        <w:t>Se distribuirán de forma proporcional a las canti</w:t>
      </w:r>
      <w:r w:rsidR="00F656B3" w:rsidRPr="00F52C1B">
        <w:rPr>
          <w:rFonts w:ascii="NewBaskerville" w:hAnsi="NewBaskerville"/>
        </w:rPr>
        <w:t>d</w:t>
      </w:r>
      <w:r w:rsidRPr="00F52C1B">
        <w:rPr>
          <w:rFonts w:ascii="NewBaskerville" w:hAnsi="NewBaskerville"/>
        </w:rPr>
        <w:t xml:space="preserve">ades que se han dejado de percibir como consecuencia de la aplicación a las tasas del buque, pasaje y mercancía de los coeficientes reductores por concepto de interinsularidad y de las bonificaciones por insularidad, </w:t>
      </w:r>
      <w:r w:rsidR="007B5A25" w:rsidRPr="00F52C1B">
        <w:rPr>
          <w:rFonts w:ascii="NewBaskerville" w:hAnsi="NewBaskerville"/>
        </w:rPr>
        <w:t>especial aislamiento y ultraper</w:t>
      </w:r>
      <w:r w:rsidRPr="00F52C1B">
        <w:rPr>
          <w:rFonts w:ascii="NewBaskerville" w:hAnsi="NewBaskerville"/>
        </w:rPr>
        <w:t>ifericidad, correspondientes al año inmediatamente anterior.</w:t>
      </w:r>
    </w:p>
    <w:p w:rsidR="00915006" w:rsidRPr="00F52C1B" w:rsidRDefault="00915006" w:rsidP="00F52C1B">
      <w:pPr>
        <w:pStyle w:val="Sangra3detindependiente"/>
        <w:ind w:firstLine="567"/>
        <w:rPr>
          <w:rFonts w:ascii="NewBaskerville" w:hAnsi="NewBaskerville"/>
          <w:sz w:val="20"/>
          <w:szCs w:val="20"/>
        </w:rPr>
      </w:pPr>
    </w:p>
    <w:p w:rsidR="00901A98" w:rsidRDefault="00A61BF7" w:rsidP="00F52C1B">
      <w:pPr>
        <w:pStyle w:val="Sangra3detindependiente"/>
        <w:ind w:firstLine="567"/>
        <w:rPr>
          <w:rFonts w:ascii="NewBaskerville" w:hAnsi="NewBaskerville"/>
          <w:sz w:val="20"/>
          <w:szCs w:val="20"/>
        </w:rPr>
      </w:pPr>
      <w:r w:rsidRPr="00F52C1B">
        <w:rPr>
          <w:rFonts w:ascii="NewBaskerville" w:hAnsi="NewBaskerville"/>
          <w:sz w:val="20"/>
          <w:szCs w:val="20"/>
        </w:rPr>
        <w:t xml:space="preserve"> </w:t>
      </w:r>
      <w:r w:rsidR="00915006" w:rsidRPr="00F52C1B">
        <w:rPr>
          <w:rFonts w:ascii="NewBaskerville" w:hAnsi="NewBaskerville"/>
          <w:sz w:val="20"/>
          <w:szCs w:val="20"/>
        </w:rPr>
        <w:t>El importe a recibir por cada Autoridad Portuaria n</w:t>
      </w:r>
      <w:r w:rsidR="002114E5" w:rsidRPr="00F52C1B">
        <w:rPr>
          <w:rFonts w:ascii="NewBaskerville" w:hAnsi="NewBaskerville"/>
          <w:sz w:val="20"/>
          <w:szCs w:val="20"/>
        </w:rPr>
        <w:t xml:space="preserve">o podrá ser superior al importe </w:t>
      </w:r>
      <w:r w:rsidR="00915006" w:rsidRPr="00F52C1B">
        <w:rPr>
          <w:rFonts w:ascii="NewBaskerville" w:hAnsi="NewBaskerville"/>
          <w:sz w:val="20"/>
          <w:szCs w:val="20"/>
        </w:rPr>
        <w:t>de las reducciones y bonificaciones efectivamente practicad</w:t>
      </w:r>
      <w:r w:rsidR="002114E5" w:rsidRPr="00F52C1B">
        <w:rPr>
          <w:rFonts w:ascii="NewBaskerville" w:hAnsi="NewBaskerville"/>
          <w:sz w:val="20"/>
          <w:szCs w:val="20"/>
        </w:rPr>
        <w:t>a</w:t>
      </w:r>
      <w:r w:rsidR="00915006" w:rsidRPr="00F52C1B">
        <w:rPr>
          <w:rFonts w:ascii="NewBaskerville" w:hAnsi="NewBaskerville"/>
          <w:sz w:val="20"/>
          <w:szCs w:val="20"/>
        </w:rPr>
        <w:t xml:space="preserve">s en dicho año </w:t>
      </w:r>
      <w:r w:rsidR="002114E5" w:rsidRPr="00F52C1B">
        <w:rPr>
          <w:rFonts w:ascii="NewBaskerville" w:hAnsi="NewBaskerville"/>
          <w:sz w:val="20"/>
          <w:szCs w:val="20"/>
        </w:rPr>
        <w:t>y nunca superior al importe que le permitiera alcanzar la rentabilidad anual objetivo del sistema portuario correspondiente a ese año, calculados los ingresos por tasas de utilización con coeficientes correctores valor uno.</w:t>
      </w:r>
    </w:p>
    <w:p w:rsidR="00802A41" w:rsidRDefault="00802A41" w:rsidP="00F52C1B">
      <w:pPr>
        <w:pStyle w:val="Sangra3detindependiente"/>
        <w:ind w:firstLine="567"/>
        <w:rPr>
          <w:rFonts w:ascii="NewBaskerville" w:hAnsi="NewBaskerville"/>
          <w:sz w:val="20"/>
          <w:szCs w:val="20"/>
        </w:rPr>
      </w:pPr>
    </w:p>
    <w:p w:rsidR="0017441D" w:rsidRPr="00F52C1B" w:rsidRDefault="0017441D" w:rsidP="00F52C1B">
      <w:pPr>
        <w:pStyle w:val="Sangra3detindependiente"/>
        <w:ind w:firstLine="567"/>
        <w:rPr>
          <w:rFonts w:ascii="NewBaskerville" w:hAnsi="NewBaskerville"/>
          <w:sz w:val="20"/>
          <w:szCs w:val="20"/>
        </w:rPr>
      </w:pPr>
      <w:r w:rsidRPr="00F52C1B">
        <w:rPr>
          <w:rFonts w:ascii="NewBaskerville" w:hAnsi="NewBaskerville"/>
          <w:sz w:val="20"/>
          <w:szCs w:val="20"/>
        </w:rPr>
        <w:t>La asignación tendrá la consideración de ingreso del ejercicio en que ef</w:t>
      </w:r>
      <w:r w:rsidR="00823D66" w:rsidRPr="00F52C1B">
        <w:rPr>
          <w:rFonts w:ascii="NewBaskerville" w:hAnsi="NewBaskerville"/>
          <w:sz w:val="20"/>
          <w:szCs w:val="20"/>
        </w:rPr>
        <w:t>ectivamente se aplique la misma.</w:t>
      </w:r>
    </w:p>
    <w:p w:rsidR="0017441D" w:rsidRPr="00F52C1B" w:rsidRDefault="0017441D" w:rsidP="00F52C1B">
      <w:pPr>
        <w:tabs>
          <w:tab w:val="center" w:pos="5671"/>
          <w:tab w:val="center" w:pos="7797"/>
        </w:tabs>
        <w:ind w:firstLine="567"/>
        <w:jc w:val="both"/>
        <w:rPr>
          <w:rFonts w:ascii="NewBaskerville" w:hAnsi="NewBaskerville"/>
        </w:rPr>
      </w:pPr>
    </w:p>
    <w:p w:rsidR="00625D2A" w:rsidRDefault="0017441D" w:rsidP="00F52C1B">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r w:rsidRPr="00F52C1B">
        <w:rPr>
          <w:rFonts w:ascii="NewBaskerville" w:hAnsi="NewBaskerville"/>
          <w:sz w:val="20"/>
        </w:rPr>
        <w:t>El Fondo de Compensación Interportuario recibido y aportado en el ejercicio se registra en la cuenta de pérdidas y ganancias como un ingreso y gasto del ejercicio respectivamente.</w:t>
      </w:r>
    </w:p>
    <w:p w:rsidR="00625D2A" w:rsidRDefault="00625D2A" w:rsidP="00F52C1B">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17441D" w:rsidRDefault="00625D2A" w:rsidP="00625D2A">
      <w:pPr>
        <w:pStyle w:val="Sangradetextonormal"/>
        <w:numPr>
          <w:ilvl w:val="0"/>
          <w:numId w:val="41"/>
        </w:numPr>
        <w:tabs>
          <w:tab w:val="clear" w:pos="8364"/>
          <w:tab w:val="center" w:pos="5671"/>
          <w:tab w:val="center" w:pos="7797"/>
        </w:tabs>
        <w:overflowPunct/>
        <w:autoSpaceDE/>
        <w:autoSpaceDN/>
        <w:adjustRightInd/>
        <w:textAlignment w:val="auto"/>
        <w:rPr>
          <w:rFonts w:ascii="NewBaskerville" w:hAnsi="NewBaskerville"/>
          <w:sz w:val="20"/>
        </w:rPr>
      </w:pPr>
      <w:r>
        <w:rPr>
          <w:rFonts w:ascii="NewBaskerville" w:hAnsi="NewBaskerville"/>
          <w:sz w:val="20"/>
        </w:rPr>
        <w:t>Importe</w:t>
      </w:r>
      <w:r w:rsidR="004F2D58">
        <w:rPr>
          <w:rFonts w:ascii="NewBaskerville" w:hAnsi="NewBaskerville"/>
          <w:sz w:val="20"/>
        </w:rPr>
        <w:t xml:space="preserve"> Neto</w:t>
      </w:r>
      <w:r>
        <w:rPr>
          <w:rFonts w:ascii="NewBaskerville" w:hAnsi="NewBaskerville"/>
          <w:sz w:val="20"/>
        </w:rPr>
        <w:t xml:space="preserve"> de la Cifra de Negocio</w:t>
      </w:r>
      <w:r w:rsidR="00F6622D">
        <w:rPr>
          <w:rFonts w:ascii="NewBaskerville" w:hAnsi="NewBaskerville"/>
          <w:sz w:val="20"/>
        </w:rPr>
        <w:t>s</w:t>
      </w:r>
      <w:r w:rsidR="004F2D58">
        <w:rPr>
          <w:rFonts w:ascii="NewBaskerville" w:hAnsi="NewBaskerville"/>
          <w:sz w:val="20"/>
        </w:rPr>
        <w:t>.</w:t>
      </w:r>
    </w:p>
    <w:p w:rsidR="004F2D58" w:rsidRDefault="004F2D58" w:rsidP="00CA42B3">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4F2D58" w:rsidRDefault="004F2D58" w:rsidP="00CA42B3">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r>
        <w:rPr>
          <w:rFonts w:ascii="NewBaskerville" w:hAnsi="NewBaskerville"/>
          <w:sz w:val="20"/>
        </w:rPr>
        <w:t>El importe neto de la cifra de negocios se determina deduciendo del importe de la contraprestación</w:t>
      </w:r>
      <w:r w:rsidR="00CA42B3">
        <w:rPr>
          <w:rFonts w:ascii="NewBaskerville" w:hAnsi="NewBaskerville"/>
          <w:sz w:val="20"/>
        </w:rPr>
        <w:t xml:space="preserve"> por la transferencia de los servicios comprometidos con usuarios u otros ingresos correspondientes a las actividades ordinarias de la Entidad, el importe de cualquier reducción, bonificación, y similar, así como el impuesto sobre el valor añadido que deba ser objeto de repercusión.</w:t>
      </w:r>
    </w:p>
    <w:p w:rsidR="00CA42B3" w:rsidRDefault="00CA42B3" w:rsidP="00CA42B3">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CA42B3" w:rsidRDefault="00862883" w:rsidP="00CA42B3">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r>
        <w:rPr>
          <w:rFonts w:ascii="NewBaskerville" w:hAnsi="NewBaskerville"/>
          <w:sz w:val="20"/>
        </w:rPr>
        <w:t xml:space="preserve">Determinando el concepto como el cómputo de los ingresos de la actividad ordinaria de la Entidad, en la medida en que se obtengan de forma regular y </w:t>
      </w:r>
      <w:r w:rsidR="003F24D6">
        <w:rPr>
          <w:rFonts w:ascii="NewBaskerville" w:hAnsi="NewBaskerville"/>
          <w:sz w:val="20"/>
        </w:rPr>
        <w:t>periódica</w:t>
      </w:r>
      <w:r>
        <w:rPr>
          <w:rFonts w:ascii="NewBaskerville" w:hAnsi="NewBaskerville"/>
          <w:sz w:val="20"/>
        </w:rPr>
        <w:t xml:space="preserve"> y se deriven del ciclo económico de producción, comercialización o prestación de servicios propios de la Entidad.</w:t>
      </w:r>
    </w:p>
    <w:p w:rsidR="00862883" w:rsidRDefault="00862883" w:rsidP="00CA42B3">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862883" w:rsidRDefault="00F6622D" w:rsidP="00CA42B3">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r>
        <w:rPr>
          <w:rFonts w:ascii="NewBaskerville" w:hAnsi="NewBaskerville"/>
          <w:sz w:val="20"/>
        </w:rPr>
        <w:t>El Importe Neto de la Cifra de Negocios lo componen los ingresos por:</w:t>
      </w:r>
    </w:p>
    <w:p w:rsidR="00F6622D" w:rsidRDefault="00F6622D" w:rsidP="00F6622D">
      <w:pPr>
        <w:pStyle w:val="Sangradetextonormal"/>
        <w:numPr>
          <w:ilvl w:val="0"/>
          <w:numId w:val="6"/>
        </w:numPr>
        <w:tabs>
          <w:tab w:val="clear" w:pos="8364"/>
          <w:tab w:val="center" w:pos="5671"/>
          <w:tab w:val="center" w:pos="7797"/>
        </w:tabs>
        <w:overflowPunct/>
        <w:autoSpaceDE/>
        <w:autoSpaceDN/>
        <w:adjustRightInd/>
        <w:textAlignment w:val="auto"/>
        <w:rPr>
          <w:rFonts w:ascii="NewBaskerville" w:hAnsi="NewBaskerville"/>
          <w:sz w:val="20"/>
        </w:rPr>
      </w:pPr>
      <w:r>
        <w:rPr>
          <w:rFonts w:ascii="NewBaskerville" w:hAnsi="NewBaskerville"/>
          <w:sz w:val="20"/>
        </w:rPr>
        <w:t>Tasas Portuarias</w:t>
      </w:r>
    </w:p>
    <w:p w:rsidR="00F6622D" w:rsidRDefault="00F6622D" w:rsidP="00F6622D">
      <w:pPr>
        <w:pStyle w:val="Sangradetextonormal"/>
        <w:numPr>
          <w:ilvl w:val="0"/>
          <w:numId w:val="6"/>
        </w:numPr>
        <w:tabs>
          <w:tab w:val="clear" w:pos="8364"/>
          <w:tab w:val="center" w:pos="5671"/>
          <w:tab w:val="center" w:pos="7797"/>
        </w:tabs>
        <w:overflowPunct/>
        <w:autoSpaceDE/>
        <w:autoSpaceDN/>
        <w:adjustRightInd/>
        <w:textAlignment w:val="auto"/>
        <w:rPr>
          <w:rFonts w:ascii="NewBaskerville" w:hAnsi="NewBaskerville"/>
          <w:sz w:val="20"/>
        </w:rPr>
      </w:pPr>
      <w:r>
        <w:rPr>
          <w:rFonts w:ascii="NewBaskerville" w:hAnsi="NewBaskerville"/>
          <w:sz w:val="20"/>
        </w:rPr>
        <w:t>Importes adicionales a las tasas</w:t>
      </w:r>
    </w:p>
    <w:p w:rsidR="00FA0EC0" w:rsidRPr="00FA0EC0" w:rsidRDefault="00FA0EC0" w:rsidP="00FA0EC0">
      <w:pPr>
        <w:pStyle w:val="Sangradetextonormal"/>
        <w:numPr>
          <w:ilvl w:val="0"/>
          <w:numId w:val="6"/>
        </w:numPr>
        <w:tabs>
          <w:tab w:val="clear" w:pos="8364"/>
          <w:tab w:val="center" w:pos="5671"/>
          <w:tab w:val="center" w:pos="7797"/>
        </w:tabs>
        <w:overflowPunct/>
        <w:autoSpaceDE/>
        <w:autoSpaceDN/>
        <w:adjustRightInd/>
        <w:textAlignment w:val="auto"/>
        <w:rPr>
          <w:rFonts w:ascii="NewBaskerville" w:hAnsi="NewBaskerville"/>
          <w:sz w:val="20"/>
        </w:rPr>
      </w:pPr>
      <w:r w:rsidRPr="00FA0EC0">
        <w:rPr>
          <w:rFonts w:ascii="NewBaskerville" w:hAnsi="NewBaskerville"/>
          <w:sz w:val="20"/>
        </w:rPr>
        <w:t>Tarifas por servicios comerciales</w:t>
      </w:r>
    </w:p>
    <w:p w:rsidR="00FA0EC0" w:rsidRDefault="00FA0EC0" w:rsidP="00F6622D">
      <w:pPr>
        <w:pStyle w:val="Sangradetextonormal"/>
        <w:numPr>
          <w:ilvl w:val="0"/>
          <w:numId w:val="6"/>
        </w:numPr>
        <w:tabs>
          <w:tab w:val="clear" w:pos="8364"/>
          <w:tab w:val="center" w:pos="5671"/>
          <w:tab w:val="center" w:pos="7797"/>
        </w:tabs>
        <w:overflowPunct/>
        <w:autoSpaceDE/>
        <w:autoSpaceDN/>
        <w:adjustRightInd/>
        <w:textAlignment w:val="auto"/>
        <w:rPr>
          <w:rFonts w:ascii="NewBaskerville" w:hAnsi="NewBaskerville"/>
          <w:sz w:val="20"/>
        </w:rPr>
      </w:pPr>
      <w:r>
        <w:rPr>
          <w:rFonts w:ascii="NewBaskerville" w:hAnsi="NewBaskerville"/>
          <w:sz w:val="20"/>
        </w:rPr>
        <w:t>Tarifas por el servicio de recepción de desechos</w:t>
      </w:r>
    </w:p>
    <w:p w:rsidR="00B31427" w:rsidRDefault="00B31427" w:rsidP="00B31427">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B31427" w:rsidRDefault="00B31427" w:rsidP="00B31427">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r>
        <w:rPr>
          <w:rFonts w:ascii="NewBaskerville" w:hAnsi="NewBaskerville"/>
          <w:sz w:val="20"/>
        </w:rPr>
        <w:t>Según redacción del TRLPEMM</w:t>
      </w:r>
      <w:r w:rsidR="008829DA">
        <w:rPr>
          <w:rFonts w:ascii="NewBaskerville" w:hAnsi="NewBaskerville"/>
          <w:sz w:val="20"/>
        </w:rPr>
        <w:t>.</w:t>
      </w:r>
    </w:p>
    <w:p w:rsidR="008829DA" w:rsidRDefault="008829DA" w:rsidP="00B31427">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625D2A" w:rsidRDefault="00194C18"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r>
        <w:rPr>
          <w:rFonts w:ascii="NewBaskerville" w:hAnsi="NewBaskerville"/>
          <w:sz w:val="20"/>
        </w:rPr>
        <w:t xml:space="preserve">En </w:t>
      </w:r>
      <w:r w:rsidR="008829DA">
        <w:rPr>
          <w:rFonts w:ascii="NewBaskerville" w:hAnsi="NewBaskerville"/>
          <w:sz w:val="20"/>
        </w:rPr>
        <w:t>la partida de “Otros ingresos de explotación”, que queda excluida del importe neto de la cifra de negocios,</w:t>
      </w:r>
      <w:r>
        <w:rPr>
          <w:rFonts w:ascii="NewBaskerville" w:hAnsi="NewBaskerville"/>
          <w:sz w:val="20"/>
        </w:rPr>
        <w:t xml:space="preserve"> se registran,</w:t>
      </w:r>
      <w:r w:rsidR="008829DA">
        <w:rPr>
          <w:rFonts w:ascii="NewBaskerville" w:hAnsi="NewBaskerville"/>
          <w:sz w:val="20"/>
        </w:rPr>
        <w:t xml:space="preserve"> entre otros, ingresos no obtenidos con carácter </w:t>
      </w:r>
      <w:r w:rsidR="003F24D6">
        <w:rPr>
          <w:rFonts w:ascii="NewBaskerville" w:hAnsi="NewBaskerville"/>
          <w:sz w:val="20"/>
        </w:rPr>
        <w:t>periódico</w:t>
      </w:r>
      <w:r w:rsidR="008829DA">
        <w:rPr>
          <w:rFonts w:ascii="NewBaskerville" w:hAnsi="NewBaskerville"/>
          <w:sz w:val="20"/>
        </w:rPr>
        <w:t xml:space="preserve"> o contraprestaciones de carácter indemnizatorio. </w:t>
      </w:r>
      <w:r w:rsidR="00B31427">
        <w:rPr>
          <w:rFonts w:ascii="NewBaskerville" w:hAnsi="NewBaskerville"/>
          <w:sz w:val="20"/>
        </w:rPr>
        <w:t xml:space="preserve"> </w:t>
      </w:r>
    </w:p>
    <w:p w:rsidR="006C7F54" w:rsidRDefault="006C7F54"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6C7F54" w:rsidRDefault="006C7F54"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6C7F54" w:rsidRDefault="006C7F54"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46575F" w:rsidRDefault="0046575F"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46575F" w:rsidRDefault="0046575F"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46575F" w:rsidRDefault="0046575F"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46575F" w:rsidRDefault="0046575F"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46575F" w:rsidRPr="00015760" w:rsidRDefault="0046575F"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lang w:val="es-ES"/>
        </w:rPr>
      </w:pPr>
    </w:p>
    <w:p w:rsidR="00494CFC" w:rsidRDefault="00494CFC"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494CFC" w:rsidRDefault="00494CFC"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494CFC" w:rsidRDefault="00494CFC"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494CFC" w:rsidRDefault="00494CFC"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46575F" w:rsidRDefault="0046575F"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46575F" w:rsidRDefault="0046575F"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494CFC" w:rsidRDefault="00494CFC"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r>
        <w:rPr>
          <w:rFonts w:ascii="NewBaskerville" w:hAnsi="NewBaskerville"/>
          <w:sz w:val="20"/>
        </w:rPr>
        <w:br w:type="page"/>
      </w:r>
    </w:p>
    <w:p w:rsidR="0046575F" w:rsidRDefault="0046575F"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46575F" w:rsidRDefault="0046575F"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CC5923" w:rsidRPr="00D467DC" w:rsidRDefault="003F24D6" w:rsidP="00F348FE">
      <w:pPr>
        <w:pStyle w:val="ListParagraph1"/>
        <w:ind w:left="0"/>
        <w:rPr>
          <w:rFonts w:ascii="NewBaskerville" w:hAnsi="NewBaskerville"/>
          <w:b/>
          <w:bCs/>
          <w:sz w:val="24"/>
          <w:szCs w:val="24"/>
        </w:rPr>
      </w:pPr>
      <w:r w:rsidRPr="00D467DC">
        <w:rPr>
          <w:rFonts w:ascii="NewBaskerville" w:hAnsi="NewBaskerville"/>
          <w:b/>
          <w:bCs/>
          <w:sz w:val="24"/>
          <w:szCs w:val="24"/>
        </w:rPr>
        <w:t>5</w:t>
      </w:r>
      <w:r>
        <w:rPr>
          <w:b/>
          <w:bCs/>
          <w:sz w:val="24"/>
          <w:szCs w:val="24"/>
        </w:rPr>
        <w:t>.</w:t>
      </w:r>
      <w:r w:rsidRPr="00D467DC">
        <w:rPr>
          <w:rFonts w:ascii="NewBaskerville" w:hAnsi="NewBaskerville"/>
          <w:b/>
          <w:bCs/>
          <w:sz w:val="24"/>
          <w:szCs w:val="24"/>
        </w:rPr>
        <w:t xml:space="preserve"> Inmovilizado</w:t>
      </w:r>
      <w:r w:rsidR="00CC5923" w:rsidRPr="00D467DC">
        <w:rPr>
          <w:rFonts w:ascii="NewBaskerville" w:hAnsi="NewBaskerville"/>
          <w:b/>
          <w:bCs/>
          <w:sz w:val="24"/>
          <w:szCs w:val="24"/>
        </w:rPr>
        <w:t xml:space="preserve"> intangible</w:t>
      </w:r>
    </w:p>
    <w:p w:rsidR="00CC5923" w:rsidRPr="00072D1A" w:rsidRDefault="00CC5923" w:rsidP="00CC5923">
      <w:pPr>
        <w:pStyle w:val="Sangradetextonormal"/>
        <w:tabs>
          <w:tab w:val="clear" w:pos="8364"/>
          <w:tab w:val="center" w:pos="5671"/>
          <w:tab w:val="center" w:pos="7797"/>
        </w:tabs>
        <w:ind w:firstLine="0"/>
        <w:rPr>
          <w:sz w:val="20"/>
        </w:rPr>
      </w:pPr>
    </w:p>
    <w:p w:rsidR="00DF2800" w:rsidRDefault="00CC5923" w:rsidP="003E055E">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r w:rsidRPr="009B0DDE">
        <w:rPr>
          <w:rFonts w:ascii="NewBaskerville" w:hAnsi="NewBaskerville"/>
          <w:sz w:val="20"/>
        </w:rPr>
        <w:t>La composición de este epígrafe y sus movimientos dur</w:t>
      </w:r>
      <w:r w:rsidR="000C1BC0" w:rsidRPr="009B0DDE">
        <w:rPr>
          <w:rFonts w:ascii="NewBaskerville" w:hAnsi="NewBaskerville"/>
          <w:sz w:val="20"/>
        </w:rPr>
        <w:t>ante los ejercicios 202</w:t>
      </w:r>
      <w:r w:rsidR="00E12B50">
        <w:rPr>
          <w:rFonts w:ascii="NewBaskerville" w:hAnsi="NewBaskerville"/>
          <w:sz w:val="20"/>
        </w:rPr>
        <w:t>4</w:t>
      </w:r>
      <w:r w:rsidR="000C1BC0" w:rsidRPr="009B0DDE">
        <w:rPr>
          <w:rFonts w:ascii="NewBaskerville" w:hAnsi="NewBaskerville"/>
          <w:sz w:val="20"/>
        </w:rPr>
        <w:t xml:space="preserve"> y 202</w:t>
      </w:r>
      <w:r w:rsidR="00E12B50">
        <w:rPr>
          <w:rFonts w:ascii="NewBaskerville" w:hAnsi="NewBaskerville"/>
          <w:sz w:val="20"/>
        </w:rPr>
        <w:t>3</w:t>
      </w:r>
      <w:r w:rsidR="00530948" w:rsidRPr="009B0DDE">
        <w:rPr>
          <w:rFonts w:ascii="NewBaskerville" w:hAnsi="NewBaskerville"/>
          <w:sz w:val="20"/>
        </w:rPr>
        <w:t xml:space="preserve"> son los siguiente</w:t>
      </w:r>
      <w:r w:rsidR="00462BE1" w:rsidRPr="009B0DDE">
        <w:rPr>
          <w:rFonts w:ascii="NewBaskerville" w:hAnsi="NewBaskerville"/>
          <w:sz w:val="20"/>
        </w:rPr>
        <w:t>s</w:t>
      </w:r>
      <w:r w:rsidR="00530948" w:rsidRPr="009B0DDE">
        <w:rPr>
          <w:rFonts w:ascii="NewBaskerville" w:hAnsi="NewBaskerville"/>
          <w:sz w:val="20"/>
        </w:rPr>
        <w:t>:</w:t>
      </w:r>
    </w:p>
    <w:p w:rsidR="00F93CE1" w:rsidRDefault="00F93CE1" w:rsidP="003E055E">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tbl>
      <w:tblPr>
        <w:tblW w:w="6028" w:type="dxa"/>
        <w:tblInd w:w="70" w:type="dxa"/>
        <w:tblCellMar>
          <w:left w:w="70" w:type="dxa"/>
          <w:right w:w="70" w:type="dxa"/>
        </w:tblCellMar>
        <w:tblLook w:val="04A0" w:firstRow="1" w:lastRow="0" w:firstColumn="1" w:lastColumn="0" w:noHBand="0" w:noVBand="1"/>
      </w:tblPr>
      <w:tblGrid>
        <w:gridCol w:w="2856"/>
        <w:gridCol w:w="1516"/>
        <w:gridCol w:w="1656"/>
      </w:tblGrid>
      <w:tr w:rsidR="00E12B50" w:rsidRPr="00E12B50" w:rsidTr="00E12B50">
        <w:trPr>
          <w:trHeight w:val="300"/>
        </w:trPr>
        <w:tc>
          <w:tcPr>
            <w:tcW w:w="2856" w:type="dxa"/>
            <w:tcBorders>
              <w:top w:val="nil"/>
              <w:left w:val="nil"/>
              <w:bottom w:val="nil"/>
              <w:right w:val="nil"/>
            </w:tcBorders>
            <w:shd w:val="clear" w:color="auto" w:fill="auto"/>
            <w:noWrap/>
            <w:vAlign w:val="bottom"/>
            <w:hideMark/>
          </w:tcPr>
          <w:p w:rsidR="00E12B50" w:rsidRPr="00E12B50" w:rsidRDefault="00E12B50" w:rsidP="00E12B50">
            <w:pPr>
              <w:rPr>
                <w:rFonts w:ascii="Lucida Bright" w:hAnsi="Lucida Bright" w:cs="Calibri"/>
                <w:b/>
                <w:bCs/>
                <w:color w:val="000000"/>
                <w:sz w:val="18"/>
                <w:szCs w:val="18"/>
                <w:lang w:val="es-ES"/>
              </w:rPr>
            </w:pPr>
            <w:r w:rsidRPr="00E12B50">
              <w:rPr>
                <w:rFonts w:ascii="Lucida Bright" w:hAnsi="Lucida Bright" w:cs="Calibri"/>
                <w:b/>
                <w:bCs/>
                <w:color w:val="000000"/>
                <w:sz w:val="18"/>
                <w:szCs w:val="18"/>
                <w:lang w:val="es-ES"/>
              </w:rPr>
              <w:t>Saldo a 31/12/2022</w:t>
            </w:r>
          </w:p>
        </w:tc>
        <w:tc>
          <w:tcPr>
            <w:tcW w:w="1516" w:type="dxa"/>
            <w:tcBorders>
              <w:top w:val="nil"/>
              <w:left w:val="nil"/>
              <w:bottom w:val="nil"/>
              <w:right w:val="nil"/>
            </w:tcBorders>
            <w:shd w:val="clear" w:color="auto" w:fill="auto"/>
            <w:noWrap/>
            <w:vAlign w:val="bottom"/>
            <w:hideMark/>
          </w:tcPr>
          <w:p w:rsidR="00E12B50" w:rsidRPr="00E12B50" w:rsidRDefault="00E12B50" w:rsidP="00E12B50">
            <w:pPr>
              <w:rPr>
                <w:rFonts w:ascii="Calibri" w:hAnsi="Calibri" w:cs="Calibri"/>
                <w:color w:val="000000"/>
                <w:sz w:val="22"/>
                <w:szCs w:val="22"/>
                <w:lang w:val="es-ES"/>
              </w:rPr>
            </w:pPr>
          </w:p>
        </w:tc>
        <w:tc>
          <w:tcPr>
            <w:tcW w:w="1656" w:type="dxa"/>
            <w:tcBorders>
              <w:top w:val="nil"/>
              <w:left w:val="nil"/>
              <w:bottom w:val="nil"/>
              <w:right w:val="nil"/>
            </w:tcBorders>
            <w:shd w:val="clear" w:color="auto" w:fill="auto"/>
            <w:noWrap/>
            <w:vAlign w:val="bottom"/>
            <w:hideMark/>
          </w:tcPr>
          <w:p w:rsidR="00E12B50" w:rsidRPr="00E12B50" w:rsidRDefault="00E12B50" w:rsidP="00E12B50">
            <w:pPr>
              <w:jc w:val="right"/>
              <w:rPr>
                <w:rFonts w:ascii="Lucida Bright" w:hAnsi="Lucida Bright" w:cs="Calibri"/>
                <w:b/>
                <w:bCs/>
                <w:color w:val="000000"/>
                <w:sz w:val="18"/>
                <w:szCs w:val="18"/>
                <w:lang w:val="es-ES"/>
              </w:rPr>
            </w:pPr>
            <w:r w:rsidRPr="00E12B50">
              <w:rPr>
                <w:rFonts w:ascii="Lucida Bright" w:hAnsi="Lucida Bright" w:cs="Calibri"/>
                <w:b/>
                <w:bCs/>
                <w:color w:val="000000"/>
                <w:sz w:val="18"/>
                <w:szCs w:val="18"/>
                <w:lang w:val="es-ES"/>
              </w:rPr>
              <w:t xml:space="preserve">892.211,33  </w:t>
            </w:r>
          </w:p>
        </w:tc>
      </w:tr>
      <w:tr w:rsidR="00E12B50" w:rsidRPr="00E12B50" w:rsidTr="00E12B50">
        <w:trPr>
          <w:trHeight w:val="300"/>
        </w:trPr>
        <w:tc>
          <w:tcPr>
            <w:tcW w:w="4372" w:type="dxa"/>
            <w:gridSpan w:val="2"/>
            <w:tcBorders>
              <w:top w:val="nil"/>
              <w:left w:val="nil"/>
              <w:bottom w:val="nil"/>
              <w:right w:val="nil"/>
            </w:tcBorders>
            <w:shd w:val="clear" w:color="auto" w:fill="auto"/>
            <w:noWrap/>
            <w:vAlign w:val="bottom"/>
            <w:hideMark/>
          </w:tcPr>
          <w:p w:rsidR="00E12B50" w:rsidRPr="00E12B50" w:rsidRDefault="00E12B50" w:rsidP="00E12B50">
            <w:pPr>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Reclasificaciones de inmovilizado en curso</w:t>
            </w:r>
          </w:p>
        </w:tc>
        <w:tc>
          <w:tcPr>
            <w:tcW w:w="1656" w:type="dxa"/>
            <w:tcBorders>
              <w:top w:val="nil"/>
              <w:left w:val="nil"/>
              <w:bottom w:val="nil"/>
              <w:right w:val="nil"/>
            </w:tcBorders>
            <w:shd w:val="clear" w:color="auto" w:fill="auto"/>
            <w:noWrap/>
            <w:vAlign w:val="bottom"/>
            <w:hideMark/>
          </w:tcPr>
          <w:p w:rsidR="00E12B50" w:rsidRPr="00E12B50" w:rsidRDefault="00E12B50" w:rsidP="00E12B50">
            <w:pPr>
              <w:jc w:val="right"/>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xml:space="preserve">359.952,03  </w:t>
            </w:r>
          </w:p>
        </w:tc>
      </w:tr>
      <w:tr w:rsidR="00E12B50" w:rsidRPr="00E12B50" w:rsidTr="00E12B50">
        <w:trPr>
          <w:trHeight w:val="300"/>
        </w:trPr>
        <w:tc>
          <w:tcPr>
            <w:tcW w:w="4372" w:type="dxa"/>
            <w:gridSpan w:val="2"/>
            <w:tcBorders>
              <w:top w:val="nil"/>
              <w:left w:val="nil"/>
              <w:bottom w:val="nil"/>
              <w:right w:val="nil"/>
            </w:tcBorders>
            <w:shd w:val="clear" w:color="auto" w:fill="auto"/>
            <w:noWrap/>
            <w:vAlign w:val="bottom"/>
            <w:hideMark/>
          </w:tcPr>
          <w:p w:rsidR="00E12B50" w:rsidRPr="00E12B50" w:rsidRDefault="00E12B50" w:rsidP="00E12B50">
            <w:pPr>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Reclasificaciones a gastos</w:t>
            </w:r>
          </w:p>
        </w:tc>
        <w:tc>
          <w:tcPr>
            <w:tcW w:w="1656" w:type="dxa"/>
            <w:tcBorders>
              <w:top w:val="nil"/>
              <w:left w:val="nil"/>
              <w:bottom w:val="nil"/>
              <w:right w:val="nil"/>
            </w:tcBorders>
            <w:shd w:val="clear" w:color="auto" w:fill="auto"/>
            <w:noWrap/>
            <w:vAlign w:val="bottom"/>
            <w:hideMark/>
          </w:tcPr>
          <w:p w:rsidR="00E12B50" w:rsidRPr="00E12B50" w:rsidRDefault="00E12B50" w:rsidP="00E12B50">
            <w:pPr>
              <w:jc w:val="right"/>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xml:space="preserve">(0,26)  </w:t>
            </w:r>
          </w:p>
        </w:tc>
      </w:tr>
      <w:tr w:rsidR="00E12B50" w:rsidRPr="00E12B50" w:rsidTr="00E12B50">
        <w:trPr>
          <w:trHeight w:val="300"/>
        </w:trPr>
        <w:tc>
          <w:tcPr>
            <w:tcW w:w="2856" w:type="dxa"/>
            <w:tcBorders>
              <w:top w:val="nil"/>
              <w:left w:val="nil"/>
              <w:bottom w:val="nil"/>
              <w:right w:val="nil"/>
            </w:tcBorders>
            <w:shd w:val="clear" w:color="auto" w:fill="auto"/>
            <w:noWrap/>
            <w:vAlign w:val="bottom"/>
            <w:hideMark/>
          </w:tcPr>
          <w:p w:rsidR="00E12B50" w:rsidRPr="00E12B50" w:rsidRDefault="00E12B50" w:rsidP="00E12B50">
            <w:pPr>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xml:space="preserve">(-) Retiros y bajas </w:t>
            </w:r>
          </w:p>
        </w:tc>
        <w:tc>
          <w:tcPr>
            <w:tcW w:w="1516" w:type="dxa"/>
            <w:tcBorders>
              <w:top w:val="nil"/>
              <w:left w:val="nil"/>
              <w:bottom w:val="nil"/>
              <w:right w:val="nil"/>
            </w:tcBorders>
            <w:shd w:val="clear" w:color="auto" w:fill="auto"/>
            <w:noWrap/>
            <w:vAlign w:val="bottom"/>
            <w:hideMark/>
          </w:tcPr>
          <w:p w:rsidR="00E12B50" w:rsidRPr="00E12B50" w:rsidRDefault="00E12B50" w:rsidP="00E12B50">
            <w:pPr>
              <w:rPr>
                <w:rFonts w:ascii="Calibri" w:hAnsi="Calibri" w:cs="Calibri"/>
                <w:color w:val="000000"/>
                <w:sz w:val="22"/>
                <w:szCs w:val="22"/>
                <w:lang w:val="es-ES"/>
              </w:rPr>
            </w:pPr>
          </w:p>
        </w:tc>
        <w:tc>
          <w:tcPr>
            <w:tcW w:w="1656" w:type="dxa"/>
            <w:tcBorders>
              <w:top w:val="nil"/>
              <w:left w:val="nil"/>
              <w:bottom w:val="nil"/>
              <w:right w:val="nil"/>
            </w:tcBorders>
            <w:shd w:val="clear" w:color="auto" w:fill="auto"/>
            <w:noWrap/>
            <w:vAlign w:val="bottom"/>
            <w:hideMark/>
          </w:tcPr>
          <w:p w:rsidR="00E12B50" w:rsidRPr="00E12B50" w:rsidRDefault="00E12B50" w:rsidP="00E12B50">
            <w:pPr>
              <w:jc w:val="right"/>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xml:space="preserve">(2.054.486,07)  </w:t>
            </w:r>
          </w:p>
        </w:tc>
      </w:tr>
      <w:tr w:rsidR="00E12B50" w:rsidRPr="00E12B50" w:rsidTr="00E12B50">
        <w:trPr>
          <w:trHeight w:val="300"/>
        </w:trPr>
        <w:tc>
          <w:tcPr>
            <w:tcW w:w="2856" w:type="dxa"/>
            <w:tcBorders>
              <w:top w:val="nil"/>
              <w:left w:val="nil"/>
              <w:bottom w:val="nil"/>
              <w:right w:val="nil"/>
            </w:tcBorders>
            <w:shd w:val="clear" w:color="auto" w:fill="auto"/>
            <w:noWrap/>
            <w:vAlign w:val="bottom"/>
            <w:hideMark/>
          </w:tcPr>
          <w:p w:rsidR="00E12B50" w:rsidRPr="00E12B50" w:rsidRDefault="00E12B50" w:rsidP="00E12B50">
            <w:pPr>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Amortización del ejercicio</w:t>
            </w:r>
          </w:p>
        </w:tc>
        <w:tc>
          <w:tcPr>
            <w:tcW w:w="1516" w:type="dxa"/>
            <w:tcBorders>
              <w:top w:val="nil"/>
              <w:left w:val="nil"/>
              <w:bottom w:val="nil"/>
              <w:right w:val="nil"/>
            </w:tcBorders>
            <w:shd w:val="clear" w:color="auto" w:fill="auto"/>
            <w:noWrap/>
            <w:vAlign w:val="bottom"/>
            <w:hideMark/>
          </w:tcPr>
          <w:p w:rsidR="00E12B50" w:rsidRPr="00E12B50" w:rsidRDefault="00E12B50" w:rsidP="00E12B50">
            <w:pPr>
              <w:rPr>
                <w:rFonts w:ascii="Calibri" w:hAnsi="Calibri" w:cs="Calibri"/>
                <w:color w:val="000000"/>
                <w:sz w:val="22"/>
                <w:szCs w:val="22"/>
                <w:lang w:val="es-ES"/>
              </w:rPr>
            </w:pPr>
          </w:p>
        </w:tc>
        <w:tc>
          <w:tcPr>
            <w:tcW w:w="1656" w:type="dxa"/>
            <w:tcBorders>
              <w:top w:val="nil"/>
              <w:left w:val="nil"/>
              <w:bottom w:val="nil"/>
              <w:right w:val="nil"/>
            </w:tcBorders>
            <w:shd w:val="clear" w:color="auto" w:fill="auto"/>
            <w:noWrap/>
            <w:vAlign w:val="bottom"/>
            <w:hideMark/>
          </w:tcPr>
          <w:p w:rsidR="00E12B50" w:rsidRPr="00E12B50" w:rsidRDefault="00E12B50" w:rsidP="00E12B50">
            <w:pPr>
              <w:jc w:val="right"/>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xml:space="preserve">(519.548,51)  </w:t>
            </w:r>
          </w:p>
        </w:tc>
      </w:tr>
      <w:tr w:rsidR="00E12B50" w:rsidRPr="00E12B50" w:rsidTr="00E12B50">
        <w:trPr>
          <w:trHeight w:val="300"/>
        </w:trPr>
        <w:tc>
          <w:tcPr>
            <w:tcW w:w="4372" w:type="dxa"/>
            <w:gridSpan w:val="2"/>
            <w:tcBorders>
              <w:top w:val="nil"/>
              <w:left w:val="nil"/>
              <w:bottom w:val="nil"/>
              <w:right w:val="nil"/>
            </w:tcBorders>
            <w:shd w:val="clear" w:color="auto" w:fill="auto"/>
            <w:noWrap/>
            <w:vAlign w:val="bottom"/>
            <w:hideMark/>
          </w:tcPr>
          <w:p w:rsidR="00E12B50" w:rsidRPr="00E12B50" w:rsidRDefault="00E12B50" w:rsidP="00E12B50">
            <w:pPr>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Amortización acda de retiros y bajas</w:t>
            </w:r>
          </w:p>
        </w:tc>
        <w:tc>
          <w:tcPr>
            <w:tcW w:w="1656" w:type="dxa"/>
            <w:tcBorders>
              <w:top w:val="nil"/>
              <w:left w:val="nil"/>
              <w:bottom w:val="nil"/>
              <w:right w:val="nil"/>
            </w:tcBorders>
            <w:shd w:val="clear" w:color="auto" w:fill="auto"/>
            <w:noWrap/>
            <w:vAlign w:val="bottom"/>
            <w:hideMark/>
          </w:tcPr>
          <w:p w:rsidR="00E12B50" w:rsidRPr="00E12B50" w:rsidRDefault="00E12B50" w:rsidP="00E12B50">
            <w:pPr>
              <w:jc w:val="right"/>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xml:space="preserve">2.054.486,07  </w:t>
            </w:r>
          </w:p>
        </w:tc>
      </w:tr>
      <w:tr w:rsidR="00E12B50" w:rsidRPr="00E12B50" w:rsidTr="00E12B50">
        <w:trPr>
          <w:trHeight w:val="300"/>
        </w:trPr>
        <w:tc>
          <w:tcPr>
            <w:tcW w:w="4372" w:type="dxa"/>
            <w:gridSpan w:val="2"/>
            <w:tcBorders>
              <w:top w:val="nil"/>
              <w:left w:val="nil"/>
              <w:bottom w:val="nil"/>
              <w:right w:val="nil"/>
            </w:tcBorders>
            <w:shd w:val="clear" w:color="auto" w:fill="auto"/>
            <w:noWrap/>
            <w:vAlign w:val="bottom"/>
            <w:hideMark/>
          </w:tcPr>
          <w:p w:rsidR="00E12B50" w:rsidRPr="00E12B50" w:rsidRDefault="00E12B50" w:rsidP="00E12B50">
            <w:pPr>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Reclasificaciones de la amortización acda</w:t>
            </w:r>
          </w:p>
        </w:tc>
        <w:tc>
          <w:tcPr>
            <w:tcW w:w="1656" w:type="dxa"/>
            <w:tcBorders>
              <w:top w:val="nil"/>
              <w:left w:val="nil"/>
              <w:bottom w:val="nil"/>
              <w:right w:val="nil"/>
            </w:tcBorders>
            <w:shd w:val="clear" w:color="auto" w:fill="auto"/>
            <w:noWrap/>
            <w:vAlign w:val="bottom"/>
            <w:hideMark/>
          </w:tcPr>
          <w:p w:rsidR="00E12B50" w:rsidRPr="00E12B50" w:rsidRDefault="00E12B50" w:rsidP="00E12B50">
            <w:pPr>
              <w:jc w:val="right"/>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xml:space="preserve">0,14  </w:t>
            </w:r>
          </w:p>
        </w:tc>
      </w:tr>
      <w:tr w:rsidR="00E12B50" w:rsidRPr="00E12B50" w:rsidTr="00E12B50">
        <w:trPr>
          <w:trHeight w:val="300"/>
        </w:trPr>
        <w:tc>
          <w:tcPr>
            <w:tcW w:w="2856" w:type="dxa"/>
            <w:tcBorders>
              <w:top w:val="nil"/>
              <w:left w:val="nil"/>
              <w:bottom w:val="nil"/>
              <w:right w:val="nil"/>
            </w:tcBorders>
            <w:shd w:val="clear" w:color="auto" w:fill="auto"/>
            <w:noWrap/>
            <w:vAlign w:val="bottom"/>
            <w:hideMark/>
          </w:tcPr>
          <w:p w:rsidR="00E12B50" w:rsidRPr="00E12B50" w:rsidRDefault="00E12B50" w:rsidP="00E12B50">
            <w:pPr>
              <w:rPr>
                <w:rFonts w:ascii="Lucida Bright" w:hAnsi="Lucida Bright" w:cs="Calibri"/>
                <w:b/>
                <w:bCs/>
                <w:color w:val="000000"/>
                <w:sz w:val="18"/>
                <w:szCs w:val="18"/>
                <w:lang w:val="es-ES"/>
              </w:rPr>
            </w:pPr>
            <w:r w:rsidRPr="00E12B50">
              <w:rPr>
                <w:rFonts w:ascii="Lucida Bright" w:hAnsi="Lucida Bright" w:cs="Calibri"/>
                <w:b/>
                <w:bCs/>
                <w:color w:val="000000"/>
                <w:sz w:val="18"/>
                <w:szCs w:val="18"/>
                <w:lang w:val="es-ES"/>
              </w:rPr>
              <w:t>Saldo final a 31/12/2023</w:t>
            </w:r>
          </w:p>
        </w:tc>
        <w:tc>
          <w:tcPr>
            <w:tcW w:w="1516" w:type="dxa"/>
            <w:tcBorders>
              <w:top w:val="nil"/>
              <w:left w:val="nil"/>
              <w:bottom w:val="nil"/>
              <w:right w:val="nil"/>
            </w:tcBorders>
            <w:shd w:val="clear" w:color="auto" w:fill="auto"/>
            <w:noWrap/>
            <w:vAlign w:val="bottom"/>
            <w:hideMark/>
          </w:tcPr>
          <w:p w:rsidR="00E12B50" w:rsidRPr="00E12B50" w:rsidRDefault="00E12B50" w:rsidP="00E12B50">
            <w:pPr>
              <w:rPr>
                <w:rFonts w:ascii="Calibri" w:hAnsi="Calibri" w:cs="Calibri"/>
                <w:color w:val="000000"/>
                <w:sz w:val="22"/>
                <w:szCs w:val="22"/>
                <w:lang w:val="es-ES"/>
              </w:rPr>
            </w:pPr>
          </w:p>
        </w:tc>
        <w:tc>
          <w:tcPr>
            <w:tcW w:w="1656" w:type="dxa"/>
            <w:tcBorders>
              <w:top w:val="nil"/>
              <w:left w:val="nil"/>
              <w:bottom w:val="nil"/>
              <w:right w:val="nil"/>
            </w:tcBorders>
            <w:shd w:val="clear" w:color="auto" w:fill="auto"/>
            <w:noWrap/>
            <w:vAlign w:val="bottom"/>
            <w:hideMark/>
          </w:tcPr>
          <w:p w:rsidR="00E12B50" w:rsidRPr="00E12B50" w:rsidRDefault="00E12B50" w:rsidP="00E12B50">
            <w:pPr>
              <w:jc w:val="right"/>
              <w:rPr>
                <w:rFonts w:ascii="Lucida Bright" w:hAnsi="Lucida Bright" w:cs="Calibri"/>
                <w:b/>
                <w:bCs/>
                <w:color w:val="000000"/>
                <w:sz w:val="18"/>
                <w:szCs w:val="18"/>
                <w:lang w:val="es-ES"/>
              </w:rPr>
            </w:pPr>
            <w:r w:rsidRPr="00E12B50">
              <w:rPr>
                <w:rFonts w:ascii="Lucida Bright" w:hAnsi="Lucida Bright" w:cs="Calibri"/>
                <w:b/>
                <w:bCs/>
                <w:color w:val="000000"/>
                <w:sz w:val="18"/>
                <w:szCs w:val="18"/>
                <w:lang w:val="es-ES"/>
              </w:rPr>
              <w:t xml:space="preserve">732.614,73  </w:t>
            </w:r>
          </w:p>
        </w:tc>
      </w:tr>
      <w:tr w:rsidR="00E12B50" w:rsidRPr="00E12B50" w:rsidTr="00E12B50">
        <w:trPr>
          <w:trHeight w:val="300"/>
        </w:trPr>
        <w:tc>
          <w:tcPr>
            <w:tcW w:w="4372" w:type="dxa"/>
            <w:gridSpan w:val="2"/>
            <w:tcBorders>
              <w:top w:val="nil"/>
              <w:left w:val="nil"/>
              <w:bottom w:val="nil"/>
              <w:right w:val="nil"/>
            </w:tcBorders>
            <w:shd w:val="clear" w:color="auto" w:fill="auto"/>
            <w:noWrap/>
            <w:vAlign w:val="bottom"/>
            <w:hideMark/>
          </w:tcPr>
          <w:p w:rsidR="00E12B50" w:rsidRPr="00E12B50" w:rsidRDefault="00E12B50" w:rsidP="00E12B50">
            <w:pPr>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Reclasificaciones de inmovilizado en curso</w:t>
            </w:r>
          </w:p>
        </w:tc>
        <w:tc>
          <w:tcPr>
            <w:tcW w:w="1656" w:type="dxa"/>
            <w:tcBorders>
              <w:top w:val="nil"/>
              <w:left w:val="nil"/>
              <w:bottom w:val="nil"/>
              <w:right w:val="nil"/>
            </w:tcBorders>
            <w:shd w:val="clear" w:color="auto" w:fill="auto"/>
            <w:noWrap/>
            <w:vAlign w:val="bottom"/>
            <w:hideMark/>
          </w:tcPr>
          <w:p w:rsidR="00E12B50" w:rsidRPr="00E12B50" w:rsidRDefault="00E12B50" w:rsidP="00E12B50">
            <w:pPr>
              <w:jc w:val="right"/>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xml:space="preserve">4.492.418,63  </w:t>
            </w:r>
          </w:p>
        </w:tc>
      </w:tr>
      <w:tr w:rsidR="00E12B50" w:rsidRPr="00E12B50" w:rsidTr="00E12B50">
        <w:trPr>
          <w:trHeight w:val="300"/>
        </w:trPr>
        <w:tc>
          <w:tcPr>
            <w:tcW w:w="4372" w:type="dxa"/>
            <w:gridSpan w:val="2"/>
            <w:tcBorders>
              <w:top w:val="nil"/>
              <w:left w:val="nil"/>
              <w:bottom w:val="nil"/>
              <w:right w:val="nil"/>
            </w:tcBorders>
            <w:shd w:val="clear" w:color="auto" w:fill="auto"/>
            <w:noWrap/>
            <w:vAlign w:val="bottom"/>
            <w:hideMark/>
          </w:tcPr>
          <w:p w:rsidR="00E12B50" w:rsidRPr="00E12B50" w:rsidRDefault="00E12B50" w:rsidP="00E12B50">
            <w:pPr>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Amortización del ejercicio y anteriores</w:t>
            </w:r>
          </w:p>
        </w:tc>
        <w:tc>
          <w:tcPr>
            <w:tcW w:w="1656" w:type="dxa"/>
            <w:tcBorders>
              <w:top w:val="nil"/>
              <w:left w:val="nil"/>
              <w:bottom w:val="nil"/>
              <w:right w:val="nil"/>
            </w:tcBorders>
            <w:shd w:val="clear" w:color="auto" w:fill="auto"/>
            <w:noWrap/>
            <w:vAlign w:val="bottom"/>
            <w:hideMark/>
          </w:tcPr>
          <w:p w:rsidR="00E12B50" w:rsidRPr="00E12B50" w:rsidRDefault="00E12B50" w:rsidP="00E12B50">
            <w:pPr>
              <w:jc w:val="right"/>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xml:space="preserve">(1.092.755,42)  </w:t>
            </w:r>
          </w:p>
        </w:tc>
      </w:tr>
      <w:tr w:rsidR="00E12B50" w:rsidRPr="00E12B50" w:rsidTr="00E12B50">
        <w:trPr>
          <w:trHeight w:val="300"/>
        </w:trPr>
        <w:tc>
          <w:tcPr>
            <w:tcW w:w="2856" w:type="dxa"/>
            <w:tcBorders>
              <w:top w:val="nil"/>
              <w:left w:val="nil"/>
              <w:bottom w:val="nil"/>
              <w:right w:val="nil"/>
            </w:tcBorders>
            <w:shd w:val="clear" w:color="auto" w:fill="auto"/>
            <w:noWrap/>
            <w:vAlign w:val="bottom"/>
            <w:hideMark/>
          </w:tcPr>
          <w:p w:rsidR="00E12B50" w:rsidRPr="00E12B50" w:rsidRDefault="00E12B50" w:rsidP="00E12B50">
            <w:pPr>
              <w:rPr>
                <w:rFonts w:ascii="Lucida Bright" w:hAnsi="Lucida Bright" w:cs="Calibri"/>
                <w:b/>
                <w:bCs/>
                <w:color w:val="000000"/>
                <w:sz w:val="18"/>
                <w:szCs w:val="18"/>
                <w:lang w:val="es-ES"/>
              </w:rPr>
            </w:pPr>
            <w:r w:rsidRPr="00E12B50">
              <w:rPr>
                <w:rFonts w:ascii="Lucida Bright" w:hAnsi="Lucida Bright" w:cs="Calibri"/>
                <w:b/>
                <w:bCs/>
                <w:color w:val="000000"/>
                <w:sz w:val="18"/>
                <w:szCs w:val="18"/>
                <w:lang w:val="es-ES"/>
              </w:rPr>
              <w:t>Saldo inicial a 01/01/2024</w:t>
            </w:r>
          </w:p>
        </w:tc>
        <w:tc>
          <w:tcPr>
            <w:tcW w:w="1516" w:type="dxa"/>
            <w:tcBorders>
              <w:top w:val="nil"/>
              <w:left w:val="nil"/>
              <w:bottom w:val="nil"/>
              <w:right w:val="nil"/>
            </w:tcBorders>
            <w:shd w:val="clear" w:color="auto" w:fill="auto"/>
            <w:noWrap/>
            <w:vAlign w:val="bottom"/>
            <w:hideMark/>
          </w:tcPr>
          <w:p w:rsidR="00E12B50" w:rsidRPr="00E12B50" w:rsidRDefault="00E12B50" w:rsidP="00E12B50">
            <w:pPr>
              <w:rPr>
                <w:rFonts w:ascii="Calibri" w:hAnsi="Calibri" w:cs="Calibri"/>
                <w:color w:val="000000"/>
                <w:sz w:val="22"/>
                <w:szCs w:val="22"/>
                <w:lang w:val="es-ES"/>
              </w:rPr>
            </w:pPr>
          </w:p>
        </w:tc>
        <w:tc>
          <w:tcPr>
            <w:tcW w:w="1656" w:type="dxa"/>
            <w:tcBorders>
              <w:top w:val="nil"/>
              <w:left w:val="nil"/>
              <w:bottom w:val="nil"/>
              <w:right w:val="nil"/>
            </w:tcBorders>
            <w:shd w:val="clear" w:color="auto" w:fill="auto"/>
            <w:noWrap/>
            <w:vAlign w:val="bottom"/>
            <w:hideMark/>
          </w:tcPr>
          <w:p w:rsidR="00E12B50" w:rsidRPr="00E12B50" w:rsidRDefault="00E12B50" w:rsidP="00E12B50">
            <w:pPr>
              <w:jc w:val="right"/>
              <w:rPr>
                <w:rFonts w:ascii="Lucida Bright" w:hAnsi="Lucida Bright" w:cs="Calibri"/>
                <w:b/>
                <w:bCs/>
                <w:color w:val="000000"/>
                <w:sz w:val="18"/>
                <w:szCs w:val="18"/>
                <w:lang w:val="es-ES"/>
              </w:rPr>
            </w:pPr>
            <w:r w:rsidRPr="00E12B50">
              <w:rPr>
                <w:rFonts w:ascii="Lucida Bright" w:hAnsi="Lucida Bright" w:cs="Calibri"/>
                <w:b/>
                <w:bCs/>
                <w:color w:val="000000"/>
                <w:sz w:val="18"/>
                <w:szCs w:val="18"/>
                <w:lang w:val="es-ES"/>
              </w:rPr>
              <w:t xml:space="preserve">4.132.277,94  </w:t>
            </w:r>
          </w:p>
        </w:tc>
      </w:tr>
      <w:tr w:rsidR="00E12B50" w:rsidRPr="00E12B50" w:rsidTr="00E12B50">
        <w:trPr>
          <w:trHeight w:val="300"/>
        </w:trPr>
        <w:tc>
          <w:tcPr>
            <w:tcW w:w="4372" w:type="dxa"/>
            <w:gridSpan w:val="2"/>
            <w:tcBorders>
              <w:top w:val="nil"/>
              <w:left w:val="nil"/>
              <w:bottom w:val="nil"/>
              <w:right w:val="nil"/>
            </w:tcBorders>
            <w:shd w:val="clear" w:color="auto" w:fill="auto"/>
            <w:noWrap/>
            <w:vAlign w:val="bottom"/>
            <w:hideMark/>
          </w:tcPr>
          <w:p w:rsidR="00E12B50" w:rsidRPr="00E12B50" w:rsidRDefault="00E12B50" w:rsidP="00E12B50">
            <w:pPr>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Reclasificaciones de inmovilizado en curso</w:t>
            </w:r>
          </w:p>
        </w:tc>
        <w:tc>
          <w:tcPr>
            <w:tcW w:w="1656" w:type="dxa"/>
            <w:tcBorders>
              <w:top w:val="nil"/>
              <w:left w:val="nil"/>
              <w:bottom w:val="nil"/>
              <w:right w:val="nil"/>
            </w:tcBorders>
            <w:shd w:val="clear" w:color="auto" w:fill="auto"/>
            <w:noWrap/>
            <w:vAlign w:val="bottom"/>
            <w:hideMark/>
          </w:tcPr>
          <w:p w:rsidR="00E12B50" w:rsidRPr="00E12B50" w:rsidRDefault="00E12B50" w:rsidP="00E12B50">
            <w:pPr>
              <w:jc w:val="right"/>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xml:space="preserve">2.564.903,11  </w:t>
            </w:r>
          </w:p>
        </w:tc>
      </w:tr>
      <w:tr w:rsidR="00E12B50" w:rsidRPr="00E12B50" w:rsidTr="00E12B50">
        <w:trPr>
          <w:trHeight w:val="300"/>
        </w:trPr>
        <w:tc>
          <w:tcPr>
            <w:tcW w:w="2856" w:type="dxa"/>
            <w:tcBorders>
              <w:top w:val="nil"/>
              <w:left w:val="nil"/>
              <w:bottom w:val="nil"/>
              <w:right w:val="nil"/>
            </w:tcBorders>
            <w:shd w:val="clear" w:color="auto" w:fill="auto"/>
            <w:noWrap/>
            <w:vAlign w:val="bottom"/>
            <w:hideMark/>
          </w:tcPr>
          <w:p w:rsidR="00E12B50" w:rsidRPr="00E12B50" w:rsidRDefault="00E12B50" w:rsidP="00E12B50">
            <w:pPr>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Amortización del ejercicio</w:t>
            </w:r>
          </w:p>
        </w:tc>
        <w:tc>
          <w:tcPr>
            <w:tcW w:w="1516" w:type="dxa"/>
            <w:tcBorders>
              <w:top w:val="nil"/>
              <w:left w:val="nil"/>
              <w:bottom w:val="nil"/>
              <w:right w:val="nil"/>
            </w:tcBorders>
            <w:shd w:val="clear" w:color="auto" w:fill="auto"/>
            <w:noWrap/>
            <w:vAlign w:val="bottom"/>
            <w:hideMark/>
          </w:tcPr>
          <w:p w:rsidR="00E12B50" w:rsidRPr="00E12B50" w:rsidRDefault="00E12B50" w:rsidP="00E12B50">
            <w:pPr>
              <w:rPr>
                <w:rFonts w:ascii="Calibri" w:hAnsi="Calibri" w:cs="Calibri"/>
                <w:color w:val="000000"/>
                <w:sz w:val="22"/>
                <w:szCs w:val="22"/>
                <w:lang w:val="es-ES"/>
              </w:rPr>
            </w:pPr>
          </w:p>
        </w:tc>
        <w:tc>
          <w:tcPr>
            <w:tcW w:w="1656" w:type="dxa"/>
            <w:tcBorders>
              <w:top w:val="nil"/>
              <w:left w:val="nil"/>
              <w:bottom w:val="nil"/>
              <w:right w:val="nil"/>
            </w:tcBorders>
            <w:shd w:val="clear" w:color="auto" w:fill="auto"/>
            <w:noWrap/>
            <w:vAlign w:val="bottom"/>
            <w:hideMark/>
          </w:tcPr>
          <w:p w:rsidR="00E12B50" w:rsidRPr="00E12B50" w:rsidRDefault="00E12B50" w:rsidP="00E12B50">
            <w:pPr>
              <w:jc w:val="right"/>
              <w:rPr>
                <w:rFonts w:ascii="Lucida Bright" w:hAnsi="Lucida Bright" w:cs="Calibri"/>
                <w:color w:val="000000"/>
                <w:sz w:val="18"/>
                <w:szCs w:val="18"/>
                <w:lang w:val="es-ES"/>
              </w:rPr>
            </w:pPr>
            <w:r w:rsidRPr="00E12B50">
              <w:rPr>
                <w:rFonts w:ascii="Lucida Bright" w:hAnsi="Lucida Bright" w:cs="Calibri"/>
                <w:color w:val="000000"/>
                <w:sz w:val="18"/>
                <w:szCs w:val="18"/>
                <w:lang w:val="es-ES"/>
              </w:rPr>
              <w:t xml:space="preserve">(1.233.701,24)  </w:t>
            </w:r>
          </w:p>
        </w:tc>
      </w:tr>
      <w:tr w:rsidR="00E12B50" w:rsidRPr="00E12B50" w:rsidTr="00E12B50">
        <w:trPr>
          <w:trHeight w:val="300"/>
        </w:trPr>
        <w:tc>
          <w:tcPr>
            <w:tcW w:w="2856" w:type="dxa"/>
            <w:tcBorders>
              <w:top w:val="nil"/>
              <w:left w:val="nil"/>
              <w:bottom w:val="nil"/>
              <w:right w:val="nil"/>
            </w:tcBorders>
            <w:shd w:val="clear" w:color="auto" w:fill="auto"/>
            <w:noWrap/>
            <w:vAlign w:val="bottom"/>
            <w:hideMark/>
          </w:tcPr>
          <w:p w:rsidR="00E12B50" w:rsidRPr="00E12B50" w:rsidRDefault="00E12B50" w:rsidP="00E12B50">
            <w:pPr>
              <w:rPr>
                <w:rFonts w:ascii="Lucida Bright" w:hAnsi="Lucida Bright" w:cs="Calibri"/>
                <w:b/>
                <w:bCs/>
                <w:color w:val="000000"/>
                <w:sz w:val="18"/>
                <w:szCs w:val="18"/>
                <w:lang w:val="es-ES"/>
              </w:rPr>
            </w:pPr>
            <w:r w:rsidRPr="00E12B50">
              <w:rPr>
                <w:rFonts w:ascii="Lucida Bright" w:hAnsi="Lucida Bright" w:cs="Calibri"/>
                <w:b/>
                <w:bCs/>
                <w:color w:val="000000"/>
                <w:sz w:val="18"/>
                <w:szCs w:val="18"/>
                <w:lang w:val="es-ES"/>
              </w:rPr>
              <w:t>Saldo final a 31/12/2024</w:t>
            </w:r>
          </w:p>
        </w:tc>
        <w:tc>
          <w:tcPr>
            <w:tcW w:w="1516" w:type="dxa"/>
            <w:tcBorders>
              <w:top w:val="nil"/>
              <w:left w:val="nil"/>
              <w:bottom w:val="nil"/>
              <w:right w:val="nil"/>
            </w:tcBorders>
            <w:shd w:val="clear" w:color="auto" w:fill="auto"/>
            <w:noWrap/>
            <w:vAlign w:val="bottom"/>
            <w:hideMark/>
          </w:tcPr>
          <w:p w:rsidR="00E12B50" w:rsidRPr="00E12B50" w:rsidRDefault="00E12B50" w:rsidP="00E12B50">
            <w:pPr>
              <w:rPr>
                <w:rFonts w:ascii="Calibri" w:hAnsi="Calibri" w:cs="Calibri"/>
                <w:color w:val="000000"/>
                <w:sz w:val="22"/>
                <w:szCs w:val="22"/>
                <w:lang w:val="es-ES"/>
              </w:rPr>
            </w:pPr>
          </w:p>
        </w:tc>
        <w:tc>
          <w:tcPr>
            <w:tcW w:w="1656" w:type="dxa"/>
            <w:tcBorders>
              <w:top w:val="nil"/>
              <w:left w:val="nil"/>
              <w:bottom w:val="nil"/>
              <w:right w:val="nil"/>
            </w:tcBorders>
            <w:shd w:val="clear" w:color="auto" w:fill="auto"/>
            <w:noWrap/>
            <w:vAlign w:val="bottom"/>
            <w:hideMark/>
          </w:tcPr>
          <w:p w:rsidR="00E12B50" w:rsidRPr="00E12B50" w:rsidRDefault="00E12B50" w:rsidP="00E12B50">
            <w:pPr>
              <w:jc w:val="right"/>
              <w:rPr>
                <w:rFonts w:ascii="Lucida Bright" w:hAnsi="Lucida Bright" w:cs="Calibri"/>
                <w:b/>
                <w:bCs/>
                <w:color w:val="000000"/>
                <w:sz w:val="18"/>
                <w:szCs w:val="18"/>
                <w:lang w:val="es-ES"/>
              </w:rPr>
            </w:pPr>
            <w:r w:rsidRPr="00E12B50">
              <w:rPr>
                <w:rFonts w:ascii="Lucida Bright" w:hAnsi="Lucida Bright" w:cs="Calibri"/>
                <w:b/>
                <w:bCs/>
                <w:color w:val="000000"/>
                <w:sz w:val="18"/>
                <w:szCs w:val="18"/>
                <w:lang w:val="es-ES"/>
              </w:rPr>
              <w:t xml:space="preserve">5.463.479,81  </w:t>
            </w:r>
          </w:p>
        </w:tc>
      </w:tr>
    </w:tbl>
    <w:p w:rsidR="009E6275" w:rsidRDefault="009E6275" w:rsidP="003E055E">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9E6275" w:rsidRDefault="009E6275" w:rsidP="003E055E">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6574F8" w:rsidRPr="009B0DDE" w:rsidRDefault="006574F8" w:rsidP="003E055E">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E928C6" w:rsidRDefault="00E521C2" w:rsidP="003E055E">
      <w:pPr>
        <w:pStyle w:val="Sangradetextonormal"/>
        <w:tabs>
          <w:tab w:val="clear" w:pos="8364"/>
          <w:tab w:val="center" w:pos="5671"/>
          <w:tab w:val="center" w:pos="7797"/>
        </w:tabs>
        <w:overflowPunct/>
        <w:autoSpaceDE/>
        <w:autoSpaceDN/>
        <w:adjustRightInd/>
        <w:textAlignment w:val="auto"/>
        <w:rPr>
          <w:rFonts w:ascii="NewBaskerville" w:hAnsi="NewBaskerville"/>
          <w:bCs/>
          <w:sz w:val="20"/>
        </w:rPr>
      </w:pPr>
      <w:r>
        <w:rPr>
          <w:rFonts w:ascii="NewBaskerville" w:hAnsi="NewBaskerville"/>
          <w:bCs/>
          <w:sz w:val="20"/>
        </w:rPr>
        <w:t>En el ejercicio 202</w:t>
      </w:r>
      <w:r w:rsidR="00E12B50">
        <w:rPr>
          <w:rFonts w:ascii="NewBaskerville" w:hAnsi="NewBaskerville"/>
          <w:bCs/>
          <w:sz w:val="20"/>
        </w:rPr>
        <w:t>4</w:t>
      </w:r>
      <w:r>
        <w:rPr>
          <w:rFonts w:ascii="NewBaskerville" w:hAnsi="NewBaskerville"/>
          <w:bCs/>
          <w:sz w:val="20"/>
        </w:rPr>
        <w:t xml:space="preserve"> </w:t>
      </w:r>
      <w:r w:rsidR="00E12B50">
        <w:rPr>
          <w:rFonts w:ascii="NewBaskerville" w:hAnsi="NewBaskerville"/>
          <w:bCs/>
          <w:sz w:val="20"/>
        </w:rPr>
        <w:t xml:space="preserve">no </w:t>
      </w:r>
      <w:r>
        <w:rPr>
          <w:rFonts w:ascii="NewBaskerville" w:hAnsi="NewBaskerville"/>
          <w:bCs/>
          <w:sz w:val="20"/>
        </w:rPr>
        <w:t>se han dado de baja</w:t>
      </w:r>
      <w:r w:rsidR="00E12B50">
        <w:rPr>
          <w:rFonts w:ascii="NewBaskerville" w:hAnsi="NewBaskerville"/>
          <w:bCs/>
          <w:sz w:val="20"/>
        </w:rPr>
        <w:t xml:space="preserve"> activos pertenecientes al inmovilizado intangible</w:t>
      </w:r>
      <w:r>
        <w:rPr>
          <w:rFonts w:ascii="NewBaskerville" w:hAnsi="NewBaskerville"/>
          <w:bCs/>
          <w:sz w:val="20"/>
        </w:rPr>
        <w:t>.</w:t>
      </w:r>
    </w:p>
    <w:p w:rsidR="00E521C2" w:rsidRDefault="00E521C2" w:rsidP="003E055E">
      <w:pPr>
        <w:pStyle w:val="Sangradetextonormal"/>
        <w:tabs>
          <w:tab w:val="clear" w:pos="8364"/>
          <w:tab w:val="center" w:pos="5671"/>
          <w:tab w:val="center" w:pos="7797"/>
        </w:tabs>
        <w:overflowPunct/>
        <w:autoSpaceDE/>
        <w:autoSpaceDN/>
        <w:adjustRightInd/>
        <w:textAlignment w:val="auto"/>
        <w:rPr>
          <w:rFonts w:ascii="NewBaskerville" w:hAnsi="NewBaskerville"/>
          <w:bCs/>
          <w:sz w:val="20"/>
        </w:rPr>
      </w:pPr>
    </w:p>
    <w:p w:rsidR="00381A73" w:rsidRPr="008D6C60" w:rsidRDefault="002C4355" w:rsidP="003E055E">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r w:rsidRPr="008D6C60">
        <w:rPr>
          <w:rFonts w:ascii="NewBaskerville" w:hAnsi="NewBaskerville"/>
          <w:sz w:val="20"/>
        </w:rPr>
        <w:t xml:space="preserve">Existen bienes </w:t>
      </w:r>
      <w:r w:rsidR="00E12B50">
        <w:rPr>
          <w:rFonts w:ascii="NewBaskerville" w:hAnsi="NewBaskerville"/>
          <w:sz w:val="20"/>
        </w:rPr>
        <w:t xml:space="preserve">en uso </w:t>
      </w:r>
      <w:r w:rsidRPr="008D6C60">
        <w:rPr>
          <w:rFonts w:ascii="NewBaskerville" w:hAnsi="NewBaskerville"/>
          <w:sz w:val="20"/>
        </w:rPr>
        <w:t>totalm</w:t>
      </w:r>
      <w:r w:rsidR="00160B53" w:rsidRPr="008D6C60">
        <w:rPr>
          <w:rFonts w:ascii="NewBaskerville" w:hAnsi="NewBaskerville"/>
          <w:sz w:val="20"/>
        </w:rPr>
        <w:t xml:space="preserve">ente amortizados por importe de </w:t>
      </w:r>
      <w:r w:rsidR="00E521C2">
        <w:rPr>
          <w:rFonts w:ascii="NewBaskerville" w:hAnsi="NewBaskerville"/>
          <w:sz w:val="20"/>
        </w:rPr>
        <w:t>1</w:t>
      </w:r>
      <w:r w:rsidR="00321ECE" w:rsidRPr="008D6C60">
        <w:rPr>
          <w:rFonts w:ascii="NewBaskerville" w:hAnsi="NewBaskerville"/>
          <w:sz w:val="20"/>
        </w:rPr>
        <w:t>.</w:t>
      </w:r>
      <w:r w:rsidR="00E12B50">
        <w:rPr>
          <w:rFonts w:ascii="NewBaskerville" w:hAnsi="NewBaskerville"/>
          <w:sz w:val="20"/>
        </w:rPr>
        <w:t>857</w:t>
      </w:r>
      <w:r w:rsidR="00321ECE" w:rsidRPr="008D6C60">
        <w:rPr>
          <w:rFonts w:ascii="NewBaskerville" w:hAnsi="NewBaskerville"/>
          <w:sz w:val="20"/>
        </w:rPr>
        <w:t>.</w:t>
      </w:r>
      <w:r w:rsidR="00E12B50">
        <w:rPr>
          <w:rFonts w:ascii="NewBaskerville" w:hAnsi="NewBaskerville"/>
          <w:sz w:val="20"/>
        </w:rPr>
        <w:t>043</w:t>
      </w:r>
      <w:r w:rsidR="00321ECE" w:rsidRPr="008D6C60">
        <w:rPr>
          <w:rFonts w:ascii="NewBaskerville" w:hAnsi="NewBaskerville"/>
          <w:sz w:val="20"/>
        </w:rPr>
        <w:t>,</w:t>
      </w:r>
      <w:r w:rsidR="00E12B50">
        <w:rPr>
          <w:rFonts w:ascii="NewBaskerville" w:hAnsi="NewBaskerville"/>
          <w:sz w:val="20"/>
        </w:rPr>
        <w:t>34</w:t>
      </w:r>
      <w:r w:rsidR="00321ECE" w:rsidRPr="008D6C60">
        <w:rPr>
          <w:rFonts w:ascii="NewBaskerville" w:hAnsi="NewBaskerville"/>
          <w:sz w:val="20"/>
        </w:rPr>
        <w:t xml:space="preserve"> </w:t>
      </w:r>
      <w:r w:rsidRPr="008D6C60">
        <w:rPr>
          <w:rFonts w:ascii="NewBaskerville" w:hAnsi="NewBaskerville"/>
          <w:sz w:val="20"/>
        </w:rPr>
        <w:t xml:space="preserve">euros. El ejercicio anterior los bienes totalmente amortizados ascendían a un total de </w:t>
      </w:r>
      <w:r w:rsidR="00E12B50">
        <w:rPr>
          <w:rFonts w:ascii="NewBaskerville" w:hAnsi="NewBaskerville"/>
          <w:sz w:val="20"/>
        </w:rPr>
        <w:t>1.482.641,81</w:t>
      </w:r>
      <w:r w:rsidR="00321ECE" w:rsidRPr="008D6C60">
        <w:rPr>
          <w:rFonts w:ascii="NewBaskerville" w:hAnsi="NewBaskerville"/>
          <w:sz w:val="20"/>
        </w:rPr>
        <w:t xml:space="preserve"> </w:t>
      </w:r>
      <w:r w:rsidR="00ED0577" w:rsidRPr="008D6C60">
        <w:rPr>
          <w:rFonts w:ascii="NewBaskerville" w:hAnsi="NewBaskerville"/>
          <w:sz w:val="20"/>
        </w:rPr>
        <w:t>euros</w:t>
      </w:r>
      <w:r w:rsidRPr="008D6C60">
        <w:rPr>
          <w:rFonts w:ascii="NewBaskerville" w:hAnsi="NewBaskerville"/>
          <w:sz w:val="20"/>
        </w:rPr>
        <w:t>.</w:t>
      </w:r>
    </w:p>
    <w:p w:rsidR="00462BE1" w:rsidRPr="003E004A" w:rsidRDefault="00462BE1" w:rsidP="003E055E">
      <w:pPr>
        <w:pStyle w:val="Sangradetextonormal"/>
        <w:tabs>
          <w:tab w:val="clear" w:pos="8364"/>
          <w:tab w:val="center" w:pos="5671"/>
          <w:tab w:val="center" w:pos="7797"/>
        </w:tabs>
        <w:overflowPunct/>
        <w:autoSpaceDE/>
        <w:autoSpaceDN/>
        <w:adjustRightInd/>
        <w:textAlignment w:val="auto"/>
        <w:rPr>
          <w:sz w:val="20"/>
        </w:rPr>
      </w:pPr>
    </w:p>
    <w:p w:rsidR="002C4355" w:rsidRDefault="005B6067" w:rsidP="00B607D8">
      <w:pPr>
        <w:tabs>
          <w:tab w:val="left" w:leader="dot" w:pos="4395"/>
        </w:tabs>
        <w:ind w:firstLine="709"/>
        <w:jc w:val="both"/>
        <w:rPr>
          <w:rFonts w:ascii="NewBaskerville" w:hAnsi="NewBaskerville"/>
          <w:bCs/>
          <w:color w:val="FF0000"/>
        </w:rPr>
      </w:pPr>
      <w:r w:rsidRPr="008D6C60">
        <w:rPr>
          <w:rFonts w:ascii="NewBaskerville" w:hAnsi="NewBaskerville"/>
          <w:bCs/>
        </w:rPr>
        <w:t>A 31 de diciembre del 2</w:t>
      </w:r>
      <w:r w:rsidR="00321ECE" w:rsidRPr="008D6C60">
        <w:rPr>
          <w:rFonts w:ascii="NewBaskerville" w:hAnsi="NewBaskerville"/>
          <w:bCs/>
        </w:rPr>
        <w:t>02</w:t>
      </w:r>
      <w:r w:rsidR="00E12B50">
        <w:rPr>
          <w:rFonts w:ascii="NewBaskerville" w:hAnsi="NewBaskerville"/>
          <w:bCs/>
        </w:rPr>
        <w:t>4</w:t>
      </w:r>
      <w:r w:rsidR="00321ECE" w:rsidRPr="008D6C60">
        <w:rPr>
          <w:rFonts w:ascii="NewBaskerville" w:hAnsi="NewBaskerville"/>
          <w:bCs/>
        </w:rPr>
        <w:t xml:space="preserve"> y 202</w:t>
      </w:r>
      <w:r w:rsidR="00E12B50">
        <w:rPr>
          <w:rFonts w:ascii="NewBaskerville" w:hAnsi="NewBaskerville"/>
          <w:bCs/>
        </w:rPr>
        <w:t>3</w:t>
      </w:r>
      <w:r w:rsidR="00FD65D8" w:rsidRPr="008D6C60">
        <w:rPr>
          <w:rFonts w:ascii="NewBaskerville" w:hAnsi="NewBaskerville"/>
          <w:bCs/>
        </w:rPr>
        <w:t xml:space="preserve"> no existen </w:t>
      </w:r>
      <w:r w:rsidR="00764B1E" w:rsidRPr="008D6C60">
        <w:rPr>
          <w:rFonts w:ascii="NewBaskerville" w:hAnsi="NewBaskerville"/>
          <w:bCs/>
        </w:rPr>
        <w:t>i</w:t>
      </w:r>
      <w:r w:rsidR="00FD65D8" w:rsidRPr="008D6C60">
        <w:rPr>
          <w:rFonts w:ascii="NewBaskerville" w:hAnsi="NewBaskerville"/>
          <w:bCs/>
        </w:rPr>
        <w:t>ndicios de deteri</w:t>
      </w:r>
      <w:r w:rsidR="00B607D8" w:rsidRPr="008D6C60">
        <w:rPr>
          <w:rFonts w:ascii="NewBaskerville" w:hAnsi="NewBaskerville"/>
          <w:bCs/>
        </w:rPr>
        <w:t>oro de inmovilizado intangible</w:t>
      </w:r>
      <w:r w:rsidR="00B607D8" w:rsidRPr="008D6C60">
        <w:rPr>
          <w:rFonts w:ascii="NewBaskerville" w:hAnsi="NewBaskerville"/>
          <w:bCs/>
          <w:color w:val="FF0000"/>
        </w:rPr>
        <w:t>.</w:t>
      </w:r>
    </w:p>
    <w:p w:rsidR="008D6C60" w:rsidRDefault="008D6C60" w:rsidP="00B607D8">
      <w:pPr>
        <w:tabs>
          <w:tab w:val="left" w:leader="dot" w:pos="4395"/>
        </w:tabs>
        <w:ind w:firstLine="709"/>
        <w:jc w:val="both"/>
        <w:rPr>
          <w:rFonts w:ascii="NewBaskerville" w:hAnsi="NewBaskerville"/>
          <w:bCs/>
          <w:color w:val="FF0000"/>
        </w:rPr>
      </w:pPr>
    </w:p>
    <w:p w:rsidR="008D6C60" w:rsidRDefault="008D6C60" w:rsidP="00B607D8">
      <w:pPr>
        <w:tabs>
          <w:tab w:val="left" w:leader="dot" w:pos="4395"/>
        </w:tabs>
        <w:ind w:firstLine="709"/>
        <w:jc w:val="both"/>
        <w:rPr>
          <w:rFonts w:ascii="NewBaskerville" w:hAnsi="NewBaskerville"/>
          <w:bCs/>
        </w:rPr>
      </w:pPr>
      <w:r>
        <w:rPr>
          <w:rFonts w:ascii="NewBaskerville" w:hAnsi="NewBaskerville"/>
          <w:bCs/>
        </w:rPr>
        <w:t>Los movimientos del inmovilizado intangible durante los ejercicios 202</w:t>
      </w:r>
      <w:r w:rsidR="002A7F39">
        <w:rPr>
          <w:rFonts w:ascii="NewBaskerville" w:hAnsi="NewBaskerville"/>
          <w:bCs/>
        </w:rPr>
        <w:t>4</w:t>
      </w:r>
      <w:r>
        <w:rPr>
          <w:rFonts w:ascii="NewBaskerville" w:hAnsi="NewBaskerville"/>
          <w:bCs/>
        </w:rPr>
        <w:t xml:space="preserve"> y 202</w:t>
      </w:r>
      <w:r w:rsidR="002A7F39">
        <w:rPr>
          <w:rFonts w:ascii="NewBaskerville" w:hAnsi="NewBaskerville"/>
          <w:bCs/>
        </w:rPr>
        <w:t>3</w:t>
      </w:r>
      <w:r>
        <w:rPr>
          <w:rFonts w:ascii="NewBaskerville" w:hAnsi="NewBaskerville"/>
          <w:bCs/>
        </w:rPr>
        <w:t>, así como el de su amortización, vienen detallados en los cuadros adjuntos desglosados por cada epígrafe. Las altas del inmovilizado intangible proceden de reclasificaciones de inmovilizado en curso.</w:t>
      </w:r>
    </w:p>
    <w:p w:rsidR="00F93CE1" w:rsidRDefault="00F93CE1" w:rsidP="00B607D8">
      <w:pPr>
        <w:tabs>
          <w:tab w:val="left" w:leader="dot" w:pos="4395"/>
        </w:tabs>
        <w:ind w:firstLine="709"/>
        <w:jc w:val="both"/>
        <w:rPr>
          <w:rFonts w:ascii="NewBaskerville" w:hAnsi="NewBaskerville"/>
          <w:bCs/>
        </w:rPr>
      </w:pPr>
    </w:p>
    <w:p w:rsidR="00F93CE1" w:rsidRDefault="00F93CE1" w:rsidP="00B607D8">
      <w:pPr>
        <w:tabs>
          <w:tab w:val="left" w:leader="dot" w:pos="4395"/>
        </w:tabs>
        <w:ind w:firstLine="709"/>
        <w:jc w:val="both"/>
        <w:rPr>
          <w:rFonts w:ascii="NewBaskerville" w:hAnsi="NewBaskerville"/>
          <w:bCs/>
        </w:rPr>
      </w:pPr>
    </w:p>
    <w:p w:rsidR="0046575F" w:rsidRDefault="0046575F" w:rsidP="00B607D8">
      <w:pPr>
        <w:tabs>
          <w:tab w:val="left" w:leader="dot" w:pos="4395"/>
        </w:tabs>
        <w:ind w:firstLine="709"/>
        <w:jc w:val="both"/>
        <w:rPr>
          <w:rFonts w:ascii="NewBaskerville" w:hAnsi="NewBaskerville"/>
          <w:bCs/>
        </w:rPr>
      </w:pPr>
    </w:p>
    <w:p w:rsidR="0046575F" w:rsidRDefault="0046575F" w:rsidP="00B607D8">
      <w:pPr>
        <w:tabs>
          <w:tab w:val="left" w:leader="dot" w:pos="4395"/>
        </w:tabs>
        <w:ind w:firstLine="709"/>
        <w:jc w:val="both"/>
        <w:rPr>
          <w:rFonts w:ascii="NewBaskerville" w:hAnsi="NewBaskerville"/>
          <w:bCs/>
        </w:rPr>
      </w:pPr>
    </w:p>
    <w:p w:rsidR="0046575F" w:rsidRDefault="0046575F" w:rsidP="00B607D8">
      <w:pPr>
        <w:tabs>
          <w:tab w:val="left" w:leader="dot" w:pos="4395"/>
        </w:tabs>
        <w:ind w:firstLine="709"/>
        <w:jc w:val="both"/>
        <w:rPr>
          <w:rFonts w:ascii="NewBaskerville" w:hAnsi="NewBaskerville"/>
          <w:bCs/>
        </w:rPr>
      </w:pPr>
    </w:p>
    <w:p w:rsidR="0046575F" w:rsidRDefault="0046575F" w:rsidP="00B607D8">
      <w:pPr>
        <w:tabs>
          <w:tab w:val="left" w:leader="dot" w:pos="4395"/>
        </w:tabs>
        <w:ind w:firstLine="709"/>
        <w:jc w:val="both"/>
        <w:rPr>
          <w:rFonts w:ascii="NewBaskerville" w:hAnsi="NewBaskerville"/>
          <w:bCs/>
        </w:rPr>
      </w:pPr>
    </w:p>
    <w:p w:rsidR="0046575F" w:rsidRDefault="0046575F" w:rsidP="00B607D8">
      <w:pPr>
        <w:tabs>
          <w:tab w:val="left" w:leader="dot" w:pos="4395"/>
        </w:tabs>
        <w:ind w:firstLine="709"/>
        <w:jc w:val="both"/>
        <w:rPr>
          <w:rFonts w:ascii="NewBaskerville" w:hAnsi="NewBaskerville"/>
          <w:bCs/>
        </w:rPr>
      </w:pPr>
    </w:p>
    <w:p w:rsidR="0046575F" w:rsidRDefault="0046575F" w:rsidP="00B607D8">
      <w:pPr>
        <w:tabs>
          <w:tab w:val="left" w:leader="dot" w:pos="4395"/>
        </w:tabs>
        <w:ind w:firstLine="709"/>
        <w:jc w:val="both"/>
        <w:rPr>
          <w:rFonts w:ascii="NewBaskerville" w:hAnsi="NewBaskerville"/>
          <w:bCs/>
        </w:rPr>
      </w:pPr>
    </w:p>
    <w:p w:rsidR="0046575F" w:rsidRDefault="0046575F" w:rsidP="00B607D8">
      <w:pPr>
        <w:tabs>
          <w:tab w:val="left" w:leader="dot" w:pos="4395"/>
        </w:tabs>
        <w:ind w:firstLine="709"/>
        <w:jc w:val="both"/>
        <w:rPr>
          <w:rFonts w:ascii="NewBaskerville" w:hAnsi="NewBaskerville"/>
          <w:bCs/>
        </w:rPr>
      </w:pPr>
    </w:p>
    <w:p w:rsidR="0046575F" w:rsidRDefault="0046575F" w:rsidP="00B607D8">
      <w:pPr>
        <w:tabs>
          <w:tab w:val="left" w:leader="dot" w:pos="4395"/>
        </w:tabs>
        <w:ind w:firstLine="709"/>
        <w:jc w:val="both"/>
        <w:rPr>
          <w:rFonts w:ascii="NewBaskerville" w:hAnsi="NewBaskerville"/>
          <w:bCs/>
        </w:rPr>
      </w:pPr>
    </w:p>
    <w:p w:rsidR="0046575F" w:rsidRDefault="0046575F" w:rsidP="00B607D8">
      <w:pPr>
        <w:tabs>
          <w:tab w:val="left" w:leader="dot" w:pos="4395"/>
        </w:tabs>
        <w:ind w:firstLine="709"/>
        <w:jc w:val="both"/>
        <w:rPr>
          <w:rFonts w:ascii="NewBaskerville" w:hAnsi="NewBaskerville"/>
          <w:bCs/>
        </w:rPr>
      </w:pPr>
    </w:p>
    <w:p w:rsidR="0046575F" w:rsidRDefault="0046575F" w:rsidP="00B607D8">
      <w:pPr>
        <w:tabs>
          <w:tab w:val="left" w:leader="dot" w:pos="4395"/>
        </w:tabs>
        <w:ind w:firstLine="709"/>
        <w:jc w:val="both"/>
        <w:rPr>
          <w:rFonts w:ascii="NewBaskerville" w:hAnsi="NewBaskerville"/>
          <w:bCs/>
        </w:rPr>
      </w:pPr>
    </w:p>
    <w:p w:rsidR="0046575F" w:rsidRDefault="0046575F" w:rsidP="00B607D8">
      <w:pPr>
        <w:tabs>
          <w:tab w:val="left" w:leader="dot" w:pos="4395"/>
        </w:tabs>
        <w:ind w:firstLine="709"/>
        <w:jc w:val="both"/>
        <w:rPr>
          <w:rFonts w:ascii="NewBaskerville" w:hAnsi="NewBaskerville"/>
          <w:bCs/>
        </w:rPr>
      </w:pPr>
    </w:p>
    <w:p w:rsidR="0046575F" w:rsidRDefault="0046575F" w:rsidP="00B607D8">
      <w:pPr>
        <w:tabs>
          <w:tab w:val="left" w:leader="dot" w:pos="4395"/>
        </w:tabs>
        <w:ind w:firstLine="709"/>
        <w:jc w:val="both"/>
        <w:rPr>
          <w:rFonts w:ascii="NewBaskerville" w:hAnsi="NewBaskerville"/>
          <w:bCs/>
        </w:rPr>
      </w:pPr>
    </w:p>
    <w:p w:rsidR="00F93CE1" w:rsidRDefault="00F93CE1" w:rsidP="00B607D8">
      <w:pPr>
        <w:tabs>
          <w:tab w:val="left" w:leader="dot" w:pos="4395"/>
        </w:tabs>
        <w:ind w:firstLine="709"/>
        <w:jc w:val="both"/>
        <w:rPr>
          <w:rFonts w:ascii="NewBaskerville" w:hAnsi="NewBaskerville"/>
          <w:bCs/>
        </w:rPr>
      </w:pPr>
    </w:p>
    <w:tbl>
      <w:tblPr>
        <w:tblW w:w="5000" w:type="pct"/>
        <w:tblCellMar>
          <w:left w:w="70" w:type="dxa"/>
          <w:right w:w="70" w:type="dxa"/>
        </w:tblCellMar>
        <w:tblLook w:val="04A0" w:firstRow="1" w:lastRow="0" w:firstColumn="1" w:lastColumn="0" w:noHBand="0" w:noVBand="1"/>
      </w:tblPr>
      <w:tblGrid>
        <w:gridCol w:w="1809"/>
        <w:gridCol w:w="1364"/>
        <w:gridCol w:w="1457"/>
        <w:gridCol w:w="1528"/>
        <w:gridCol w:w="1740"/>
        <w:gridCol w:w="1455"/>
      </w:tblGrid>
      <w:tr w:rsidR="0073626A" w:rsidRPr="0073626A" w:rsidTr="0073626A">
        <w:trPr>
          <w:trHeight w:val="799"/>
        </w:trPr>
        <w:tc>
          <w:tcPr>
            <w:tcW w:w="967"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73626A" w:rsidRPr="0073626A" w:rsidRDefault="0073626A" w:rsidP="0073626A">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lastRenderedPageBreak/>
              <w:t>INMOVILIZADO INTANGIBLE</w:t>
            </w:r>
          </w:p>
        </w:tc>
        <w:tc>
          <w:tcPr>
            <w:tcW w:w="729"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BA3724">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Saldo a</w:t>
            </w:r>
            <w:r w:rsidRPr="0073626A">
              <w:rPr>
                <w:rFonts w:ascii="Lucida Bright" w:hAnsi="Lucida Bright" w:cs="Calibri"/>
                <w:b/>
                <w:bCs/>
                <w:color w:val="000000"/>
                <w:sz w:val="14"/>
                <w:szCs w:val="14"/>
                <w:lang w:val="es-ES"/>
              </w:rPr>
              <w:br/>
              <w:t>31-12-23</w:t>
            </w:r>
          </w:p>
        </w:tc>
        <w:tc>
          <w:tcPr>
            <w:tcW w:w="779"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BA3724">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Adquisiciones</w:t>
            </w:r>
            <w:r w:rsidRPr="0073626A">
              <w:rPr>
                <w:rFonts w:ascii="Lucida Bright" w:hAnsi="Lucida Bright" w:cs="Calibri"/>
                <w:b/>
                <w:bCs/>
                <w:color w:val="000000"/>
                <w:sz w:val="14"/>
                <w:szCs w:val="14"/>
                <w:lang w:val="es-ES"/>
              </w:rPr>
              <w:br/>
              <w:t>(+)</w:t>
            </w:r>
          </w:p>
        </w:tc>
        <w:tc>
          <w:tcPr>
            <w:tcW w:w="817"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BA3724">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Ventas, retiros</w:t>
            </w:r>
            <w:r w:rsidRPr="0073626A">
              <w:rPr>
                <w:rFonts w:ascii="Lucida Bright" w:hAnsi="Lucida Bright" w:cs="Calibri"/>
                <w:b/>
                <w:bCs/>
                <w:color w:val="000000"/>
                <w:sz w:val="14"/>
                <w:szCs w:val="14"/>
                <w:lang w:val="es-ES"/>
              </w:rPr>
              <w:br/>
              <w:t>y bajas</w:t>
            </w:r>
            <w:r w:rsidRPr="0073626A">
              <w:rPr>
                <w:rFonts w:ascii="Lucida Bright" w:hAnsi="Lucida Bright" w:cs="Calibri"/>
                <w:b/>
                <w:bCs/>
                <w:color w:val="000000"/>
                <w:sz w:val="14"/>
                <w:szCs w:val="14"/>
                <w:lang w:val="es-ES"/>
              </w:rPr>
              <w:br/>
              <w:t>(-)</w:t>
            </w:r>
          </w:p>
        </w:tc>
        <w:tc>
          <w:tcPr>
            <w:tcW w:w="930"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BA3724">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Reclasificaciones</w:t>
            </w:r>
            <w:r w:rsidRPr="0073626A">
              <w:rPr>
                <w:rFonts w:ascii="Lucida Bright" w:hAnsi="Lucida Bright" w:cs="Calibri"/>
                <w:b/>
                <w:bCs/>
                <w:color w:val="000000"/>
                <w:sz w:val="14"/>
                <w:szCs w:val="14"/>
                <w:lang w:val="es-ES"/>
              </w:rPr>
              <w:br/>
              <w:t>(+/-)</w:t>
            </w:r>
          </w:p>
        </w:tc>
        <w:tc>
          <w:tcPr>
            <w:tcW w:w="779"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BA3724">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Saldo a</w:t>
            </w:r>
            <w:r w:rsidRPr="0073626A">
              <w:rPr>
                <w:rFonts w:ascii="Lucida Bright" w:hAnsi="Lucida Bright" w:cs="Calibri"/>
                <w:b/>
                <w:bCs/>
                <w:color w:val="000000"/>
                <w:sz w:val="14"/>
                <w:szCs w:val="14"/>
                <w:lang w:val="es-ES"/>
              </w:rPr>
              <w:br/>
              <w:t>31-12-24</w:t>
            </w:r>
          </w:p>
        </w:tc>
      </w:tr>
      <w:tr w:rsidR="0073626A" w:rsidRPr="0073626A" w:rsidTr="0073626A">
        <w:trPr>
          <w:trHeight w:val="402"/>
        </w:trPr>
        <w:tc>
          <w:tcPr>
            <w:tcW w:w="967" w:type="pct"/>
            <w:tcBorders>
              <w:top w:val="nil"/>
              <w:left w:val="single" w:sz="8" w:space="0" w:color="auto"/>
              <w:bottom w:val="single" w:sz="4" w:space="0" w:color="auto"/>
              <w:right w:val="single" w:sz="4" w:space="0" w:color="auto"/>
            </w:tcBorders>
            <w:shd w:val="clear" w:color="auto" w:fill="auto"/>
            <w:vAlign w:val="center"/>
            <w:hideMark/>
          </w:tcPr>
          <w:p w:rsidR="0073626A" w:rsidRPr="0073626A" w:rsidRDefault="0073626A" w:rsidP="0073626A">
            <w:pPr>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Propiedad industrial</w:t>
            </w:r>
          </w:p>
        </w:tc>
        <w:tc>
          <w:tcPr>
            <w:tcW w:w="729"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15.000,00  </w:t>
            </w:r>
          </w:p>
        </w:tc>
        <w:tc>
          <w:tcPr>
            <w:tcW w:w="779" w:type="pct"/>
            <w:tcBorders>
              <w:top w:val="single" w:sz="8"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w:t>
            </w:r>
          </w:p>
        </w:tc>
        <w:tc>
          <w:tcPr>
            <w:tcW w:w="817" w:type="pct"/>
            <w:tcBorders>
              <w:top w:val="single" w:sz="8"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w:t>
            </w:r>
          </w:p>
        </w:tc>
        <w:tc>
          <w:tcPr>
            <w:tcW w:w="930" w:type="pct"/>
            <w:tcBorders>
              <w:top w:val="single" w:sz="8"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w:t>
            </w:r>
          </w:p>
        </w:tc>
        <w:tc>
          <w:tcPr>
            <w:tcW w:w="779" w:type="pct"/>
            <w:tcBorders>
              <w:top w:val="single" w:sz="8" w:space="0" w:color="auto"/>
              <w:left w:val="nil"/>
              <w:bottom w:val="single" w:sz="4" w:space="0" w:color="auto"/>
              <w:right w:val="single" w:sz="8"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15.000,00  </w:t>
            </w:r>
          </w:p>
        </w:tc>
      </w:tr>
      <w:tr w:rsidR="0073626A" w:rsidRPr="0073626A" w:rsidTr="0073626A">
        <w:trPr>
          <w:trHeight w:val="402"/>
        </w:trPr>
        <w:tc>
          <w:tcPr>
            <w:tcW w:w="967" w:type="pct"/>
            <w:tcBorders>
              <w:top w:val="nil"/>
              <w:left w:val="single" w:sz="8" w:space="0" w:color="auto"/>
              <w:bottom w:val="nil"/>
              <w:right w:val="single" w:sz="4" w:space="0" w:color="auto"/>
            </w:tcBorders>
            <w:shd w:val="clear" w:color="auto" w:fill="auto"/>
            <w:vAlign w:val="center"/>
            <w:hideMark/>
          </w:tcPr>
          <w:p w:rsidR="0073626A" w:rsidRPr="0073626A" w:rsidRDefault="0073626A" w:rsidP="0073626A">
            <w:pPr>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Aplicaciones informáticas</w:t>
            </w:r>
          </w:p>
        </w:tc>
        <w:tc>
          <w:tcPr>
            <w:tcW w:w="729" w:type="pct"/>
            <w:tcBorders>
              <w:top w:val="single" w:sz="4"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7.585.042,58  </w:t>
            </w:r>
          </w:p>
        </w:tc>
        <w:tc>
          <w:tcPr>
            <w:tcW w:w="779" w:type="pct"/>
            <w:tcBorders>
              <w:top w:val="single" w:sz="4"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w:t>
            </w:r>
          </w:p>
        </w:tc>
        <w:tc>
          <w:tcPr>
            <w:tcW w:w="817" w:type="pct"/>
            <w:tcBorders>
              <w:top w:val="single" w:sz="4"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w:t>
            </w:r>
          </w:p>
        </w:tc>
        <w:tc>
          <w:tcPr>
            <w:tcW w:w="930" w:type="pct"/>
            <w:tcBorders>
              <w:top w:val="single" w:sz="4"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2.564.903,11  </w:t>
            </w:r>
          </w:p>
        </w:tc>
        <w:tc>
          <w:tcPr>
            <w:tcW w:w="779" w:type="pct"/>
            <w:tcBorders>
              <w:top w:val="nil"/>
              <w:left w:val="single" w:sz="4" w:space="0" w:color="auto"/>
              <w:bottom w:val="single" w:sz="4" w:space="0" w:color="auto"/>
              <w:right w:val="single" w:sz="8"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10.149.945,69  </w:t>
            </w:r>
          </w:p>
        </w:tc>
      </w:tr>
      <w:tr w:rsidR="0073626A" w:rsidRPr="0073626A" w:rsidTr="0073626A">
        <w:trPr>
          <w:trHeight w:val="402"/>
        </w:trPr>
        <w:tc>
          <w:tcPr>
            <w:tcW w:w="967"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3626A" w:rsidRPr="0073626A" w:rsidRDefault="0073626A" w:rsidP="0073626A">
            <w:pP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TOTAL</w:t>
            </w:r>
          </w:p>
        </w:tc>
        <w:tc>
          <w:tcPr>
            <w:tcW w:w="729"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7.600.042,58  </w:t>
            </w:r>
          </w:p>
        </w:tc>
        <w:tc>
          <w:tcPr>
            <w:tcW w:w="779" w:type="pct"/>
            <w:tcBorders>
              <w:top w:val="single" w:sz="4" w:space="0" w:color="auto"/>
              <w:left w:val="nil"/>
              <w:bottom w:val="single" w:sz="8"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  </w:t>
            </w:r>
          </w:p>
        </w:tc>
        <w:tc>
          <w:tcPr>
            <w:tcW w:w="817" w:type="pct"/>
            <w:tcBorders>
              <w:top w:val="single" w:sz="4" w:space="0" w:color="auto"/>
              <w:left w:val="nil"/>
              <w:bottom w:val="single" w:sz="8"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  </w:t>
            </w:r>
          </w:p>
        </w:tc>
        <w:tc>
          <w:tcPr>
            <w:tcW w:w="930" w:type="pct"/>
            <w:tcBorders>
              <w:top w:val="single" w:sz="4" w:space="0" w:color="auto"/>
              <w:left w:val="nil"/>
              <w:bottom w:val="single" w:sz="8"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2.564.903,11  </w:t>
            </w:r>
          </w:p>
        </w:tc>
        <w:tc>
          <w:tcPr>
            <w:tcW w:w="779" w:type="pct"/>
            <w:tcBorders>
              <w:top w:val="nil"/>
              <w:left w:val="nil"/>
              <w:bottom w:val="single" w:sz="8" w:space="0" w:color="auto"/>
              <w:right w:val="single" w:sz="8"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10.164.945,69  </w:t>
            </w:r>
          </w:p>
        </w:tc>
      </w:tr>
    </w:tbl>
    <w:p w:rsidR="00F93CE1" w:rsidRDefault="00F93CE1" w:rsidP="00B607D8">
      <w:pPr>
        <w:tabs>
          <w:tab w:val="left" w:leader="dot" w:pos="4395"/>
        </w:tabs>
        <w:ind w:firstLine="709"/>
        <w:jc w:val="both"/>
        <w:rPr>
          <w:rFonts w:ascii="NewBaskerville" w:hAnsi="NewBaskerville"/>
          <w:bCs/>
        </w:rPr>
      </w:pPr>
    </w:p>
    <w:tbl>
      <w:tblPr>
        <w:tblW w:w="5000" w:type="pct"/>
        <w:tblCellMar>
          <w:left w:w="70" w:type="dxa"/>
          <w:right w:w="70" w:type="dxa"/>
        </w:tblCellMar>
        <w:tblLook w:val="04A0" w:firstRow="1" w:lastRow="0" w:firstColumn="1" w:lastColumn="0" w:noHBand="0" w:noVBand="1"/>
      </w:tblPr>
      <w:tblGrid>
        <w:gridCol w:w="1809"/>
        <w:gridCol w:w="1364"/>
        <w:gridCol w:w="1457"/>
        <w:gridCol w:w="1528"/>
        <w:gridCol w:w="1740"/>
        <w:gridCol w:w="1455"/>
      </w:tblGrid>
      <w:tr w:rsidR="0073626A" w:rsidRPr="0073626A" w:rsidTr="0073626A">
        <w:trPr>
          <w:trHeight w:val="799"/>
        </w:trPr>
        <w:tc>
          <w:tcPr>
            <w:tcW w:w="967"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73626A" w:rsidRPr="0073626A" w:rsidRDefault="0073626A" w:rsidP="0073626A">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AMORTIZACIÓN ACUMULADA</w:t>
            </w:r>
          </w:p>
        </w:tc>
        <w:tc>
          <w:tcPr>
            <w:tcW w:w="729"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BA3724">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Saldo a</w:t>
            </w:r>
            <w:r w:rsidRPr="0073626A">
              <w:rPr>
                <w:rFonts w:ascii="Lucida Bright" w:hAnsi="Lucida Bright" w:cs="Calibri"/>
                <w:b/>
                <w:bCs/>
                <w:color w:val="000000"/>
                <w:sz w:val="14"/>
                <w:szCs w:val="14"/>
                <w:lang w:val="es-ES"/>
              </w:rPr>
              <w:br/>
              <w:t>31-12-23</w:t>
            </w:r>
          </w:p>
        </w:tc>
        <w:tc>
          <w:tcPr>
            <w:tcW w:w="779"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BA3724">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Dotaciones</w:t>
            </w:r>
            <w:r w:rsidRPr="0073626A">
              <w:rPr>
                <w:rFonts w:ascii="Lucida Bright" w:hAnsi="Lucida Bright" w:cs="Calibri"/>
                <w:b/>
                <w:bCs/>
                <w:color w:val="000000"/>
                <w:sz w:val="14"/>
                <w:szCs w:val="14"/>
                <w:lang w:val="es-ES"/>
              </w:rPr>
              <w:br/>
              <w:t>(+)</w:t>
            </w:r>
          </w:p>
        </w:tc>
        <w:tc>
          <w:tcPr>
            <w:tcW w:w="817"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BA3724">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Ventas, retiros</w:t>
            </w:r>
            <w:r w:rsidRPr="0073626A">
              <w:rPr>
                <w:rFonts w:ascii="Lucida Bright" w:hAnsi="Lucida Bright" w:cs="Calibri"/>
                <w:b/>
                <w:bCs/>
                <w:color w:val="000000"/>
                <w:sz w:val="14"/>
                <w:szCs w:val="14"/>
                <w:lang w:val="es-ES"/>
              </w:rPr>
              <w:br/>
              <w:t>y bajas</w:t>
            </w:r>
            <w:r w:rsidRPr="0073626A">
              <w:rPr>
                <w:rFonts w:ascii="Lucida Bright" w:hAnsi="Lucida Bright" w:cs="Calibri"/>
                <w:b/>
                <w:bCs/>
                <w:color w:val="000000"/>
                <w:sz w:val="14"/>
                <w:szCs w:val="14"/>
                <w:lang w:val="es-ES"/>
              </w:rPr>
              <w:br/>
              <w:t>(-)</w:t>
            </w:r>
          </w:p>
        </w:tc>
        <w:tc>
          <w:tcPr>
            <w:tcW w:w="930"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BA3724">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Reclasificaciones</w:t>
            </w:r>
            <w:r w:rsidRPr="0073626A">
              <w:rPr>
                <w:rFonts w:ascii="Lucida Bright" w:hAnsi="Lucida Bright" w:cs="Calibri"/>
                <w:b/>
                <w:bCs/>
                <w:color w:val="000000"/>
                <w:sz w:val="14"/>
                <w:szCs w:val="14"/>
                <w:lang w:val="es-ES"/>
              </w:rPr>
              <w:br/>
              <w:t>(+/-)</w:t>
            </w:r>
          </w:p>
        </w:tc>
        <w:tc>
          <w:tcPr>
            <w:tcW w:w="779"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BA3724">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Saldo a</w:t>
            </w:r>
            <w:r w:rsidRPr="0073626A">
              <w:rPr>
                <w:rFonts w:ascii="Lucida Bright" w:hAnsi="Lucida Bright" w:cs="Calibri"/>
                <w:b/>
                <w:bCs/>
                <w:color w:val="000000"/>
                <w:sz w:val="14"/>
                <w:szCs w:val="14"/>
                <w:lang w:val="es-ES"/>
              </w:rPr>
              <w:br/>
              <w:t>31-12-24</w:t>
            </w:r>
          </w:p>
        </w:tc>
      </w:tr>
      <w:tr w:rsidR="0073626A" w:rsidRPr="0073626A" w:rsidTr="0073626A">
        <w:trPr>
          <w:trHeight w:val="402"/>
        </w:trPr>
        <w:tc>
          <w:tcPr>
            <w:tcW w:w="967" w:type="pct"/>
            <w:tcBorders>
              <w:top w:val="nil"/>
              <w:left w:val="single" w:sz="8" w:space="0" w:color="auto"/>
              <w:bottom w:val="single" w:sz="4" w:space="0" w:color="auto"/>
              <w:right w:val="single" w:sz="4" w:space="0" w:color="auto"/>
            </w:tcBorders>
            <w:shd w:val="clear" w:color="auto" w:fill="auto"/>
            <w:vAlign w:val="center"/>
            <w:hideMark/>
          </w:tcPr>
          <w:p w:rsidR="0073626A" w:rsidRPr="0073626A" w:rsidRDefault="0073626A" w:rsidP="0073626A">
            <w:pPr>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Propiedad industrial</w:t>
            </w:r>
          </w:p>
        </w:tc>
        <w:tc>
          <w:tcPr>
            <w:tcW w:w="729"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15.000,00  </w:t>
            </w:r>
          </w:p>
        </w:tc>
        <w:tc>
          <w:tcPr>
            <w:tcW w:w="779" w:type="pct"/>
            <w:tcBorders>
              <w:top w:val="single" w:sz="8"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w:t>
            </w:r>
          </w:p>
        </w:tc>
        <w:tc>
          <w:tcPr>
            <w:tcW w:w="817" w:type="pct"/>
            <w:tcBorders>
              <w:top w:val="single" w:sz="8"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w:t>
            </w:r>
          </w:p>
        </w:tc>
        <w:tc>
          <w:tcPr>
            <w:tcW w:w="930" w:type="pct"/>
            <w:tcBorders>
              <w:top w:val="single" w:sz="8"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w:t>
            </w:r>
          </w:p>
        </w:tc>
        <w:tc>
          <w:tcPr>
            <w:tcW w:w="779" w:type="pct"/>
            <w:tcBorders>
              <w:top w:val="single" w:sz="8" w:space="0" w:color="auto"/>
              <w:left w:val="nil"/>
              <w:bottom w:val="single" w:sz="4" w:space="0" w:color="auto"/>
              <w:right w:val="single" w:sz="8"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15.000,00  </w:t>
            </w:r>
          </w:p>
        </w:tc>
      </w:tr>
      <w:tr w:rsidR="0073626A" w:rsidRPr="0073626A" w:rsidTr="0073626A">
        <w:trPr>
          <w:trHeight w:val="402"/>
        </w:trPr>
        <w:tc>
          <w:tcPr>
            <w:tcW w:w="967" w:type="pct"/>
            <w:tcBorders>
              <w:top w:val="nil"/>
              <w:left w:val="single" w:sz="8" w:space="0" w:color="auto"/>
              <w:bottom w:val="nil"/>
              <w:right w:val="single" w:sz="4" w:space="0" w:color="auto"/>
            </w:tcBorders>
            <w:shd w:val="clear" w:color="auto" w:fill="auto"/>
            <w:vAlign w:val="center"/>
            <w:hideMark/>
          </w:tcPr>
          <w:p w:rsidR="0073626A" w:rsidRPr="0073626A" w:rsidRDefault="0073626A" w:rsidP="0073626A">
            <w:pPr>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Aplicaciones informáticas</w:t>
            </w:r>
          </w:p>
        </w:tc>
        <w:tc>
          <w:tcPr>
            <w:tcW w:w="729" w:type="pct"/>
            <w:tcBorders>
              <w:top w:val="single" w:sz="4"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3.452.764,64  </w:t>
            </w:r>
          </w:p>
        </w:tc>
        <w:tc>
          <w:tcPr>
            <w:tcW w:w="779" w:type="pct"/>
            <w:tcBorders>
              <w:top w:val="single" w:sz="4"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1.233.701,24  </w:t>
            </w:r>
          </w:p>
        </w:tc>
        <w:tc>
          <w:tcPr>
            <w:tcW w:w="817" w:type="pct"/>
            <w:tcBorders>
              <w:top w:val="single" w:sz="4"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w:t>
            </w:r>
          </w:p>
        </w:tc>
        <w:tc>
          <w:tcPr>
            <w:tcW w:w="930" w:type="pct"/>
            <w:tcBorders>
              <w:top w:val="single" w:sz="4"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w:t>
            </w:r>
          </w:p>
        </w:tc>
        <w:tc>
          <w:tcPr>
            <w:tcW w:w="779" w:type="pct"/>
            <w:tcBorders>
              <w:top w:val="nil"/>
              <w:left w:val="single" w:sz="4" w:space="0" w:color="auto"/>
              <w:bottom w:val="single" w:sz="4" w:space="0" w:color="auto"/>
              <w:right w:val="single" w:sz="8"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4.686.465,88  </w:t>
            </w:r>
          </w:p>
        </w:tc>
      </w:tr>
      <w:tr w:rsidR="0073626A" w:rsidRPr="0073626A" w:rsidTr="0073626A">
        <w:trPr>
          <w:trHeight w:val="402"/>
        </w:trPr>
        <w:tc>
          <w:tcPr>
            <w:tcW w:w="967"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3626A" w:rsidRPr="0073626A" w:rsidRDefault="0073626A" w:rsidP="0073626A">
            <w:pP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TOTAL</w:t>
            </w:r>
          </w:p>
        </w:tc>
        <w:tc>
          <w:tcPr>
            <w:tcW w:w="729"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3.467.764,64  </w:t>
            </w:r>
          </w:p>
        </w:tc>
        <w:tc>
          <w:tcPr>
            <w:tcW w:w="779" w:type="pct"/>
            <w:tcBorders>
              <w:top w:val="single" w:sz="4" w:space="0" w:color="auto"/>
              <w:left w:val="nil"/>
              <w:bottom w:val="single" w:sz="8"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1.233.701,24  </w:t>
            </w:r>
          </w:p>
        </w:tc>
        <w:tc>
          <w:tcPr>
            <w:tcW w:w="817" w:type="pct"/>
            <w:tcBorders>
              <w:top w:val="single" w:sz="4" w:space="0" w:color="auto"/>
              <w:left w:val="nil"/>
              <w:bottom w:val="single" w:sz="8"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  </w:t>
            </w:r>
          </w:p>
        </w:tc>
        <w:tc>
          <w:tcPr>
            <w:tcW w:w="930" w:type="pct"/>
            <w:tcBorders>
              <w:top w:val="single" w:sz="4" w:space="0" w:color="auto"/>
              <w:left w:val="nil"/>
              <w:bottom w:val="single" w:sz="8"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  </w:t>
            </w:r>
          </w:p>
        </w:tc>
        <w:tc>
          <w:tcPr>
            <w:tcW w:w="779" w:type="pct"/>
            <w:tcBorders>
              <w:top w:val="nil"/>
              <w:left w:val="nil"/>
              <w:bottom w:val="single" w:sz="8" w:space="0" w:color="auto"/>
              <w:right w:val="single" w:sz="8"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4.701.465,88  </w:t>
            </w:r>
          </w:p>
        </w:tc>
      </w:tr>
    </w:tbl>
    <w:p w:rsidR="008D6125" w:rsidRDefault="008D6125" w:rsidP="00B607D8">
      <w:pPr>
        <w:tabs>
          <w:tab w:val="left" w:leader="dot" w:pos="4395"/>
        </w:tabs>
        <w:ind w:firstLine="709"/>
        <w:jc w:val="both"/>
        <w:rPr>
          <w:rFonts w:ascii="NewBaskerville" w:hAnsi="NewBaskerville"/>
          <w:bCs/>
        </w:rPr>
      </w:pPr>
    </w:p>
    <w:tbl>
      <w:tblPr>
        <w:tblW w:w="5000" w:type="pct"/>
        <w:tblCellMar>
          <w:left w:w="70" w:type="dxa"/>
          <w:right w:w="70" w:type="dxa"/>
        </w:tblCellMar>
        <w:tblLook w:val="04A0" w:firstRow="1" w:lastRow="0" w:firstColumn="1" w:lastColumn="0" w:noHBand="0" w:noVBand="1"/>
      </w:tblPr>
      <w:tblGrid>
        <w:gridCol w:w="1809"/>
        <w:gridCol w:w="1364"/>
        <w:gridCol w:w="1457"/>
        <w:gridCol w:w="1528"/>
        <w:gridCol w:w="1740"/>
        <w:gridCol w:w="1455"/>
      </w:tblGrid>
      <w:tr w:rsidR="0073626A" w:rsidRPr="0073626A" w:rsidTr="0073626A">
        <w:trPr>
          <w:trHeight w:val="799"/>
        </w:trPr>
        <w:tc>
          <w:tcPr>
            <w:tcW w:w="967"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73626A" w:rsidRPr="0073626A" w:rsidRDefault="0073626A" w:rsidP="0073626A">
            <w:pP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INMOVILIZADO INTANGIBLE</w:t>
            </w:r>
          </w:p>
        </w:tc>
        <w:tc>
          <w:tcPr>
            <w:tcW w:w="729"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BA3724">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Saldo a</w:t>
            </w:r>
            <w:r w:rsidRPr="0073626A">
              <w:rPr>
                <w:rFonts w:ascii="Lucida Bright" w:hAnsi="Lucida Bright" w:cs="Calibri"/>
                <w:b/>
                <w:bCs/>
                <w:color w:val="000000"/>
                <w:sz w:val="14"/>
                <w:szCs w:val="14"/>
                <w:lang w:val="es-ES"/>
              </w:rPr>
              <w:br/>
              <w:t>31-12-22</w:t>
            </w:r>
          </w:p>
        </w:tc>
        <w:tc>
          <w:tcPr>
            <w:tcW w:w="779"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982713">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Adquisiciones</w:t>
            </w:r>
            <w:r w:rsidRPr="0073626A">
              <w:rPr>
                <w:rFonts w:ascii="Lucida Bright" w:hAnsi="Lucida Bright" w:cs="Calibri"/>
                <w:b/>
                <w:bCs/>
                <w:color w:val="000000"/>
                <w:sz w:val="14"/>
                <w:szCs w:val="14"/>
                <w:lang w:val="es-ES"/>
              </w:rPr>
              <w:br/>
              <w:t>(+)</w:t>
            </w:r>
          </w:p>
        </w:tc>
        <w:tc>
          <w:tcPr>
            <w:tcW w:w="817"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982713">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Ventas, retiros</w:t>
            </w:r>
            <w:r w:rsidRPr="0073626A">
              <w:rPr>
                <w:rFonts w:ascii="Lucida Bright" w:hAnsi="Lucida Bright" w:cs="Calibri"/>
                <w:b/>
                <w:bCs/>
                <w:color w:val="000000"/>
                <w:sz w:val="14"/>
                <w:szCs w:val="14"/>
                <w:lang w:val="es-ES"/>
              </w:rPr>
              <w:br/>
              <w:t>y bajas</w:t>
            </w:r>
            <w:r w:rsidRPr="0073626A">
              <w:rPr>
                <w:rFonts w:ascii="Lucida Bright" w:hAnsi="Lucida Bright" w:cs="Calibri"/>
                <w:b/>
                <w:bCs/>
                <w:color w:val="000000"/>
                <w:sz w:val="14"/>
                <w:szCs w:val="14"/>
                <w:lang w:val="es-ES"/>
              </w:rPr>
              <w:br/>
              <w:t>(-)</w:t>
            </w:r>
          </w:p>
        </w:tc>
        <w:tc>
          <w:tcPr>
            <w:tcW w:w="930"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982713">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Reclasificaciones</w:t>
            </w:r>
            <w:r w:rsidRPr="0073626A">
              <w:rPr>
                <w:rFonts w:ascii="Lucida Bright" w:hAnsi="Lucida Bright" w:cs="Calibri"/>
                <w:b/>
                <w:bCs/>
                <w:color w:val="000000"/>
                <w:sz w:val="14"/>
                <w:szCs w:val="14"/>
                <w:lang w:val="es-ES"/>
              </w:rPr>
              <w:br/>
              <w:t>(+/-)</w:t>
            </w:r>
          </w:p>
        </w:tc>
        <w:tc>
          <w:tcPr>
            <w:tcW w:w="779"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982713">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Saldo a</w:t>
            </w:r>
            <w:r w:rsidRPr="0073626A">
              <w:rPr>
                <w:rFonts w:ascii="Lucida Bright" w:hAnsi="Lucida Bright" w:cs="Calibri"/>
                <w:b/>
                <w:bCs/>
                <w:color w:val="000000"/>
                <w:sz w:val="14"/>
                <w:szCs w:val="14"/>
                <w:lang w:val="es-ES"/>
              </w:rPr>
              <w:br/>
              <w:t>31-12-23</w:t>
            </w:r>
          </w:p>
        </w:tc>
      </w:tr>
      <w:tr w:rsidR="0073626A" w:rsidRPr="0073626A" w:rsidTr="0073626A">
        <w:trPr>
          <w:trHeight w:val="402"/>
        </w:trPr>
        <w:tc>
          <w:tcPr>
            <w:tcW w:w="967" w:type="pct"/>
            <w:tcBorders>
              <w:top w:val="nil"/>
              <w:left w:val="single" w:sz="8" w:space="0" w:color="auto"/>
              <w:bottom w:val="single" w:sz="4" w:space="0" w:color="auto"/>
              <w:right w:val="single" w:sz="4" w:space="0" w:color="auto"/>
            </w:tcBorders>
            <w:shd w:val="clear" w:color="auto" w:fill="auto"/>
            <w:vAlign w:val="center"/>
            <w:hideMark/>
          </w:tcPr>
          <w:p w:rsidR="0073626A" w:rsidRPr="0073626A" w:rsidRDefault="0073626A" w:rsidP="0073626A">
            <w:pPr>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Propiedad industrial</w:t>
            </w:r>
          </w:p>
        </w:tc>
        <w:tc>
          <w:tcPr>
            <w:tcW w:w="729"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15.000,00  </w:t>
            </w:r>
          </w:p>
        </w:tc>
        <w:tc>
          <w:tcPr>
            <w:tcW w:w="779" w:type="pct"/>
            <w:tcBorders>
              <w:top w:val="single" w:sz="8"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w:t>
            </w:r>
          </w:p>
        </w:tc>
        <w:tc>
          <w:tcPr>
            <w:tcW w:w="817" w:type="pct"/>
            <w:tcBorders>
              <w:top w:val="single" w:sz="8"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w:t>
            </w:r>
          </w:p>
        </w:tc>
        <w:tc>
          <w:tcPr>
            <w:tcW w:w="930" w:type="pct"/>
            <w:tcBorders>
              <w:top w:val="single" w:sz="8"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w:t>
            </w:r>
          </w:p>
        </w:tc>
        <w:tc>
          <w:tcPr>
            <w:tcW w:w="779" w:type="pct"/>
            <w:tcBorders>
              <w:top w:val="single" w:sz="8" w:space="0" w:color="auto"/>
              <w:left w:val="nil"/>
              <w:bottom w:val="single" w:sz="4" w:space="0" w:color="auto"/>
              <w:right w:val="single" w:sz="8"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15.000,00  </w:t>
            </w:r>
          </w:p>
        </w:tc>
      </w:tr>
      <w:tr w:rsidR="0073626A" w:rsidRPr="0073626A" w:rsidTr="0073626A">
        <w:trPr>
          <w:trHeight w:val="402"/>
        </w:trPr>
        <w:tc>
          <w:tcPr>
            <w:tcW w:w="967" w:type="pct"/>
            <w:tcBorders>
              <w:top w:val="nil"/>
              <w:left w:val="single" w:sz="8" w:space="0" w:color="auto"/>
              <w:bottom w:val="single" w:sz="4" w:space="0" w:color="auto"/>
              <w:right w:val="single" w:sz="4" w:space="0" w:color="auto"/>
            </w:tcBorders>
            <w:shd w:val="clear" w:color="auto" w:fill="auto"/>
            <w:vAlign w:val="center"/>
            <w:hideMark/>
          </w:tcPr>
          <w:p w:rsidR="0073626A" w:rsidRPr="0073626A" w:rsidRDefault="0073626A" w:rsidP="0073626A">
            <w:pPr>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Aplicaciones informáticas</w:t>
            </w:r>
          </w:p>
        </w:tc>
        <w:tc>
          <w:tcPr>
            <w:tcW w:w="729" w:type="pct"/>
            <w:tcBorders>
              <w:top w:val="single" w:sz="4"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7.298.640,86  </w:t>
            </w:r>
          </w:p>
        </w:tc>
        <w:tc>
          <w:tcPr>
            <w:tcW w:w="779" w:type="pct"/>
            <w:tcBorders>
              <w:top w:val="single" w:sz="4"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w:t>
            </w:r>
          </w:p>
        </w:tc>
        <w:tc>
          <w:tcPr>
            <w:tcW w:w="817" w:type="pct"/>
            <w:tcBorders>
              <w:top w:val="single" w:sz="4"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(2.054.486,07)  </w:t>
            </w:r>
          </w:p>
        </w:tc>
        <w:tc>
          <w:tcPr>
            <w:tcW w:w="930" w:type="pct"/>
            <w:tcBorders>
              <w:top w:val="single" w:sz="4"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2.340.887,79  </w:t>
            </w:r>
          </w:p>
        </w:tc>
        <w:tc>
          <w:tcPr>
            <w:tcW w:w="779" w:type="pct"/>
            <w:tcBorders>
              <w:top w:val="nil"/>
              <w:left w:val="single" w:sz="4" w:space="0" w:color="auto"/>
              <w:bottom w:val="single" w:sz="4" w:space="0" w:color="auto"/>
              <w:right w:val="single" w:sz="8"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7.585.042,58  </w:t>
            </w:r>
          </w:p>
        </w:tc>
      </w:tr>
      <w:tr w:rsidR="0073626A" w:rsidRPr="0073626A" w:rsidTr="0073626A">
        <w:trPr>
          <w:trHeight w:val="402"/>
        </w:trPr>
        <w:tc>
          <w:tcPr>
            <w:tcW w:w="967" w:type="pct"/>
            <w:tcBorders>
              <w:top w:val="nil"/>
              <w:left w:val="single" w:sz="8" w:space="0" w:color="auto"/>
              <w:bottom w:val="single" w:sz="8" w:space="0" w:color="auto"/>
              <w:right w:val="single" w:sz="4" w:space="0" w:color="auto"/>
            </w:tcBorders>
            <w:shd w:val="clear" w:color="auto" w:fill="auto"/>
            <w:noWrap/>
            <w:vAlign w:val="bottom"/>
            <w:hideMark/>
          </w:tcPr>
          <w:p w:rsidR="0073626A" w:rsidRPr="0073626A" w:rsidRDefault="0073626A" w:rsidP="0073626A">
            <w:pP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TOTAL</w:t>
            </w:r>
          </w:p>
        </w:tc>
        <w:tc>
          <w:tcPr>
            <w:tcW w:w="729"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7.313.640,86  </w:t>
            </w:r>
          </w:p>
        </w:tc>
        <w:tc>
          <w:tcPr>
            <w:tcW w:w="779" w:type="pct"/>
            <w:tcBorders>
              <w:top w:val="single" w:sz="4" w:space="0" w:color="auto"/>
              <w:left w:val="nil"/>
              <w:bottom w:val="single" w:sz="8"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  </w:t>
            </w:r>
          </w:p>
        </w:tc>
        <w:tc>
          <w:tcPr>
            <w:tcW w:w="817" w:type="pct"/>
            <w:tcBorders>
              <w:top w:val="single" w:sz="4" w:space="0" w:color="auto"/>
              <w:left w:val="nil"/>
              <w:bottom w:val="single" w:sz="8"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(2.054.486,07)  </w:t>
            </w:r>
          </w:p>
        </w:tc>
        <w:tc>
          <w:tcPr>
            <w:tcW w:w="930" w:type="pct"/>
            <w:tcBorders>
              <w:top w:val="single" w:sz="4" w:space="0" w:color="auto"/>
              <w:left w:val="nil"/>
              <w:bottom w:val="single" w:sz="8"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2.340.887,79  </w:t>
            </w:r>
          </w:p>
        </w:tc>
        <w:tc>
          <w:tcPr>
            <w:tcW w:w="779" w:type="pct"/>
            <w:tcBorders>
              <w:top w:val="nil"/>
              <w:left w:val="nil"/>
              <w:bottom w:val="single" w:sz="8" w:space="0" w:color="auto"/>
              <w:right w:val="single" w:sz="8"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7.600.042,58  </w:t>
            </w:r>
          </w:p>
        </w:tc>
      </w:tr>
    </w:tbl>
    <w:p w:rsidR="00F93CE1" w:rsidRDefault="00F93CE1" w:rsidP="00B607D8">
      <w:pPr>
        <w:tabs>
          <w:tab w:val="left" w:leader="dot" w:pos="4395"/>
        </w:tabs>
        <w:ind w:firstLine="709"/>
        <w:jc w:val="both"/>
        <w:rPr>
          <w:rFonts w:ascii="NewBaskerville" w:hAnsi="NewBaskerville"/>
          <w:bCs/>
        </w:rPr>
      </w:pPr>
    </w:p>
    <w:tbl>
      <w:tblPr>
        <w:tblW w:w="5000" w:type="pct"/>
        <w:tblCellMar>
          <w:left w:w="70" w:type="dxa"/>
          <w:right w:w="70" w:type="dxa"/>
        </w:tblCellMar>
        <w:tblLook w:val="04A0" w:firstRow="1" w:lastRow="0" w:firstColumn="1" w:lastColumn="0" w:noHBand="0" w:noVBand="1"/>
      </w:tblPr>
      <w:tblGrid>
        <w:gridCol w:w="1809"/>
        <w:gridCol w:w="1364"/>
        <w:gridCol w:w="1457"/>
        <w:gridCol w:w="1528"/>
        <w:gridCol w:w="1740"/>
        <w:gridCol w:w="1455"/>
      </w:tblGrid>
      <w:tr w:rsidR="0073626A" w:rsidRPr="0073626A" w:rsidTr="0073626A">
        <w:trPr>
          <w:trHeight w:val="799"/>
        </w:trPr>
        <w:tc>
          <w:tcPr>
            <w:tcW w:w="967"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73626A" w:rsidRPr="0073626A" w:rsidRDefault="0073626A" w:rsidP="0073626A">
            <w:pP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AMORTIZACIÓN ACUMULADA</w:t>
            </w:r>
          </w:p>
        </w:tc>
        <w:tc>
          <w:tcPr>
            <w:tcW w:w="729"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982713">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Saldo a</w:t>
            </w:r>
            <w:r w:rsidRPr="0073626A">
              <w:rPr>
                <w:rFonts w:ascii="Lucida Bright" w:hAnsi="Lucida Bright" w:cs="Calibri"/>
                <w:b/>
                <w:bCs/>
                <w:color w:val="000000"/>
                <w:sz w:val="14"/>
                <w:szCs w:val="14"/>
                <w:lang w:val="es-ES"/>
              </w:rPr>
              <w:br/>
              <w:t>31-12-22</w:t>
            </w:r>
          </w:p>
        </w:tc>
        <w:tc>
          <w:tcPr>
            <w:tcW w:w="779"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982713">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Dotaciones</w:t>
            </w:r>
            <w:r w:rsidRPr="0073626A">
              <w:rPr>
                <w:rFonts w:ascii="Lucida Bright" w:hAnsi="Lucida Bright" w:cs="Calibri"/>
                <w:b/>
                <w:bCs/>
                <w:color w:val="000000"/>
                <w:sz w:val="14"/>
                <w:szCs w:val="14"/>
                <w:lang w:val="es-ES"/>
              </w:rPr>
              <w:br/>
              <w:t>(+)</w:t>
            </w:r>
          </w:p>
        </w:tc>
        <w:tc>
          <w:tcPr>
            <w:tcW w:w="817"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982713">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Ventas, retiros</w:t>
            </w:r>
            <w:r w:rsidRPr="0073626A">
              <w:rPr>
                <w:rFonts w:ascii="Lucida Bright" w:hAnsi="Lucida Bright" w:cs="Calibri"/>
                <w:b/>
                <w:bCs/>
                <w:color w:val="000000"/>
                <w:sz w:val="14"/>
                <w:szCs w:val="14"/>
                <w:lang w:val="es-ES"/>
              </w:rPr>
              <w:br/>
              <w:t>y bajas</w:t>
            </w:r>
            <w:r w:rsidRPr="0073626A">
              <w:rPr>
                <w:rFonts w:ascii="Lucida Bright" w:hAnsi="Lucida Bright" w:cs="Calibri"/>
                <w:b/>
                <w:bCs/>
                <w:color w:val="000000"/>
                <w:sz w:val="14"/>
                <w:szCs w:val="14"/>
                <w:lang w:val="es-ES"/>
              </w:rPr>
              <w:br/>
              <w:t>(-)</w:t>
            </w:r>
          </w:p>
        </w:tc>
        <w:tc>
          <w:tcPr>
            <w:tcW w:w="930"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982713">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Reclasificaciones</w:t>
            </w:r>
            <w:r w:rsidRPr="0073626A">
              <w:rPr>
                <w:rFonts w:ascii="Lucida Bright" w:hAnsi="Lucida Bright" w:cs="Calibri"/>
                <w:b/>
                <w:bCs/>
                <w:color w:val="000000"/>
                <w:sz w:val="14"/>
                <w:szCs w:val="14"/>
                <w:lang w:val="es-ES"/>
              </w:rPr>
              <w:br/>
              <w:t>(+/-)</w:t>
            </w:r>
          </w:p>
        </w:tc>
        <w:tc>
          <w:tcPr>
            <w:tcW w:w="779" w:type="pct"/>
            <w:tcBorders>
              <w:top w:val="single" w:sz="8" w:space="0" w:color="auto"/>
              <w:left w:val="nil"/>
              <w:bottom w:val="single" w:sz="8" w:space="0" w:color="auto"/>
              <w:right w:val="single" w:sz="8" w:space="0" w:color="auto"/>
            </w:tcBorders>
            <w:shd w:val="clear" w:color="000000" w:fill="CCFFCC"/>
            <w:vAlign w:val="center"/>
            <w:hideMark/>
          </w:tcPr>
          <w:p w:rsidR="0073626A" w:rsidRPr="0073626A" w:rsidRDefault="0073626A" w:rsidP="00982713">
            <w:pPr>
              <w:jc w:val="cente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Saldo a</w:t>
            </w:r>
            <w:r w:rsidRPr="0073626A">
              <w:rPr>
                <w:rFonts w:ascii="Lucida Bright" w:hAnsi="Lucida Bright" w:cs="Calibri"/>
                <w:b/>
                <w:bCs/>
                <w:color w:val="000000"/>
                <w:sz w:val="14"/>
                <w:szCs w:val="14"/>
                <w:lang w:val="es-ES"/>
              </w:rPr>
              <w:br/>
              <w:t>31-12-23</w:t>
            </w:r>
          </w:p>
        </w:tc>
      </w:tr>
      <w:tr w:rsidR="0073626A" w:rsidRPr="0073626A" w:rsidTr="0073626A">
        <w:trPr>
          <w:trHeight w:val="402"/>
        </w:trPr>
        <w:tc>
          <w:tcPr>
            <w:tcW w:w="967" w:type="pct"/>
            <w:tcBorders>
              <w:top w:val="nil"/>
              <w:left w:val="single" w:sz="8" w:space="0" w:color="auto"/>
              <w:bottom w:val="single" w:sz="4" w:space="0" w:color="auto"/>
              <w:right w:val="single" w:sz="4" w:space="0" w:color="auto"/>
            </w:tcBorders>
            <w:shd w:val="clear" w:color="auto" w:fill="auto"/>
            <w:vAlign w:val="center"/>
            <w:hideMark/>
          </w:tcPr>
          <w:p w:rsidR="0073626A" w:rsidRPr="0073626A" w:rsidRDefault="0073626A" w:rsidP="0073626A">
            <w:pPr>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Propiedad industrial</w:t>
            </w:r>
          </w:p>
        </w:tc>
        <w:tc>
          <w:tcPr>
            <w:tcW w:w="729"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15.000,00  </w:t>
            </w:r>
          </w:p>
        </w:tc>
        <w:tc>
          <w:tcPr>
            <w:tcW w:w="779" w:type="pct"/>
            <w:tcBorders>
              <w:top w:val="single" w:sz="8"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w:t>
            </w:r>
          </w:p>
        </w:tc>
        <w:tc>
          <w:tcPr>
            <w:tcW w:w="817" w:type="pct"/>
            <w:tcBorders>
              <w:top w:val="single" w:sz="8"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w:t>
            </w:r>
          </w:p>
        </w:tc>
        <w:tc>
          <w:tcPr>
            <w:tcW w:w="930" w:type="pct"/>
            <w:tcBorders>
              <w:top w:val="single" w:sz="8"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w:t>
            </w:r>
          </w:p>
        </w:tc>
        <w:tc>
          <w:tcPr>
            <w:tcW w:w="779" w:type="pct"/>
            <w:tcBorders>
              <w:top w:val="single" w:sz="8" w:space="0" w:color="auto"/>
              <w:left w:val="nil"/>
              <w:bottom w:val="single" w:sz="4" w:space="0" w:color="auto"/>
              <w:right w:val="single" w:sz="8"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15.000,00  </w:t>
            </w:r>
          </w:p>
        </w:tc>
      </w:tr>
      <w:tr w:rsidR="0073626A" w:rsidRPr="0073626A" w:rsidTr="0073626A">
        <w:trPr>
          <w:trHeight w:val="402"/>
        </w:trPr>
        <w:tc>
          <w:tcPr>
            <w:tcW w:w="967" w:type="pct"/>
            <w:tcBorders>
              <w:top w:val="nil"/>
              <w:left w:val="single" w:sz="8" w:space="0" w:color="auto"/>
              <w:bottom w:val="single" w:sz="4" w:space="0" w:color="auto"/>
              <w:right w:val="single" w:sz="4" w:space="0" w:color="auto"/>
            </w:tcBorders>
            <w:shd w:val="clear" w:color="auto" w:fill="auto"/>
            <w:vAlign w:val="center"/>
            <w:hideMark/>
          </w:tcPr>
          <w:p w:rsidR="0073626A" w:rsidRPr="0073626A" w:rsidRDefault="0073626A" w:rsidP="0073626A">
            <w:pPr>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 Aplicaciones informáticas</w:t>
            </w:r>
          </w:p>
        </w:tc>
        <w:tc>
          <w:tcPr>
            <w:tcW w:w="729" w:type="pct"/>
            <w:tcBorders>
              <w:top w:val="single" w:sz="4"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4.431.967,80  </w:t>
            </w:r>
          </w:p>
        </w:tc>
        <w:tc>
          <w:tcPr>
            <w:tcW w:w="779" w:type="pct"/>
            <w:tcBorders>
              <w:top w:val="single" w:sz="4"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1.075.283,05  </w:t>
            </w:r>
          </w:p>
        </w:tc>
        <w:tc>
          <w:tcPr>
            <w:tcW w:w="817" w:type="pct"/>
            <w:tcBorders>
              <w:top w:val="single" w:sz="4"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(2.054.486,07)  </w:t>
            </w:r>
          </w:p>
        </w:tc>
        <w:tc>
          <w:tcPr>
            <w:tcW w:w="930" w:type="pct"/>
            <w:tcBorders>
              <w:top w:val="single" w:sz="4" w:space="0" w:color="auto"/>
              <w:left w:val="nil"/>
              <w:bottom w:val="single" w:sz="4"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(0,14)  </w:t>
            </w:r>
          </w:p>
        </w:tc>
        <w:tc>
          <w:tcPr>
            <w:tcW w:w="779" w:type="pct"/>
            <w:tcBorders>
              <w:top w:val="nil"/>
              <w:left w:val="single" w:sz="4" w:space="0" w:color="auto"/>
              <w:bottom w:val="single" w:sz="4" w:space="0" w:color="auto"/>
              <w:right w:val="single" w:sz="8" w:space="0" w:color="auto"/>
            </w:tcBorders>
            <w:shd w:val="clear" w:color="auto" w:fill="auto"/>
            <w:noWrap/>
            <w:vAlign w:val="bottom"/>
            <w:hideMark/>
          </w:tcPr>
          <w:p w:rsidR="0073626A" w:rsidRPr="0073626A" w:rsidRDefault="0073626A" w:rsidP="0073626A">
            <w:pPr>
              <w:jc w:val="right"/>
              <w:rPr>
                <w:rFonts w:ascii="Lucida Bright" w:hAnsi="Lucida Bright" w:cs="Calibri"/>
                <w:color w:val="000000"/>
                <w:sz w:val="14"/>
                <w:szCs w:val="14"/>
                <w:lang w:val="es-ES"/>
              </w:rPr>
            </w:pPr>
            <w:r w:rsidRPr="0073626A">
              <w:rPr>
                <w:rFonts w:ascii="Lucida Bright" w:hAnsi="Lucida Bright" w:cs="Calibri"/>
                <w:color w:val="000000"/>
                <w:sz w:val="14"/>
                <w:szCs w:val="14"/>
                <w:lang w:val="es-ES"/>
              </w:rPr>
              <w:t xml:space="preserve">3.452.764,64  </w:t>
            </w:r>
          </w:p>
        </w:tc>
      </w:tr>
      <w:tr w:rsidR="0073626A" w:rsidRPr="0073626A" w:rsidTr="0073626A">
        <w:trPr>
          <w:trHeight w:val="402"/>
        </w:trPr>
        <w:tc>
          <w:tcPr>
            <w:tcW w:w="967" w:type="pct"/>
            <w:tcBorders>
              <w:top w:val="nil"/>
              <w:left w:val="single" w:sz="8" w:space="0" w:color="auto"/>
              <w:bottom w:val="single" w:sz="8" w:space="0" w:color="auto"/>
              <w:right w:val="single" w:sz="4" w:space="0" w:color="auto"/>
            </w:tcBorders>
            <w:shd w:val="clear" w:color="auto" w:fill="auto"/>
            <w:noWrap/>
            <w:vAlign w:val="bottom"/>
            <w:hideMark/>
          </w:tcPr>
          <w:p w:rsidR="0073626A" w:rsidRPr="0073626A" w:rsidRDefault="0073626A" w:rsidP="0073626A">
            <w:pPr>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TOTAL</w:t>
            </w:r>
          </w:p>
        </w:tc>
        <w:tc>
          <w:tcPr>
            <w:tcW w:w="729"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4.446.967,80  </w:t>
            </w:r>
          </w:p>
        </w:tc>
        <w:tc>
          <w:tcPr>
            <w:tcW w:w="779" w:type="pct"/>
            <w:tcBorders>
              <w:top w:val="single" w:sz="4" w:space="0" w:color="auto"/>
              <w:left w:val="nil"/>
              <w:bottom w:val="single" w:sz="8"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1.075.283,05  </w:t>
            </w:r>
          </w:p>
        </w:tc>
        <w:tc>
          <w:tcPr>
            <w:tcW w:w="817" w:type="pct"/>
            <w:tcBorders>
              <w:top w:val="single" w:sz="4" w:space="0" w:color="auto"/>
              <w:left w:val="nil"/>
              <w:bottom w:val="single" w:sz="8"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(2.054.486,07)  </w:t>
            </w:r>
          </w:p>
        </w:tc>
        <w:tc>
          <w:tcPr>
            <w:tcW w:w="930" w:type="pct"/>
            <w:tcBorders>
              <w:top w:val="single" w:sz="4" w:space="0" w:color="auto"/>
              <w:left w:val="nil"/>
              <w:bottom w:val="single" w:sz="8" w:space="0" w:color="auto"/>
              <w:right w:val="single" w:sz="4"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(0,14)  </w:t>
            </w:r>
          </w:p>
        </w:tc>
        <w:tc>
          <w:tcPr>
            <w:tcW w:w="779" w:type="pct"/>
            <w:tcBorders>
              <w:top w:val="nil"/>
              <w:left w:val="nil"/>
              <w:bottom w:val="single" w:sz="8" w:space="0" w:color="auto"/>
              <w:right w:val="single" w:sz="8" w:space="0" w:color="auto"/>
            </w:tcBorders>
            <w:shd w:val="clear" w:color="auto" w:fill="auto"/>
            <w:noWrap/>
            <w:vAlign w:val="bottom"/>
            <w:hideMark/>
          </w:tcPr>
          <w:p w:rsidR="0073626A" w:rsidRPr="0073626A" w:rsidRDefault="0073626A" w:rsidP="0073626A">
            <w:pPr>
              <w:jc w:val="right"/>
              <w:rPr>
                <w:rFonts w:ascii="Lucida Bright" w:hAnsi="Lucida Bright" w:cs="Calibri"/>
                <w:b/>
                <w:bCs/>
                <w:color w:val="000000"/>
                <w:sz w:val="14"/>
                <w:szCs w:val="14"/>
                <w:lang w:val="es-ES"/>
              </w:rPr>
            </w:pPr>
            <w:r w:rsidRPr="0073626A">
              <w:rPr>
                <w:rFonts w:ascii="Lucida Bright" w:hAnsi="Lucida Bright" w:cs="Calibri"/>
                <w:b/>
                <w:bCs/>
                <w:color w:val="000000"/>
                <w:sz w:val="14"/>
                <w:szCs w:val="14"/>
                <w:lang w:val="es-ES"/>
              </w:rPr>
              <w:t xml:space="preserve">3.467.764,64  </w:t>
            </w:r>
          </w:p>
        </w:tc>
      </w:tr>
    </w:tbl>
    <w:p w:rsidR="00F93CE1" w:rsidRDefault="00F93CE1" w:rsidP="00B607D8">
      <w:pPr>
        <w:tabs>
          <w:tab w:val="left" w:leader="dot" w:pos="4395"/>
        </w:tabs>
        <w:ind w:firstLine="709"/>
        <w:jc w:val="both"/>
        <w:rPr>
          <w:rFonts w:ascii="NewBaskerville" w:hAnsi="NewBaskerville"/>
          <w:bCs/>
        </w:rPr>
      </w:pPr>
    </w:p>
    <w:p w:rsidR="00F93CE1" w:rsidRDefault="00F93CE1" w:rsidP="00F348FE">
      <w:pPr>
        <w:pStyle w:val="ListParagraph1"/>
        <w:ind w:left="0"/>
        <w:rPr>
          <w:b/>
          <w:bCs/>
          <w:sz w:val="24"/>
          <w:szCs w:val="24"/>
        </w:rPr>
      </w:pPr>
    </w:p>
    <w:p w:rsidR="00187A36" w:rsidRDefault="00187A36" w:rsidP="00F348FE">
      <w:pPr>
        <w:pStyle w:val="ListParagraph1"/>
        <w:ind w:left="0"/>
        <w:rPr>
          <w:b/>
          <w:bCs/>
          <w:sz w:val="24"/>
          <w:szCs w:val="24"/>
        </w:rPr>
      </w:pPr>
    </w:p>
    <w:p w:rsidR="00187A36" w:rsidRDefault="00187A36" w:rsidP="00F348FE">
      <w:pPr>
        <w:pStyle w:val="ListParagraph1"/>
        <w:ind w:left="0"/>
        <w:rPr>
          <w:b/>
          <w:bCs/>
          <w:sz w:val="24"/>
          <w:szCs w:val="24"/>
        </w:rPr>
      </w:pPr>
    </w:p>
    <w:p w:rsidR="00A510DD" w:rsidRDefault="00A510DD" w:rsidP="00F348FE">
      <w:pPr>
        <w:pStyle w:val="ListParagraph1"/>
        <w:ind w:left="0"/>
        <w:rPr>
          <w:b/>
          <w:bCs/>
          <w:sz w:val="24"/>
          <w:szCs w:val="24"/>
        </w:rPr>
      </w:pPr>
    </w:p>
    <w:p w:rsidR="008D6125" w:rsidRDefault="008D6125" w:rsidP="00F348FE">
      <w:pPr>
        <w:pStyle w:val="ListParagraph1"/>
        <w:ind w:left="0"/>
        <w:rPr>
          <w:b/>
          <w:bCs/>
          <w:sz w:val="24"/>
          <w:szCs w:val="24"/>
        </w:rPr>
      </w:pPr>
    </w:p>
    <w:p w:rsidR="008D6125" w:rsidRDefault="008D6125" w:rsidP="00F348FE">
      <w:pPr>
        <w:pStyle w:val="ListParagraph1"/>
        <w:ind w:left="0"/>
        <w:rPr>
          <w:b/>
          <w:bCs/>
          <w:sz w:val="24"/>
          <w:szCs w:val="24"/>
        </w:rPr>
      </w:pPr>
    </w:p>
    <w:p w:rsidR="008D6125" w:rsidRDefault="008D6125" w:rsidP="00F348FE">
      <w:pPr>
        <w:pStyle w:val="ListParagraph1"/>
        <w:ind w:left="0"/>
        <w:rPr>
          <w:b/>
          <w:bCs/>
          <w:sz w:val="24"/>
          <w:szCs w:val="24"/>
        </w:rPr>
      </w:pPr>
    </w:p>
    <w:p w:rsidR="008D6125" w:rsidRDefault="008D6125" w:rsidP="00F348FE">
      <w:pPr>
        <w:pStyle w:val="ListParagraph1"/>
        <w:ind w:left="0"/>
        <w:rPr>
          <w:b/>
          <w:bCs/>
          <w:sz w:val="24"/>
          <w:szCs w:val="24"/>
        </w:rPr>
      </w:pPr>
    </w:p>
    <w:p w:rsidR="008D6125" w:rsidRDefault="008D6125" w:rsidP="00F348FE">
      <w:pPr>
        <w:pStyle w:val="ListParagraph1"/>
        <w:ind w:left="0"/>
        <w:rPr>
          <w:b/>
          <w:bCs/>
          <w:sz w:val="24"/>
          <w:szCs w:val="24"/>
        </w:rPr>
      </w:pPr>
    </w:p>
    <w:p w:rsidR="00A510DD" w:rsidRDefault="00A510DD" w:rsidP="00F348FE">
      <w:pPr>
        <w:pStyle w:val="ListParagraph1"/>
        <w:ind w:left="0"/>
        <w:rPr>
          <w:b/>
          <w:bCs/>
          <w:sz w:val="24"/>
          <w:szCs w:val="24"/>
        </w:rPr>
      </w:pPr>
    </w:p>
    <w:p w:rsidR="00F93CE1" w:rsidRDefault="00F93CE1" w:rsidP="00F348FE">
      <w:pPr>
        <w:pStyle w:val="ListParagraph1"/>
        <w:ind w:left="0"/>
        <w:rPr>
          <w:b/>
          <w:bCs/>
          <w:sz w:val="24"/>
          <w:szCs w:val="24"/>
        </w:rPr>
      </w:pPr>
    </w:p>
    <w:p w:rsidR="00187A36" w:rsidRDefault="00187A36" w:rsidP="00F348FE">
      <w:pPr>
        <w:pStyle w:val="ListParagraph1"/>
        <w:ind w:left="0"/>
        <w:rPr>
          <w:b/>
          <w:bCs/>
          <w:sz w:val="24"/>
          <w:szCs w:val="24"/>
        </w:rPr>
      </w:pPr>
    </w:p>
    <w:p w:rsidR="00381A73" w:rsidRPr="004E34EF" w:rsidRDefault="00F706A9" w:rsidP="00F348FE">
      <w:pPr>
        <w:pStyle w:val="ListParagraph1"/>
        <w:ind w:left="0"/>
        <w:rPr>
          <w:rFonts w:ascii="NewBaskerville" w:hAnsi="NewBaskerville"/>
          <w:b/>
          <w:bCs/>
          <w:sz w:val="24"/>
          <w:szCs w:val="24"/>
        </w:rPr>
      </w:pPr>
      <w:r w:rsidRPr="004E34EF">
        <w:rPr>
          <w:rFonts w:ascii="NewBaskerville" w:hAnsi="NewBaskerville"/>
          <w:b/>
          <w:bCs/>
          <w:sz w:val="24"/>
          <w:szCs w:val="24"/>
        </w:rPr>
        <w:lastRenderedPageBreak/>
        <w:t>6</w:t>
      </w:r>
      <w:r w:rsidR="00F348FE" w:rsidRPr="004E34EF">
        <w:rPr>
          <w:rFonts w:ascii="NewBaskerville" w:hAnsi="NewBaskerville"/>
          <w:b/>
          <w:bCs/>
          <w:sz w:val="24"/>
          <w:szCs w:val="24"/>
        </w:rPr>
        <w:t xml:space="preserve">. </w:t>
      </w:r>
      <w:r w:rsidR="00381A73" w:rsidRPr="004E34EF">
        <w:rPr>
          <w:rFonts w:ascii="NewBaskerville" w:hAnsi="NewBaskerville"/>
          <w:b/>
          <w:bCs/>
          <w:sz w:val="24"/>
          <w:szCs w:val="24"/>
        </w:rPr>
        <w:t>Inmovilizado material</w:t>
      </w:r>
    </w:p>
    <w:p w:rsidR="00653024" w:rsidRDefault="00653024" w:rsidP="00381A73">
      <w:pPr>
        <w:tabs>
          <w:tab w:val="right" w:pos="8364"/>
        </w:tabs>
        <w:jc w:val="both"/>
      </w:pPr>
    </w:p>
    <w:p w:rsidR="00227164" w:rsidRDefault="00F74AD6" w:rsidP="00DE5AD0">
      <w:pPr>
        <w:tabs>
          <w:tab w:val="right" w:pos="8364"/>
        </w:tabs>
        <w:spacing w:after="120"/>
        <w:ind w:firstLine="567"/>
        <w:jc w:val="both"/>
        <w:rPr>
          <w:rFonts w:ascii="NewBaskerville" w:hAnsi="NewBaskerville"/>
        </w:rPr>
      </w:pPr>
      <w:r>
        <w:rPr>
          <w:rFonts w:ascii="NewBaskerville" w:hAnsi="NewBaskerville"/>
        </w:rPr>
        <w:t>Los</w:t>
      </w:r>
      <w:r w:rsidR="00381A73" w:rsidRPr="004E34EF">
        <w:rPr>
          <w:rFonts w:ascii="NewBaskerville" w:hAnsi="NewBaskerville"/>
        </w:rPr>
        <w:t xml:space="preserve"> movimiento</w:t>
      </w:r>
      <w:r>
        <w:rPr>
          <w:rFonts w:ascii="NewBaskerville" w:hAnsi="NewBaskerville"/>
        </w:rPr>
        <w:t>s</w:t>
      </w:r>
      <w:r w:rsidR="00381A73" w:rsidRPr="004E34EF">
        <w:rPr>
          <w:rFonts w:ascii="NewBaskerville" w:hAnsi="NewBaskerville"/>
        </w:rPr>
        <w:t xml:space="preserve"> de las inmovilizaciones e</w:t>
      </w:r>
      <w:r w:rsidR="004D3AEE" w:rsidRPr="004E34EF">
        <w:rPr>
          <w:rFonts w:ascii="NewBaskerville" w:hAnsi="NewBaskerville"/>
        </w:rPr>
        <w:t>n</w:t>
      </w:r>
      <w:r w:rsidR="007863E3" w:rsidRPr="004E34EF">
        <w:rPr>
          <w:rFonts w:ascii="NewBaskerville" w:hAnsi="NewBaskerville"/>
        </w:rPr>
        <w:t xml:space="preserve"> curso durante el ejercicio 202</w:t>
      </w:r>
      <w:r w:rsidR="00F12386">
        <w:rPr>
          <w:rFonts w:ascii="NewBaskerville" w:hAnsi="NewBaskerville"/>
        </w:rPr>
        <w:t>4</w:t>
      </w:r>
      <w:r w:rsidR="00381A73" w:rsidRPr="004E34EF">
        <w:rPr>
          <w:rFonts w:ascii="NewBaskerville" w:hAnsi="NewBaskerville"/>
        </w:rPr>
        <w:t xml:space="preserve"> y</w:t>
      </w:r>
      <w:r w:rsidR="007863E3" w:rsidRPr="004E34EF">
        <w:rPr>
          <w:rFonts w:ascii="NewBaskerville" w:hAnsi="NewBaskerville"/>
        </w:rPr>
        <w:t xml:space="preserve"> 202</w:t>
      </w:r>
      <w:r w:rsidR="00F12386">
        <w:rPr>
          <w:rFonts w:ascii="NewBaskerville" w:hAnsi="NewBaskerville"/>
        </w:rPr>
        <w:t>3</w:t>
      </w:r>
      <w:r w:rsidR="00356D50" w:rsidRPr="004E34EF">
        <w:rPr>
          <w:rFonts w:ascii="NewBaskerville" w:hAnsi="NewBaskerville"/>
        </w:rPr>
        <w:t xml:space="preserve"> </w:t>
      </w:r>
      <w:r w:rsidR="00381A73" w:rsidRPr="004E34EF">
        <w:rPr>
          <w:rFonts w:ascii="NewBaskerville" w:hAnsi="NewBaskerville"/>
        </w:rPr>
        <w:t>son los siguientes:</w:t>
      </w:r>
    </w:p>
    <w:p w:rsidR="008D3AA5" w:rsidRPr="004E34EF" w:rsidRDefault="008D3AA5" w:rsidP="00DE5AD0">
      <w:pPr>
        <w:tabs>
          <w:tab w:val="right" w:pos="8364"/>
        </w:tabs>
        <w:spacing w:after="120"/>
        <w:ind w:firstLine="567"/>
        <w:jc w:val="both"/>
        <w:rPr>
          <w:rFonts w:ascii="NewBaskerville" w:hAnsi="NewBaskerville"/>
        </w:rPr>
      </w:pPr>
    </w:p>
    <w:tbl>
      <w:tblPr>
        <w:tblW w:w="6668" w:type="dxa"/>
        <w:tblInd w:w="70" w:type="dxa"/>
        <w:tblCellMar>
          <w:left w:w="70" w:type="dxa"/>
          <w:right w:w="70" w:type="dxa"/>
        </w:tblCellMar>
        <w:tblLook w:val="04A0" w:firstRow="1" w:lastRow="0" w:firstColumn="1" w:lastColumn="0" w:noHBand="0" w:noVBand="1"/>
      </w:tblPr>
      <w:tblGrid>
        <w:gridCol w:w="3056"/>
        <w:gridCol w:w="1996"/>
        <w:gridCol w:w="1616"/>
      </w:tblGrid>
      <w:tr w:rsidR="008D3AA5" w:rsidRPr="008D3AA5" w:rsidTr="008D3AA5">
        <w:trPr>
          <w:trHeight w:val="300"/>
        </w:trPr>
        <w:tc>
          <w:tcPr>
            <w:tcW w:w="3056" w:type="dxa"/>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b/>
                <w:bCs/>
                <w:color w:val="000000"/>
                <w:sz w:val="18"/>
                <w:szCs w:val="18"/>
                <w:lang w:val="es-ES"/>
              </w:rPr>
            </w:pPr>
            <w:r w:rsidRPr="008D3AA5">
              <w:rPr>
                <w:rFonts w:ascii="Lucida Bright" w:hAnsi="Lucida Bright" w:cs="Calibri"/>
                <w:b/>
                <w:bCs/>
                <w:color w:val="000000"/>
                <w:sz w:val="18"/>
                <w:szCs w:val="18"/>
                <w:lang w:val="es-ES"/>
              </w:rPr>
              <w:t>Saldo a 31/12/2022</w:t>
            </w:r>
          </w:p>
        </w:tc>
        <w:tc>
          <w:tcPr>
            <w:tcW w:w="1996" w:type="dxa"/>
            <w:tcBorders>
              <w:top w:val="nil"/>
              <w:left w:val="nil"/>
              <w:bottom w:val="nil"/>
              <w:right w:val="nil"/>
            </w:tcBorders>
            <w:shd w:val="clear" w:color="auto" w:fill="auto"/>
            <w:noWrap/>
            <w:vAlign w:val="bottom"/>
            <w:hideMark/>
          </w:tcPr>
          <w:p w:rsidR="008D3AA5" w:rsidRPr="008D3AA5" w:rsidRDefault="008D3AA5" w:rsidP="008D3AA5">
            <w:pPr>
              <w:rPr>
                <w:rFonts w:ascii="Calibri" w:hAnsi="Calibri" w:cs="Calibri"/>
                <w:color w:val="000000"/>
                <w:sz w:val="22"/>
                <w:szCs w:val="22"/>
                <w:lang w:val="es-ES"/>
              </w:rPr>
            </w:pP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b/>
                <w:bCs/>
                <w:color w:val="000000"/>
                <w:sz w:val="18"/>
                <w:szCs w:val="18"/>
                <w:lang w:val="es-ES"/>
              </w:rPr>
            </w:pPr>
            <w:r w:rsidRPr="008D3AA5">
              <w:rPr>
                <w:rFonts w:ascii="Lucida Bright" w:hAnsi="Lucida Bright" w:cs="Calibri"/>
                <w:b/>
                <w:bCs/>
                <w:color w:val="000000"/>
                <w:sz w:val="18"/>
                <w:szCs w:val="18"/>
                <w:lang w:val="es-ES"/>
              </w:rPr>
              <w:t xml:space="preserve">56.176.200,63 </w:t>
            </w:r>
          </w:p>
        </w:tc>
      </w:tr>
      <w:tr w:rsidR="008D3AA5" w:rsidRPr="008D3AA5" w:rsidTr="008D3AA5">
        <w:trPr>
          <w:trHeight w:val="300"/>
        </w:trPr>
        <w:tc>
          <w:tcPr>
            <w:tcW w:w="3056" w:type="dxa"/>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Adiciones por inversión</w:t>
            </w:r>
          </w:p>
        </w:tc>
        <w:tc>
          <w:tcPr>
            <w:tcW w:w="1996" w:type="dxa"/>
            <w:tcBorders>
              <w:top w:val="nil"/>
              <w:left w:val="nil"/>
              <w:bottom w:val="nil"/>
              <w:right w:val="nil"/>
            </w:tcBorders>
            <w:shd w:val="clear" w:color="auto" w:fill="auto"/>
            <w:noWrap/>
            <w:vAlign w:val="bottom"/>
            <w:hideMark/>
          </w:tcPr>
          <w:p w:rsidR="008D3AA5" w:rsidRPr="008D3AA5" w:rsidRDefault="008D3AA5" w:rsidP="008D3AA5">
            <w:pPr>
              <w:rPr>
                <w:rFonts w:ascii="Calibri" w:hAnsi="Calibri" w:cs="Calibri"/>
                <w:color w:val="000000"/>
                <w:sz w:val="22"/>
                <w:szCs w:val="22"/>
                <w:lang w:val="es-ES"/>
              </w:rPr>
            </w:pP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xml:space="preserve">39.632.030,52 </w:t>
            </w:r>
          </w:p>
        </w:tc>
      </w:tr>
      <w:tr w:rsidR="008D3AA5" w:rsidRPr="008D3AA5" w:rsidTr="008D3AA5">
        <w:trPr>
          <w:trHeight w:val="300"/>
        </w:trPr>
        <w:tc>
          <w:tcPr>
            <w:tcW w:w="5052" w:type="dxa"/>
            <w:gridSpan w:val="2"/>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xml:space="preserve">(+) Transferencias desde otros Organismos Públicos  </w:t>
            </w: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xml:space="preserve">14.401,08 </w:t>
            </w:r>
          </w:p>
        </w:tc>
      </w:tr>
      <w:tr w:rsidR="008D3AA5" w:rsidRPr="008D3AA5" w:rsidTr="008D3AA5">
        <w:trPr>
          <w:trHeight w:val="300"/>
        </w:trPr>
        <w:tc>
          <w:tcPr>
            <w:tcW w:w="5052" w:type="dxa"/>
            <w:gridSpan w:val="2"/>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Traspasos a inmovilizado material</w:t>
            </w: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xml:space="preserve">(28.520.184,00) </w:t>
            </w:r>
          </w:p>
        </w:tc>
      </w:tr>
      <w:tr w:rsidR="008D3AA5" w:rsidRPr="008D3AA5" w:rsidTr="008D3AA5">
        <w:trPr>
          <w:trHeight w:val="300"/>
        </w:trPr>
        <w:tc>
          <w:tcPr>
            <w:tcW w:w="5052" w:type="dxa"/>
            <w:gridSpan w:val="2"/>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Traspasos a inversiones inmobiliarias</w:t>
            </w: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xml:space="preserve">(151.756,91) </w:t>
            </w:r>
          </w:p>
        </w:tc>
      </w:tr>
      <w:tr w:rsidR="008D3AA5" w:rsidRPr="008D3AA5" w:rsidTr="008D3AA5">
        <w:trPr>
          <w:trHeight w:val="300"/>
        </w:trPr>
        <w:tc>
          <w:tcPr>
            <w:tcW w:w="5052" w:type="dxa"/>
            <w:gridSpan w:val="2"/>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Traspasos a inmovilizado intangible</w:t>
            </w: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xml:space="preserve">(359.952,03) </w:t>
            </w:r>
          </w:p>
        </w:tc>
      </w:tr>
      <w:tr w:rsidR="008D3AA5" w:rsidRPr="008D3AA5" w:rsidTr="008D3AA5">
        <w:trPr>
          <w:trHeight w:val="300"/>
        </w:trPr>
        <w:tc>
          <w:tcPr>
            <w:tcW w:w="3056" w:type="dxa"/>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Traspasos a gastos</w:t>
            </w:r>
          </w:p>
        </w:tc>
        <w:tc>
          <w:tcPr>
            <w:tcW w:w="1996" w:type="dxa"/>
            <w:tcBorders>
              <w:top w:val="nil"/>
              <w:left w:val="nil"/>
              <w:bottom w:val="nil"/>
              <w:right w:val="nil"/>
            </w:tcBorders>
            <w:shd w:val="clear" w:color="auto" w:fill="auto"/>
            <w:noWrap/>
            <w:vAlign w:val="bottom"/>
            <w:hideMark/>
          </w:tcPr>
          <w:p w:rsidR="008D3AA5" w:rsidRPr="008D3AA5" w:rsidRDefault="008D3AA5" w:rsidP="008D3AA5">
            <w:pPr>
              <w:rPr>
                <w:rFonts w:ascii="Calibri" w:hAnsi="Calibri" w:cs="Calibri"/>
                <w:color w:val="000000"/>
                <w:sz w:val="22"/>
                <w:szCs w:val="22"/>
                <w:lang w:val="es-ES"/>
              </w:rPr>
            </w:pP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xml:space="preserve">(15.000,00) </w:t>
            </w:r>
          </w:p>
        </w:tc>
      </w:tr>
      <w:tr w:rsidR="008D3AA5" w:rsidRPr="008D3AA5" w:rsidTr="008D3AA5">
        <w:trPr>
          <w:trHeight w:val="300"/>
        </w:trPr>
        <w:tc>
          <w:tcPr>
            <w:tcW w:w="3056" w:type="dxa"/>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Bajas</w:t>
            </w:r>
          </w:p>
        </w:tc>
        <w:tc>
          <w:tcPr>
            <w:tcW w:w="1996" w:type="dxa"/>
            <w:tcBorders>
              <w:top w:val="nil"/>
              <w:left w:val="nil"/>
              <w:bottom w:val="nil"/>
              <w:right w:val="nil"/>
            </w:tcBorders>
            <w:shd w:val="clear" w:color="auto" w:fill="auto"/>
            <w:noWrap/>
            <w:vAlign w:val="bottom"/>
            <w:hideMark/>
          </w:tcPr>
          <w:p w:rsidR="008D3AA5" w:rsidRPr="008D3AA5" w:rsidRDefault="008D3AA5" w:rsidP="008D3AA5">
            <w:pPr>
              <w:rPr>
                <w:rFonts w:ascii="Calibri" w:hAnsi="Calibri" w:cs="Calibri"/>
                <w:color w:val="000000"/>
                <w:sz w:val="22"/>
                <w:szCs w:val="22"/>
                <w:lang w:val="es-ES"/>
              </w:rPr>
            </w:pP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xml:space="preserve">(237.041,42) </w:t>
            </w:r>
          </w:p>
        </w:tc>
      </w:tr>
      <w:tr w:rsidR="008D3AA5" w:rsidRPr="008D3AA5" w:rsidTr="008D3AA5">
        <w:trPr>
          <w:trHeight w:val="300"/>
        </w:trPr>
        <w:tc>
          <w:tcPr>
            <w:tcW w:w="3056" w:type="dxa"/>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b/>
                <w:bCs/>
                <w:color w:val="000000"/>
                <w:sz w:val="18"/>
                <w:szCs w:val="18"/>
                <w:lang w:val="es-ES"/>
              </w:rPr>
            </w:pPr>
            <w:r w:rsidRPr="008D3AA5">
              <w:rPr>
                <w:rFonts w:ascii="Lucida Bright" w:hAnsi="Lucida Bright" w:cs="Calibri"/>
                <w:b/>
                <w:bCs/>
                <w:color w:val="000000"/>
                <w:sz w:val="18"/>
                <w:szCs w:val="18"/>
                <w:lang w:val="es-ES"/>
              </w:rPr>
              <w:t>Saldo final a 31/12/2023</w:t>
            </w:r>
          </w:p>
        </w:tc>
        <w:tc>
          <w:tcPr>
            <w:tcW w:w="1996" w:type="dxa"/>
            <w:tcBorders>
              <w:top w:val="nil"/>
              <w:left w:val="nil"/>
              <w:bottom w:val="nil"/>
              <w:right w:val="nil"/>
            </w:tcBorders>
            <w:shd w:val="clear" w:color="auto" w:fill="auto"/>
            <w:noWrap/>
            <w:vAlign w:val="bottom"/>
            <w:hideMark/>
          </w:tcPr>
          <w:p w:rsidR="008D3AA5" w:rsidRPr="008D3AA5" w:rsidRDefault="008D3AA5" w:rsidP="008D3AA5">
            <w:pPr>
              <w:rPr>
                <w:rFonts w:ascii="Calibri" w:hAnsi="Calibri" w:cs="Calibri"/>
                <w:color w:val="000000"/>
                <w:sz w:val="22"/>
                <w:szCs w:val="22"/>
                <w:lang w:val="es-ES"/>
              </w:rPr>
            </w:pP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b/>
                <w:bCs/>
                <w:color w:val="000000"/>
                <w:sz w:val="18"/>
                <w:szCs w:val="18"/>
                <w:lang w:val="es-ES"/>
              </w:rPr>
            </w:pPr>
            <w:r w:rsidRPr="008D3AA5">
              <w:rPr>
                <w:rFonts w:ascii="Lucida Bright" w:hAnsi="Lucida Bright" w:cs="Calibri"/>
                <w:b/>
                <w:bCs/>
                <w:color w:val="000000"/>
                <w:sz w:val="18"/>
                <w:szCs w:val="18"/>
                <w:lang w:val="es-ES"/>
              </w:rPr>
              <w:t xml:space="preserve">66.538.697,87 </w:t>
            </w:r>
          </w:p>
        </w:tc>
      </w:tr>
      <w:tr w:rsidR="008D3AA5" w:rsidRPr="008D3AA5" w:rsidTr="008D3AA5">
        <w:trPr>
          <w:trHeight w:val="300"/>
        </w:trPr>
        <w:tc>
          <w:tcPr>
            <w:tcW w:w="5052" w:type="dxa"/>
            <w:gridSpan w:val="2"/>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Traspasos a inmovilizado material</w:t>
            </w: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xml:space="preserve">(21.994.653,25) </w:t>
            </w:r>
          </w:p>
        </w:tc>
      </w:tr>
      <w:tr w:rsidR="008D3AA5" w:rsidRPr="008D3AA5" w:rsidTr="008D3AA5">
        <w:trPr>
          <w:trHeight w:val="300"/>
        </w:trPr>
        <w:tc>
          <w:tcPr>
            <w:tcW w:w="5052" w:type="dxa"/>
            <w:gridSpan w:val="2"/>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Traspasos a inversiones inmobiliarias</w:t>
            </w: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xml:space="preserve">(833.672,57) </w:t>
            </w:r>
          </w:p>
        </w:tc>
      </w:tr>
      <w:tr w:rsidR="008D3AA5" w:rsidRPr="008D3AA5" w:rsidTr="008D3AA5">
        <w:trPr>
          <w:trHeight w:val="300"/>
        </w:trPr>
        <w:tc>
          <w:tcPr>
            <w:tcW w:w="5052" w:type="dxa"/>
            <w:gridSpan w:val="2"/>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Traspasos a inmovilizado intangible</w:t>
            </w: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xml:space="preserve">(4.492.418,63) </w:t>
            </w:r>
          </w:p>
        </w:tc>
      </w:tr>
      <w:tr w:rsidR="008D3AA5" w:rsidRPr="008D3AA5" w:rsidTr="008D3AA5">
        <w:trPr>
          <w:trHeight w:val="300"/>
        </w:trPr>
        <w:tc>
          <w:tcPr>
            <w:tcW w:w="3056" w:type="dxa"/>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Traspasos a gastos</w:t>
            </w:r>
          </w:p>
        </w:tc>
        <w:tc>
          <w:tcPr>
            <w:tcW w:w="1996" w:type="dxa"/>
            <w:tcBorders>
              <w:top w:val="nil"/>
              <w:left w:val="nil"/>
              <w:bottom w:val="nil"/>
              <w:right w:val="nil"/>
            </w:tcBorders>
            <w:shd w:val="clear" w:color="auto" w:fill="auto"/>
            <w:noWrap/>
            <w:vAlign w:val="bottom"/>
            <w:hideMark/>
          </w:tcPr>
          <w:p w:rsidR="008D3AA5" w:rsidRPr="008D3AA5" w:rsidRDefault="008D3AA5" w:rsidP="008D3AA5">
            <w:pPr>
              <w:rPr>
                <w:rFonts w:ascii="Calibri" w:hAnsi="Calibri" w:cs="Calibri"/>
                <w:color w:val="000000"/>
                <w:sz w:val="22"/>
                <w:szCs w:val="22"/>
                <w:lang w:val="es-ES"/>
              </w:rPr>
            </w:pP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xml:space="preserve">(941.251,44) </w:t>
            </w:r>
          </w:p>
        </w:tc>
      </w:tr>
      <w:tr w:rsidR="008D3AA5" w:rsidRPr="008D3AA5" w:rsidTr="008D3AA5">
        <w:trPr>
          <w:trHeight w:val="300"/>
        </w:trPr>
        <w:tc>
          <w:tcPr>
            <w:tcW w:w="3056" w:type="dxa"/>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Bajas</w:t>
            </w:r>
          </w:p>
        </w:tc>
        <w:tc>
          <w:tcPr>
            <w:tcW w:w="1996" w:type="dxa"/>
            <w:tcBorders>
              <w:top w:val="nil"/>
              <w:left w:val="nil"/>
              <w:bottom w:val="nil"/>
              <w:right w:val="nil"/>
            </w:tcBorders>
            <w:shd w:val="clear" w:color="auto" w:fill="auto"/>
            <w:noWrap/>
            <w:vAlign w:val="bottom"/>
            <w:hideMark/>
          </w:tcPr>
          <w:p w:rsidR="008D3AA5" w:rsidRPr="008D3AA5" w:rsidRDefault="008D3AA5" w:rsidP="008D3AA5">
            <w:pPr>
              <w:rPr>
                <w:rFonts w:ascii="Calibri" w:hAnsi="Calibri" w:cs="Calibri"/>
                <w:color w:val="000000"/>
                <w:sz w:val="22"/>
                <w:szCs w:val="22"/>
                <w:lang w:val="es-ES"/>
              </w:rPr>
            </w:pP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xml:space="preserve">(1.821.706,80) </w:t>
            </w:r>
          </w:p>
        </w:tc>
      </w:tr>
      <w:tr w:rsidR="008D3AA5" w:rsidRPr="008D3AA5" w:rsidTr="008D3AA5">
        <w:trPr>
          <w:trHeight w:val="300"/>
        </w:trPr>
        <w:tc>
          <w:tcPr>
            <w:tcW w:w="3056" w:type="dxa"/>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b/>
                <w:bCs/>
                <w:color w:val="000000"/>
                <w:sz w:val="18"/>
                <w:szCs w:val="18"/>
                <w:lang w:val="es-ES"/>
              </w:rPr>
            </w:pPr>
            <w:r w:rsidRPr="008D3AA5">
              <w:rPr>
                <w:rFonts w:ascii="Lucida Bright" w:hAnsi="Lucida Bright" w:cs="Calibri"/>
                <w:b/>
                <w:bCs/>
                <w:color w:val="000000"/>
                <w:sz w:val="18"/>
                <w:szCs w:val="18"/>
                <w:lang w:val="es-ES"/>
              </w:rPr>
              <w:t>Saldo inicial a 01/01/2024</w:t>
            </w:r>
          </w:p>
        </w:tc>
        <w:tc>
          <w:tcPr>
            <w:tcW w:w="1996" w:type="dxa"/>
            <w:tcBorders>
              <w:top w:val="nil"/>
              <w:left w:val="nil"/>
              <w:bottom w:val="nil"/>
              <w:right w:val="nil"/>
            </w:tcBorders>
            <w:shd w:val="clear" w:color="auto" w:fill="auto"/>
            <w:noWrap/>
            <w:vAlign w:val="bottom"/>
            <w:hideMark/>
          </w:tcPr>
          <w:p w:rsidR="008D3AA5" w:rsidRPr="008D3AA5" w:rsidRDefault="008D3AA5" w:rsidP="008D3AA5">
            <w:pPr>
              <w:rPr>
                <w:rFonts w:ascii="Calibri" w:hAnsi="Calibri" w:cs="Calibri"/>
                <w:color w:val="000000"/>
                <w:sz w:val="22"/>
                <w:szCs w:val="22"/>
                <w:lang w:val="es-ES"/>
              </w:rPr>
            </w:pP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b/>
                <w:bCs/>
                <w:color w:val="000000"/>
                <w:sz w:val="18"/>
                <w:szCs w:val="18"/>
                <w:lang w:val="es-ES"/>
              </w:rPr>
            </w:pPr>
            <w:r w:rsidRPr="008D3AA5">
              <w:rPr>
                <w:rFonts w:ascii="Lucida Bright" w:hAnsi="Lucida Bright" w:cs="Calibri"/>
                <w:b/>
                <w:bCs/>
                <w:color w:val="000000"/>
                <w:sz w:val="18"/>
                <w:szCs w:val="18"/>
                <w:lang w:val="es-ES"/>
              </w:rPr>
              <w:t xml:space="preserve">36.454.995,18 </w:t>
            </w:r>
          </w:p>
        </w:tc>
      </w:tr>
      <w:tr w:rsidR="008D3AA5" w:rsidRPr="008D3AA5" w:rsidTr="008D3AA5">
        <w:trPr>
          <w:trHeight w:val="300"/>
        </w:trPr>
        <w:tc>
          <w:tcPr>
            <w:tcW w:w="3056" w:type="dxa"/>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Adiciones por inversión</w:t>
            </w:r>
          </w:p>
        </w:tc>
        <w:tc>
          <w:tcPr>
            <w:tcW w:w="1996" w:type="dxa"/>
            <w:tcBorders>
              <w:top w:val="nil"/>
              <w:left w:val="nil"/>
              <w:bottom w:val="nil"/>
              <w:right w:val="nil"/>
            </w:tcBorders>
            <w:shd w:val="clear" w:color="auto" w:fill="auto"/>
            <w:noWrap/>
            <w:vAlign w:val="bottom"/>
            <w:hideMark/>
          </w:tcPr>
          <w:p w:rsidR="008D3AA5" w:rsidRPr="008D3AA5" w:rsidRDefault="008D3AA5" w:rsidP="008D3AA5">
            <w:pPr>
              <w:rPr>
                <w:rFonts w:ascii="Calibri" w:hAnsi="Calibri" w:cs="Calibri"/>
                <w:color w:val="000000"/>
                <w:sz w:val="22"/>
                <w:szCs w:val="22"/>
                <w:lang w:val="es-ES"/>
              </w:rPr>
            </w:pP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xml:space="preserve">47.142.245,37 </w:t>
            </w:r>
          </w:p>
        </w:tc>
      </w:tr>
      <w:tr w:rsidR="008D3AA5" w:rsidRPr="008D3AA5" w:rsidTr="008D3AA5">
        <w:trPr>
          <w:trHeight w:val="300"/>
        </w:trPr>
        <w:tc>
          <w:tcPr>
            <w:tcW w:w="5052" w:type="dxa"/>
            <w:gridSpan w:val="2"/>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Traspasos a inmovilizado material</w:t>
            </w: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xml:space="preserve">(29.341.891,91) </w:t>
            </w:r>
          </w:p>
        </w:tc>
      </w:tr>
      <w:tr w:rsidR="008D3AA5" w:rsidRPr="008D3AA5" w:rsidTr="008D3AA5">
        <w:trPr>
          <w:trHeight w:val="300"/>
        </w:trPr>
        <w:tc>
          <w:tcPr>
            <w:tcW w:w="5052" w:type="dxa"/>
            <w:gridSpan w:val="2"/>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Traspasos a inversiones inmobiliarias</w:t>
            </w: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xml:space="preserve">(1.532.491,58) </w:t>
            </w:r>
          </w:p>
        </w:tc>
      </w:tr>
      <w:tr w:rsidR="008D3AA5" w:rsidRPr="008D3AA5" w:rsidTr="008D3AA5">
        <w:trPr>
          <w:trHeight w:val="300"/>
        </w:trPr>
        <w:tc>
          <w:tcPr>
            <w:tcW w:w="5052" w:type="dxa"/>
            <w:gridSpan w:val="2"/>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Traspasos a inmovilizado intangible</w:t>
            </w: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xml:space="preserve">(2.564.903,11) </w:t>
            </w:r>
          </w:p>
        </w:tc>
      </w:tr>
      <w:tr w:rsidR="008D3AA5" w:rsidRPr="008D3AA5" w:rsidTr="008D3AA5">
        <w:trPr>
          <w:trHeight w:val="300"/>
        </w:trPr>
        <w:tc>
          <w:tcPr>
            <w:tcW w:w="3056" w:type="dxa"/>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Traspasos a gastos</w:t>
            </w:r>
          </w:p>
        </w:tc>
        <w:tc>
          <w:tcPr>
            <w:tcW w:w="1996" w:type="dxa"/>
            <w:tcBorders>
              <w:top w:val="nil"/>
              <w:left w:val="nil"/>
              <w:bottom w:val="nil"/>
              <w:right w:val="nil"/>
            </w:tcBorders>
            <w:shd w:val="clear" w:color="auto" w:fill="auto"/>
            <w:noWrap/>
            <w:vAlign w:val="bottom"/>
            <w:hideMark/>
          </w:tcPr>
          <w:p w:rsidR="008D3AA5" w:rsidRPr="008D3AA5" w:rsidRDefault="008D3AA5" w:rsidP="008D3AA5">
            <w:pPr>
              <w:rPr>
                <w:rFonts w:ascii="Calibri" w:hAnsi="Calibri" w:cs="Calibri"/>
                <w:color w:val="000000"/>
                <w:sz w:val="22"/>
                <w:szCs w:val="22"/>
                <w:lang w:val="es-ES"/>
              </w:rPr>
            </w:pP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xml:space="preserve">(368.725,56) </w:t>
            </w:r>
          </w:p>
        </w:tc>
      </w:tr>
      <w:tr w:rsidR="008D3AA5" w:rsidRPr="008D3AA5" w:rsidTr="008D3AA5">
        <w:trPr>
          <w:trHeight w:val="300"/>
        </w:trPr>
        <w:tc>
          <w:tcPr>
            <w:tcW w:w="3056" w:type="dxa"/>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Bajas</w:t>
            </w:r>
          </w:p>
        </w:tc>
        <w:tc>
          <w:tcPr>
            <w:tcW w:w="1996" w:type="dxa"/>
            <w:tcBorders>
              <w:top w:val="nil"/>
              <w:left w:val="nil"/>
              <w:bottom w:val="nil"/>
              <w:right w:val="nil"/>
            </w:tcBorders>
            <w:shd w:val="clear" w:color="auto" w:fill="auto"/>
            <w:noWrap/>
            <w:vAlign w:val="bottom"/>
            <w:hideMark/>
          </w:tcPr>
          <w:p w:rsidR="008D3AA5" w:rsidRPr="008D3AA5" w:rsidRDefault="008D3AA5" w:rsidP="008D3AA5">
            <w:pPr>
              <w:rPr>
                <w:rFonts w:ascii="Calibri" w:hAnsi="Calibri" w:cs="Calibri"/>
                <w:color w:val="000000"/>
                <w:sz w:val="22"/>
                <w:szCs w:val="22"/>
                <w:lang w:val="es-ES"/>
              </w:rPr>
            </w:pP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color w:val="000000"/>
                <w:sz w:val="18"/>
                <w:szCs w:val="18"/>
                <w:lang w:val="es-ES"/>
              </w:rPr>
            </w:pPr>
            <w:r w:rsidRPr="008D3AA5">
              <w:rPr>
                <w:rFonts w:ascii="Lucida Bright" w:hAnsi="Lucida Bright" w:cs="Calibri"/>
                <w:color w:val="000000"/>
                <w:sz w:val="18"/>
                <w:szCs w:val="18"/>
                <w:lang w:val="es-ES"/>
              </w:rPr>
              <w:t xml:space="preserve">- </w:t>
            </w:r>
          </w:p>
        </w:tc>
      </w:tr>
      <w:tr w:rsidR="008D3AA5" w:rsidRPr="008D3AA5" w:rsidTr="008D3AA5">
        <w:trPr>
          <w:trHeight w:val="300"/>
        </w:trPr>
        <w:tc>
          <w:tcPr>
            <w:tcW w:w="3056" w:type="dxa"/>
            <w:tcBorders>
              <w:top w:val="nil"/>
              <w:left w:val="nil"/>
              <w:bottom w:val="nil"/>
              <w:right w:val="nil"/>
            </w:tcBorders>
            <w:shd w:val="clear" w:color="auto" w:fill="auto"/>
            <w:noWrap/>
            <w:vAlign w:val="bottom"/>
            <w:hideMark/>
          </w:tcPr>
          <w:p w:rsidR="008D3AA5" w:rsidRPr="008D3AA5" w:rsidRDefault="008D3AA5" w:rsidP="008D3AA5">
            <w:pPr>
              <w:rPr>
                <w:rFonts w:ascii="Lucida Bright" w:hAnsi="Lucida Bright" w:cs="Calibri"/>
                <w:b/>
                <w:bCs/>
                <w:color w:val="000000"/>
                <w:sz w:val="18"/>
                <w:szCs w:val="18"/>
                <w:lang w:val="es-ES"/>
              </w:rPr>
            </w:pPr>
            <w:r w:rsidRPr="008D3AA5">
              <w:rPr>
                <w:rFonts w:ascii="Lucida Bright" w:hAnsi="Lucida Bright" w:cs="Calibri"/>
                <w:b/>
                <w:bCs/>
                <w:color w:val="000000"/>
                <w:sz w:val="18"/>
                <w:szCs w:val="18"/>
                <w:lang w:val="es-ES"/>
              </w:rPr>
              <w:t>Saldo final a 31/12/2024</w:t>
            </w:r>
          </w:p>
        </w:tc>
        <w:tc>
          <w:tcPr>
            <w:tcW w:w="1996" w:type="dxa"/>
            <w:tcBorders>
              <w:top w:val="nil"/>
              <w:left w:val="nil"/>
              <w:bottom w:val="nil"/>
              <w:right w:val="nil"/>
            </w:tcBorders>
            <w:shd w:val="clear" w:color="auto" w:fill="auto"/>
            <w:noWrap/>
            <w:vAlign w:val="bottom"/>
            <w:hideMark/>
          </w:tcPr>
          <w:p w:rsidR="008D3AA5" w:rsidRPr="008D3AA5" w:rsidRDefault="008D3AA5" w:rsidP="008D3AA5">
            <w:pPr>
              <w:rPr>
                <w:rFonts w:ascii="Calibri" w:hAnsi="Calibri" w:cs="Calibri"/>
                <w:color w:val="000000"/>
                <w:sz w:val="22"/>
                <w:szCs w:val="22"/>
                <w:lang w:val="es-ES"/>
              </w:rPr>
            </w:pPr>
          </w:p>
        </w:tc>
        <w:tc>
          <w:tcPr>
            <w:tcW w:w="1616" w:type="dxa"/>
            <w:tcBorders>
              <w:top w:val="nil"/>
              <w:left w:val="nil"/>
              <w:bottom w:val="nil"/>
              <w:right w:val="nil"/>
            </w:tcBorders>
            <w:shd w:val="clear" w:color="auto" w:fill="auto"/>
            <w:noWrap/>
            <w:vAlign w:val="bottom"/>
            <w:hideMark/>
          </w:tcPr>
          <w:p w:rsidR="008D3AA5" w:rsidRPr="008D3AA5" w:rsidRDefault="008D3AA5" w:rsidP="008D3AA5">
            <w:pPr>
              <w:jc w:val="right"/>
              <w:rPr>
                <w:rFonts w:ascii="Lucida Bright" w:hAnsi="Lucida Bright" w:cs="Calibri"/>
                <w:b/>
                <w:bCs/>
                <w:color w:val="000000"/>
                <w:sz w:val="18"/>
                <w:szCs w:val="18"/>
                <w:lang w:val="es-ES"/>
              </w:rPr>
            </w:pPr>
            <w:r w:rsidRPr="008D3AA5">
              <w:rPr>
                <w:rFonts w:ascii="Lucida Bright" w:hAnsi="Lucida Bright" w:cs="Calibri"/>
                <w:b/>
                <w:bCs/>
                <w:color w:val="000000"/>
                <w:sz w:val="18"/>
                <w:szCs w:val="18"/>
                <w:lang w:val="es-ES"/>
              </w:rPr>
              <w:t xml:space="preserve">49.789.228,39 </w:t>
            </w:r>
          </w:p>
        </w:tc>
      </w:tr>
    </w:tbl>
    <w:p w:rsidR="00D51C1D" w:rsidRDefault="00D51C1D" w:rsidP="009726BB">
      <w:pPr>
        <w:tabs>
          <w:tab w:val="right" w:pos="8364"/>
        </w:tabs>
        <w:spacing w:after="120"/>
        <w:jc w:val="both"/>
      </w:pPr>
    </w:p>
    <w:p w:rsidR="002C33C1" w:rsidRDefault="002C33C1" w:rsidP="009726BB">
      <w:pPr>
        <w:tabs>
          <w:tab w:val="right" w:pos="8364"/>
        </w:tabs>
        <w:spacing w:after="120"/>
        <w:jc w:val="both"/>
      </w:pPr>
    </w:p>
    <w:p w:rsidR="002C33C1" w:rsidRDefault="002C33C1" w:rsidP="009726BB">
      <w:pPr>
        <w:tabs>
          <w:tab w:val="right" w:pos="8364"/>
        </w:tabs>
        <w:spacing w:after="120"/>
        <w:jc w:val="both"/>
      </w:pPr>
    </w:p>
    <w:p w:rsidR="00381A73" w:rsidRDefault="00381A73" w:rsidP="003E24B3">
      <w:pPr>
        <w:pStyle w:val="Textoindependiente2"/>
        <w:ind w:firstLine="709"/>
        <w:rPr>
          <w:bCs w:val="0"/>
          <w:szCs w:val="20"/>
        </w:rPr>
      </w:pPr>
    </w:p>
    <w:p w:rsidR="002C33C1" w:rsidRDefault="002C33C1" w:rsidP="003E24B3">
      <w:pPr>
        <w:pStyle w:val="Textoindependiente2"/>
        <w:ind w:firstLine="709"/>
        <w:rPr>
          <w:bCs w:val="0"/>
          <w:szCs w:val="20"/>
        </w:rPr>
      </w:pPr>
    </w:p>
    <w:p w:rsidR="005F35CD" w:rsidRDefault="00624EFB" w:rsidP="00CE17F4">
      <w:pPr>
        <w:tabs>
          <w:tab w:val="right" w:pos="8364"/>
        </w:tabs>
        <w:spacing w:after="120"/>
        <w:ind w:firstLine="567"/>
        <w:jc w:val="both"/>
        <w:rPr>
          <w:sz w:val="24"/>
          <w:szCs w:val="24"/>
        </w:rPr>
      </w:pPr>
      <w:r w:rsidRPr="009726BB">
        <w:rPr>
          <w:rFonts w:ascii="NewBaskerville" w:hAnsi="NewBaskerville"/>
          <w:bCs/>
        </w:rPr>
        <w:t xml:space="preserve">  </w:t>
      </w:r>
      <w:r w:rsidR="0031074B" w:rsidRPr="009726BB">
        <w:rPr>
          <w:rFonts w:ascii="NewBaskerville" w:hAnsi="NewBaskerville"/>
          <w:bCs/>
        </w:rPr>
        <w:t>Los</w:t>
      </w:r>
      <w:r w:rsidR="00381A73" w:rsidRPr="009726BB">
        <w:rPr>
          <w:rFonts w:ascii="NewBaskerville" w:hAnsi="NewBaskerville"/>
          <w:bCs/>
        </w:rPr>
        <w:t xml:space="preserve"> movimientos del in</w:t>
      </w:r>
      <w:r w:rsidRPr="009726BB">
        <w:rPr>
          <w:rFonts w:ascii="NewBaskerville" w:hAnsi="NewBaskerville"/>
          <w:bCs/>
        </w:rPr>
        <w:t xml:space="preserve">movilizado material durante los </w:t>
      </w:r>
      <w:r w:rsidR="00B9194A" w:rsidRPr="009726BB">
        <w:rPr>
          <w:rFonts w:ascii="NewBaskerville" w:hAnsi="NewBaskerville"/>
          <w:bCs/>
        </w:rPr>
        <w:t>ejercicios 202</w:t>
      </w:r>
      <w:r w:rsidR="008D3AA5">
        <w:rPr>
          <w:rFonts w:ascii="NewBaskerville" w:hAnsi="NewBaskerville"/>
          <w:bCs/>
        </w:rPr>
        <w:t>4</w:t>
      </w:r>
      <w:r w:rsidR="00381A73" w:rsidRPr="009726BB">
        <w:rPr>
          <w:rFonts w:ascii="NewBaskerville" w:hAnsi="NewBaskerville"/>
          <w:bCs/>
        </w:rPr>
        <w:t xml:space="preserve"> y 20</w:t>
      </w:r>
      <w:r w:rsidR="00B9194A" w:rsidRPr="009726BB">
        <w:rPr>
          <w:rFonts w:ascii="NewBaskerville" w:hAnsi="NewBaskerville"/>
          <w:bCs/>
        </w:rPr>
        <w:t>2</w:t>
      </w:r>
      <w:r w:rsidR="008D3AA5">
        <w:rPr>
          <w:rFonts w:ascii="NewBaskerville" w:hAnsi="NewBaskerville"/>
          <w:bCs/>
        </w:rPr>
        <w:t>3</w:t>
      </w:r>
      <w:r w:rsidR="00381A73" w:rsidRPr="009726BB">
        <w:rPr>
          <w:rFonts w:ascii="NewBaskerville" w:hAnsi="NewBaskerville"/>
          <w:bCs/>
        </w:rPr>
        <w:t xml:space="preserve">, así como el de su amortización, vienen detallados en los cuadros adjuntos </w:t>
      </w:r>
      <w:r w:rsidR="00A81AA8" w:rsidRPr="009726BB">
        <w:rPr>
          <w:rFonts w:ascii="NewBaskerville" w:hAnsi="NewBaskerville"/>
          <w:bCs/>
        </w:rPr>
        <w:t>desglosados por cada epígrafe. Las altas de inmovilizado material proceden de traspasos desde el inmovilizado en curso.</w:t>
      </w:r>
      <w:r w:rsidR="00621938" w:rsidRPr="009726BB">
        <w:rPr>
          <w:rFonts w:ascii="NewBaskerville" w:hAnsi="NewBaskerville"/>
          <w:bCs/>
        </w:rPr>
        <w:t xml:space="preserve"> </w:t>
      </w:r>
    </w:p>
    <w:p w:rsidR="00B9194A" w:rsidRDefault="00B9194A" w:rsidP="00CE17F4">
      <w:pPr>
        <w:tabs>
          <w:tab w:val="right" w:pos="8364"/>
        </w:tabs>
        <w:spacing w:after="120"/>
        <w:ind w:firstLine="567"/>
        <w:jc w:val="both"/>
        <w:rPr>
          <w:sz w:val="24"/>
          <w:szCs w:val="24"/>
        </w:rPr>
      </w:pPr>
    </w:p>
    <w:p w:rsidR="007F69BD" w:rsidRDefault="007F69BD">
      <w:pPr>
        <w:rPr>
          <w:sz w:val="24"/>
          <w:szCs w:val="24"/>
        </w:rPr>
      </w:pPr>
      <w:r>
        <w:rPr>
          <w:sz w:val="24"/>
          <w:szCs w:val="24"/>
        </w:rPr>
        <w:br w:type="page"/>
      </w:r>
    </w:p>
    <w:p w:rsidR="00B9194A" w:rsidRPr="00D860DF" w:rsidRDefault="00B9194A" w:rsidP="00CE17F4">
      <w:pPr>
        <w:tabs>
          <w:tab w:val="right" w:pos="8364"/>
        </w:tabs>
        <w:spacing w:after="120"/>
        <w:ind w:firstLine="567"/>
        <w:jc w:val="both"/>
        <w:rPr>
          <w:sz w:val="24"/>
          <w:szCs w:val="24"/>
        </w:rPr>
        <w:sectPr w:rsidR="00B9194A" w:rsidRPr="00D860DF" w:rsidSect="00304E6C">
          <w:pgSz w:w="11907" w:h="16840" w:code="9"/>
          <w:pgMar w:top="1701" w:right="1418" w:bottom="1701" w:left="1276" w:header="567" w:footer="397" w:gutter="0"/>
          <w:cols w:space="720"/>
          <w:docGrid w:linePitch="272"/>
        </w:sectPr>
      </w:pPr>
    </w:p>
    <w:tbl>
      <w:tblPr>
        <w:tblW w:w="14228" w:type="dxa"/>
        <w:tblInd w:w="70" w:type="dxa"/>
        <w:tblCellMar>
          <w:left w:w="70" w:type="dxa"/>
          <w:right w:w="70" w:type="dxa"/>
        </w:tblCellMar>
        <w:tblLook w:val="04A0" w:firstRow="1" w:lastRow="0" w:firstColumn="1" w:lastColumn="0" w:noHBand="0" w:noVBand="1"/>
      </w:tblPr>
      <w:tblGrid>
        <w:gridCol w:w="3836"/>
        <w:gridCol w:w="1300"/>
        <w:gridCol w:w="1376"/>
        <w:gridCol w:w="1376"/>
        <w:gridCol w:w="1556"/>
        <w:gridCol w:w="1316"/>
        <w:gridCol w:w="1216"/>
        <w:gridCol w:w="956"/>
        <w:gridCol w:w="1296"/>
      </w:tblGrid>
      <w:tr w:rsidR="00024224" w:rsidRPr="00024224" w:rsidTr="00024224">
        <w:trPr>
          <w:trHeight w:val="300"/>
        </w:trPr>
        <w:tc>
          <w:tcPr>
            <w:tcW w:w="5136" w:type="dxa"/>
            <w:gridSpan w:val="2"/>
            <w:tcBorders>
              <w:top w:val="nil"/>
              <w:left w:val="nil"/>
              <w:bottom w:val="nil"/>
              <w:right w:val="nil"/>
            </w:tcBorders>
            <w:shd w:val="clear" w:color="auto" w:fill="auto"/>
            <w:noWrap/>
            <w:vAlign w:val="bottom"/>
            <w:hideMark/>
          </w:tcPr>
          <w:p w:rsidR="00024224" w:rsidRPr="00024224" w:rsidRDefault="00024224" w:rsidP="00024224">
            <w:pPr>
              <w:rPr>
                <w:rFonts w:ascii="Lucida Bright" w:hAnsi="Lucida Bright" w:cs="Calibri"/>
                <w:b/>
                <w:bCs/>
                <w:color w:val="000000"/>
                <w:sz w:val="18"/>
                <w:szCs w:val="18"/>
                <w:lang w:val="es-ES"/>
              </w:rPr>
            </w:pPr>
            <w:r w:rsidRPr="00024224">
              <w:rPr>
                <w:rFonts w:ascii="Lucida Bright" w:hAnsi="Lucida Bright" w:cs="Calibri"/>
                <w:b/>
                <w:bCs/>
                <w:color w:val="000000"/>
                <w:sz w:val="18"/>
                <w:szCs w:val="18"/>
                <w:lang w:val="es-ES"/>
              </w:rPr>
              <w:lastRenderedPageBreak/>
              <w:t>CUADRO: INMOVILIZADO MATERIAL 2024</w:t>
            </w:r>
          </w:p>
        </w:tc>
        <w:tc>
          <w:tcPr>
            <w:tcW w:w="1376" w:type="dxa"/>
            <w:tcBorders>
              <w:top w:val="nil"/>
              <w:left w:val="nil"/>
              <w:bottom w:val="nil"/>
              <w:right w:val="nil"/>
            </w:tcBorders>
            <w:shd w:val="clear" w:color="auto" w:fill="auto"/>
            <w:noWrap/>
            <w:vAlign w:val="bottom"/>
            <w:hideMark/>
          </w:tcPr>
          <w:p w:rsidR="00024224" w:rsidRPr="00024224" w:rsidRDefault="00024224" w:rsidP="00024224">
            <w:pPr>
              <w:rPr>
                <w:rFonts w:ascii="Lucida Bright" w:hAnsi="Lucida Bright" w:cs="Calibri"/>
                <w:color w:val="000000"/>
                <w:sz w:val="18"/>
                <w:szCs w:val="18"/>
                <w:lang w:val="es-ES"/>
              </w:rPr>
            </w:pPr>
          </w:p>
        </w:tc>
        <w:tc>
          <w:tcPr>
            <w:tcW w:w="1376" w:type="dxa"/>
            <w:tcBorders>
              <w:top w:val="nil"/>
              <w:left w:val="nil"/>
              <w:bottom w:val="nil"/>
              <w:right w:val="nil"/>
            </w:tcBorders>
            <w:shd w:val="clear" w:color="auto" w:fill="auto"/>
            <w:noWrap/>
            <w:vAlign w:val="bottom"/>
            <w:hideMark/>
          </w:tcPr>
          <w:p w:rsidR="00024224" w:rsidRPr="00024224" w:rsidRDefault="00024224" w:rsidP="00024224">
            <w:pPr>
              <w:rPr>
                <w:rFonts w:ascii="Lucida Bright" w:hAnsi="Lucida Bright" w:cs="Calibri"/>
                <w:color w:val="000000"/>
                <w:sz w:val="18"/>
                <w:szCs w:val="18"/>
                <w:lang w:val="es-ES"/>
              </w:rPr>
            </w:pPr>
          </w:p>
        </w:tc>
        <w:tc>
          <w:tcPr>
            <w:tcW w:w="1556" w:type="dxa"/>
            <w:tcBorders>
              <w:top w:val="nil"/>
              <w:left w:val="nil"/>
              <w:bottom w:val="nil"/>
              <w:right w:val="nil"/>
            </w:tcBorders>
            <w:shd w:val="clear" w:color="auto" w:fill="auto"/>
            <w:noWrap/>
            <w:vAlign w:val="bottom"/>
            <w:hideMark/>
          </w:tcPr>
          <w:p w:rsidR="00024224" w:rsidRPr="00024224" w:rsidRDefault="00024224" w:rsidP="00024224">
            <w:pPr>
              <w:rPr>
                <w:rFonts w:ascii="Lucida Bright" w:hAnsi="Lucida Bright" w:cs="Calibri"/>
                <w:color w:val="000000"/>
                <w:sz w:val="18"/>
                <w:szCs w:val="18"/>
                <w:lang w:val="es-ES"/>
              </w:rPr>
            </w:pPr>
          </w:p>
        </w:tc>
        <w:tc>
          <w:tcPr>
            <w:tcW w:w="1316" w:type="dxa"/>
            <w:tcBorders>
              <w:top w:val="nil"/>
              <w:left w:val="nil"/>
              <w:bottom w:val="nil"/>
              <w:right w:val="nil"/>
            </w:tcBorders>
            <w:shd w:val="clear" w:color="auto" w:fill="auto"/>
            <w:noWrap/>
            <w:vAlign w:val="bottom"/>
            <w:hideMark/>
          </w:tcPr>
          <w:p w:rsidR="00024224" w:rsidRPr="00024224" w:rsidRDefault="00024224" w:rsidP="00024224">
            <w:pPr>
              <w:rPr>
                <w:rFonts w:ascii="Lucida Bright" w:hAnsi="Lucida Bright" w:cs="Calibri"/>
                <w:color w:val="000000"/>
                <w:sz w:val="18"/>
                <w:szCs w:val="18"/>
                <w:lang w:val="es-ES"/>
              </w:rPr>
            </w:pPr>
          </w:p>
        </w:tc>
        <w:tc>
          <w:tcPr>
            <w:tcW w:w="1216" w:type="dxa"/>
            <w:tcBorders>
              <w:top w:val="nil"/>
              <w:left w:val="nil"/>
              <w:bottom w:val="nil"/>
              <w:right w:val="nil"/>
            </w:tcBorders>
            <w:shd w:val="clear" w:color="auto" w:fill="auto"/>
            <w:noWrap/>
            <w:vAlign w:val="bottom"/>
            <w:hideMark/>
          </w:tcPr>
          <w:p w:rsidR="00024224" w:rsidRPr="00024224" w:rsidRDefault="00024224" w:rsidP="00024224">
            <w:pPr>
              <w:rPr>
                <w:rFonts w:ascii="Lucida Bright" w:hAnsi="Lucida Bright" w:cs="Calibri"/>
                <w:color w:val="000000"/>
                <w:sz w:val="18"/>
                <w:szCs w:val="18"/>
                <w:lang w:val="es-ES"/>
              </w:rPr>
            </w:pPr>
          </w:p>
        </w:tc>
        <w:tc>
          <w:tcPr>
            <w:tcW w:w="956" w:type="dxa"/>
            <w:tcBorders>
              <w:top w:val="nil"/>
              <w:left w:val="nil"/>
              <w:bottom w:val="nil"/>
              <w:right w:val="nil"/>
            </w:tcBorders>
            <w:shd w:val="clear" w:color="auto" w:fill="auto"/>
            <w:noWrap/>
            <w:vAlign w:val="bottom"/>
            <w:hideMark/>
          </w:tcPr>
          <w:p w:rsidR="00024224" w:rsidRPr="00024224" w:rsidRDefault="00024224" w:rsidP="00024224">
            <w:pPr>
              <w:rPr>
                <w:rFonts w:ascii="Lucida Bright" w:hAnsi="Lucida Bright" w:cs="Calibri"/>
                <w:color w:val="000000"/>
                <w:sz w:val="18"/>
                <w:szCs w:val="18"/>
                <w:lang w:val="es-ES"/>
              </w:rPr>
            </w:pPr>
          </w:p>
        </w:tc>
        <w:tc>
          <w:tcPr>
            <w:tcW w:w="1296" w:type="dxa"/>
            <w:tcBorders>
              <w:top w:val="nil"/>
              <w:left w:val="nil"/>
              <w:bottom w:val="nil"/>
              <w:right w:val="nil"/>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(en euros)</w:t>
            </w:r>
          </w:p>
        </w:tc>
      </w:tr>
      <w:tr w:rsidR="00024224" w:rsidRPr="00024224" w:rsidTr="00024224">
        <w:trPr>
          <w:trHeight w:val="630"/>
        </w:trPr>
        <w:tc>
          <w:tcPr>
            <w:tcW w:w="3836"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024224" w:rsidRPr="00024224" w:rsidRDefault="00024224" w:rsidP="00024224">
            <w:pPr>
              <w:jc w:val="cente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CONCEPTO</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024224" w:rsidRPr="00024224" w:rsidRDefault="00024224" w:rsidP="00024224">
            <w:pPr>
              <w:jc w:val="cente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Saldo a</w:t>
            </w:r>
            <w:r w:rsidRPr="00024224">
              <w:rPr>
                <w:rFonts w:ascii="Lucida Bright" w:hAnsi="Lucida Bright" w:cs="Calibri"/>
                <w:b/>
                <w:bCs/>
                <w:color w:val="000000"/>
                <w:sz w:val="14"/>
                <w:szCs w:val="14"/>
                <w:lang w:val="es-ES"/>
              </w:rPr>
              <w:br/>
              <w:t>31-12-23</w:t>
            </w:r>
          </w:p>
        </w:tc>
        <w:tc>
          <w:tcPr>
            <w:tcW w:w="2752"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024224" w:rsidRPr="00024224" w:rsidRDefault="00024224" w:rsidP="00024224">
            <w:pPr>
              <w:jc w:val="cente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Variaciones del ejercicio</w:t>
            </w:r>
          </w:p>
        </w:tc>
        <w:tc>
          <w:tcPr>
            <w:tcW w:w="1556"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024224" w:rsidRPr="00024224" w:rsidRDefault="00024224" w:rsidP="00024224">
            <w:pPr>
              <w:jc w:val="cente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Reclasificaciones</w:t>
            </w:r>
            <w:r w:rsidRPr="00024224">
              <w:rPr>
                <w:rFonts w:ascii="Lucida Bright" w:hAnsi="Lucida Bright" w:cs="Calibri"/>
                <w:b/>
                <w:bCs/>
                <w:color w:val="000000"/>
                <w:sz w:val="14"/>
                <w:szCs w:val="14"/>
                <w:lang w:val="es-ES"/>
              </w:rPr>
              <w:br/>
              <w:t>(+/-)</w:t>
            </w:r>
          </w:p>
        </w:tc>
        <w:tc>
          <w:tcPr>
            <w:tcW w:w="1316"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024224" w:rsidRPr="00024224" w:rsidRDefault="00024224" w:rsidP="00024224">
            <w:pPr>
              <w:jc w:val="cente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Traspaso a / de inversiones inmobiliarias (-/+)</w:t>
            </w:r>
          </w:p>
        </w:tc>
        <w:tc>
          <w:tcPr>
            <w:tcW w:w="1216"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024224" w:rsidRPr="00024224" w:rsidRDefault="00024224" w:rsidP="00024224">
            <w:pPr>
              <w:jc w:val="cente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Traspaso a activo</w:t>
            </w:r>
            <w:r w:rsidRPr="00024224">
              <w:rPr>
                <w:rFonts w:ascii="Lucida Bright" w:hAnsi="Lucida Bright" w:cs="Calibri"/>
                <w:b/>
                <w:bCs/>
                <w:color w:val="000000"/>
                <w:sz w:val="14"/>
                <w:szCs w:val="14"/>
                <w:lang w:val="es-ES"/>
              </w:rPr>
              <w:br/>
              <w:t>no corriente mantenido para</w:t>
            </w:r>
            <w:r w:rsidRPr="00024224">
              <w:rPr>
                <w:rFonts w:ascii="Lucida Bright" w:hAnsi="Lucida Bright" w:cs="Calibri"/>
                <w:b/>
                <w:bCs/>
                <w:color w:val="000000"/>
                <w:sz w:val="14"/>
                <w:szCs w:val="14"/>
                <w:lang w:val="es-ES"/>
              </w:rPr>
              <w:br/>
              <w:t>la venta (-)</w:t>
            </w:r>
          </w:p>
        </w:tc>
        <w:tc>
          <w:tcPr>
            <w:tcW w:w="956"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024224" w:rsidRPr="00024224" w:rsidRDefault="00024224" w:rsidP="00024224">
            <w:pPr>
              <w:jc w:val="cente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Ajustes contra patrimonio (+/-)</w:t>
            </w:r>
          </w:p>
        </w:tc>
        <w:tc>
          <w:tcPr>
            <w:tcW w:w="1296"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024224" w:rsidRPr="00024224" w:rsidRDefault="00024224" w:rsidP="00024224">
            <w:pPr>
              <w:jc w:val="cente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Saldo a</w:t>
            </w:r>
            <w:r w:rsidRPr="00024224">
              <w:rPr>
                <w:rFonts w:ascii="Lucida Bright" w:hAnsi="Lucida Bright" w:cs="Calibri"/>
                <w:b/>
                <w:bCs/>
                <w:color w:val="000000"/>
                <w:sz w:val="14"/>
                <w:szCs w:val="14"/>
                <w:lang w:val="es-ES"/>
              </w:rPr>
              <w:br/>
              <w:t>31-12-24</w:t>
            </w:r>
          </w:p>
        </w:tc>
      </w:tr>
      <w:tr w:rsidR="00024224" w:rsidRPr="00024224" w:rsidTr="00024224">
        <w:trPr>
          <w:trHeight w:val="630"/>
        </w:trPr>
        <w:tc>
          <w:tcPr>
            <w:tcW w:w="3836" w:type="dxa"/>
            <w:vMerge/>
            <w:tcBorders>
              <w:top w:val="single" w:sz="4" w:space="0" w:color="auto"/>
              <w:left w:val="single" w:sz="4" w:space="0" w:color="auto"/>
              <w:bottom w:val="single" w:sz="4" w:space="0" w:color="auto"/>
              <w:right w:val="single" w:sz="4" w:space="0" w:color="auto"/>
            </w:tcBorders>
            <w:vAlign w:val="center"/>
            <w:hideMark/>
          </w:tcPr>
          <w:p w:rsidR="00024224" w:rsidRPr="00024224" w:rsidRDefault="00024224" w:rsidP="00024224">
            <w:pPr>
              <w:rPr>
                <w:rFonts w:ascii="Lucida Bright" w:hAnsi="Lucida Bright" w:cs="Calibri"/>
                <w:b/>
                <w:bCs/>
                <w:color w:val="000000"/>
                <w:sz w:val="14"/>
                <w:szCs w:val="14"/>
                <w:lang w:val="es-ES"/>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24224" w:rsidRPr="00024224" w:rsidRDefault="00024224" w:rsidP="00024224">
            <w:pPr>
              <w:rPr>
                <w:rFonts w:ascii="Lucida Bright" w:hAnsi="Lucida Bright" w:cs="Calibri"/>
                <w:b/>
                <w:bCs/>
                <w:color w:val="000000"/>
                <w:sz w:val="14"/>
                <w:szCs w:val="14"/>
                <w:lang w:val="es-ES"/>
              </w:rPr>
            </w:pPr>
          </w:p>
        </w:tc>
        <w:tc>
          <w:tcPr>
            <w:tcW w:w="1376" w:type="dxa"/>
            <w:tcBorders>
              <w:top w:val="nil"/>
              <w:left w:val="nil"/>
              <w:bottom w:val="single" w:sz="4" w:space="0" w:color="auto"/>
              <w:right w:val="single" w:sz="4" w:space="0" w:color="auto"/>
            </w:tcBorders>
            <w:shd w:val="clear" w:color="000000" w:fill="CCFFCC"/>
            <w:noWrap/>
            <w:vAlign w:val="bottom"/>
            <w:hideMark/>
          </w:tcPr>
          <w:p w:rsidR="00024224" w:rsidRPr="00024224" w:rsidRDefault="00024224" w:rsidP="00024224">
            <w:pPr>
              <w:jc w:val="cente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Altas (+)</w:t>
            </w:r>
          </w:p>
        </w:tc>
        <w:tc>
          <w:tcPr>
            <w:tcW w:w="1376" w:type="dxa"/>
            <w:tcBorders>
              <w:top w:val="nil"/>
              <w:left w:val="nil"/>
              <w:bottom w:val="single" w:sz="4" w:space="0" w:color="auto"/>
              <w:right w:val="single" w:sz="4" w:space="0" w:color="auto"/>
            </w:tcBorders>
            <w:shd w:val="clear" w:color="000000" w:fill="CCFFCC"/>
            <w:noWrap/>
            <w:vAlign w:val="bottom"/>
            <w:hideMark/>
          </w:tcPr>
          <w:p w:rsidR="00024224" w:rsidRPr="00024224" w:rsidRDefault="00024224" w:rsidP="00024224">
            <w:pPr>
              <w:jc w:val="cente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Bajas (-)</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024224" w:rsidRPr="00024224" w:rsidRDefault="00024224" w:rsidP="00024224">
            <w:pPr>
              <w:rPr>
                <w:rFonts w:ascii="Lucida Bright" w:hAnsi="Lucida Bright" w:cs="Calibri"/>
                <w:b/>
                <w:bCs/>
                <w:color w:val="000000"/>
                <w:sz w:val="14"/>
                <w:szCs w:val="14"/>
                <w:lang w:val="es-ES"/>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024224" w:rsidRPr="00024224" w:rsidRDefault="00024224" w:rsidP="00024224">
            <w:pPr>
              <w:rPr>
                <w:rFonts w:ascii="Lucida Bright" w:hAnsi="Lucida Bright" w:cs="Calibri"/>
                <w:b/>
                <w:bCs/>
                <w:color w:val="000000"/>
                <w:sz w:val="14"/>
                <w:szCs w:val="14"/>
                <w:lang w:val="es-ES"/>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024224" w:rsidRPr="00024224" w:rsidRDefault="00024224" w:rsidP="00024224">
            <w:pPr>
              <w:rPr>
                <w:rFonts w:ascii="Lucida Bright" w:hAnsi="Lucida Bright" w:cs="Calibri"/>
                <w:b/>
                <w:bCs/>
                <w:color w:val="000000"/>
                <w:sz w:val="14"/>
                <w:szCs w:val="14"/>
                <w:lang w:val="es-ES"/>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024224" w:rsidRPr="00024224" w:rsidRDefault="00024224" w:rsidP="00024224">
            <w:pPr>
              <w:rPr>
                <w:rFonts w:ascii="Lucida Bright" w:hAnsi="Lucida Bright" w:cs="Calibri"/>
                <w:b/>
                <w:bCs/>
                <w:color w:val="000000"/>
                <w:sz w:val="14"/>
                <w:szCs w:val="14"/>
                <w:lang w:val="es-E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024224" w:rsidRPr="00024224" w:rsidRDefault="00024224" w:rsidP="00024224">
            <w:pPr>
              <w:rPr>
                <w:rFonts w:ascii="Lucida Bright" w:hAnsi="Lucida Bright" w:cs="Calibri"/>
                <w:b/>
                <w:bCs/>
                <w:color w:val="000000"/>
                <w:sz w:val="14"/>
                <w:szCs w:val="14"/>
                <w:lang w:val="es-ES"/>
              </w:rPr>
            </w:pP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b/>
                <w:bCs/>
                <w:sz w:val="14"/>
                <w:szCs w:val="14"/>
                <w:lang w:val="es-ES"/>
              </w:rPr>
            </w:pPr>
            <w:r w:rsidRPr="00024224">
              <w:rPr>
                <w:rFonts w:ascii="Lucida Bright" w:hAnsi="Lucida Bright" w:cs="Calibri"/>
                <w:b/>
                <w:bCs/>
                <w:sz w:val="14"/>
                <w:szCs w:val="14"/>
                <w:lang w:val="es-ES"/>
              </w:rPr>
              <w:t xml:space="preserve"> a) Terrenos y bienes naturales</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78.263.962,94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(1.194,00)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78.262.768,94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b/>
                <w:bCs/>
                <w:sz w:val="14"/>
                <w:szCs w:val="14"/>
                <w:lang w:val="es-ES"/>
              </w:rPr>
            </w:pPr>
            <w:r w:rsidRPr="00024224">
              <w:rPr>
                <w:rFonts w:ascii="Lucida Bright" w:hAnsi="Lucida Bright" w:cs="Calibri"/>
                <w:b/>
                <w:bCs/>
                <w:sz w:val="14"/>
                <w:szCs w:val="14"/>
                <w:lang w:val="es-ES"/>
              </w:rPr>
              <w:t xml:space="preserve"> b) Construcciones</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617.190.044,24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25.879.985,86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(468.582,10)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642.601.448,00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sz w:val="14"/>
                <w:szCs w:val="14"/>
                <w:lang w:val="es-ES"/>
              </w:rPr>
            </w:pPr>
            <w:r w:rsidRPr="00024224">
              <w:rPr>
                <w:rFonts w:ascii="Lucida Bright" w:hAnsi="Lucida Bright" w:cs="Calibri"/>
                <w:sz w:val="14"/>
                <w:szCs w:val="14"/>
                <w:lang w:val="es-ES"/>
              </w:rPr>
              <w:t xml:space="preserve">      Accesos marítimos</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19.738.643,54 </w:t>
            </w:r>
          </w:p>
        </w:tc>
        <w:tc>
          <w:tcPr>
            <w:tcW w:w="1376" w:type="dxa"/>
            <w:tcBorders>
              <w:top w:val="nil"/>
              <w:left w:val="nil"/>
              <w:bottom w:val="single" w:sz="4" w:space="0" w:color="auto"/>
              <w:right w:val="single" w:sz="4" w:space="0" w:color="auto"/>
            </w:tcBorders>
            <w:shd w:val="clear" w:color="000000" w:fill="FFFFFF"/>
            <w:noWrap/>
            <w:vAlign w:val="center"/>
            <w:hideMark/>
          </w:tcPr>
          <w:p w:rsidR="00024224" w:rsidRPr="00024224" w:rsidRDefault="00024224" w:rsidP="00024224">
            <w:pPr>
              <w:jc w:val="right"/>
              <w:rPr>
                <w:rFonts w:ascii="Lucida Bright" w:hAnsi="Lucida Bright" w:cs="Calibri"/>
                <w:sz w:val="14"/>
                <w:szCs w:val="14"/>
                <w:lang w:val="es-ES"/>
              </w:rPr>
            </w:pPr>
            <w:r w:rsidRPr="00024224">
              <w:rPr>
                <w:rFonts w:ascii="Lucida Bright" w:hAnsi="Lucida Bright" w:cs="Calibri"/>
                <w:sz w:val="14"/>
                <w:szCs w:val="14"/>
                <w:lang w:val="es-ES"/>
              </w:rPr>
              <w:t xml:space="preserve">283.721,43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20.022.364,97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sz w:val="14"/>
                <w:szCs w:val="14"/>
                <w:lang w:val="es-ES"/>
              </w:rPr>
            </w:pPr>
            <w:r w:rsidRPr="00024224">
              <w:rPr>
                <w:rFonts w:ascii="Lucida Bright" w:hAnsi="Lucida Bright" w:cs="Calibri"/>
                <w:sz w:val="14"/>
                <w:szCs w:val="14"/>
                <w:lang w:val="es-ES"/>
              </w:rPr>
              <w:t xml:space="preserve">      Obras de abrigo y defensa</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68.983.201,81 </w:t>
            </w:r>
          </w:p>
        </w:tc>
        <w:tc>
          <w:tcPr>
            <w:tcW w:w="1376" w:type="dxa"/>
            <w:tcBorders>
              <w:top w:val="nil"/>
              <w:left w:val="nil"/>
              <w:bottom w:val="single" w:sz="4" w:space="0" w:color="auto"/>
              <w:right w:val="single" w:sz="4" w:space="0" w:color="auto"/>
            </w:tcBorders>
            <w:shd w:val="clear" w:color="000000" w:fill="FFFFFF"/>
            <w:noWrap/>
            <w:vAlign w:val="center"/>
            <w:hideMark/>
          </w:tcPr>
          <w:p w:rsidR="00024224" w:rsidRPr="00024224" w:rsidRDefault="00024224" w:rsidP="00024224">
            <w:pPr>
              <w:jc w:val="right"/>
              <w:rPr>
                <w:rFonts w:ascii="Lucida Bright" w:hAnsi="Lucida Bright" w:cs="Calibri"/>
                <w:sz w:val="14"/>
                <w:szCs w:val="14"/>
                <w:lang w:val="es-ES"/>
              </w:rPr>
            </w:pPr>
            <w:r w:rsidRPr="00024224">
              <w:rPr>
                <w:rFonts w:ascii="Lucida Bright" w:hAnsi="Lucida Bright" w:cs="Calibri"/>
                <w:sz w:val="14"/>
                <w:szCs w:val="14"/>
                <w:lang w:val="es-ES"/>
              </w:rPr>
              <w:t xml:space="preserve">13.884.659,82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82.867.861,63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sz w:val="14"/>
                <w:szCs w:val="14"/>
                <w:lang w:val="es-ES"/>
              </w:rPr>
            </w:pPr>
            <w:r w:rsidRPr="00024224">
              <w:rPr>
                <w:rFonts w:ascii="Lucida Bright" w:hAnsi="Lucida Bright" w:cs="Calibri"/>
                <w:sz w:val="14"/>
                <w:szCs w:val="14"/>
                <w:lang w:val="es-ES"/>
              </w:rPr>
              <w:t xml:space="preserve">      Obras de atraque</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257.993.989,93 </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1.996.474,26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259.990.464,19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sz w:val="14"/>
                <w:szCs w:val="14"/>
                <w:lang w:val="es-ES"/>
              </w:rPr>
            </w:pPr>
            <w:r w:rsidRPr="00024224">
              <w:rPr>
                <w:rFonts w:ascii="Lucida Bright" w:hAnsi="Lucida Bright" w:cs="Calibri"/>
                <w:sz w:val="14"/>
                <w:szCs w:val="14"/>
                <w:lang w:val="es-ES"/>
              </w:rPr>
              <w:t xml:space="preserve">      Instalaciones para reparación de barcos</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sz w:val="14"/>
                <w:szCs w:val="14"/>
                <w:lang w:val="es-ES"/>
              </w:rPr>
            </w:pPr>
            <w:r w:rsidRPr="00024224">
              <w:rPr>
                <w:rFonts w:ascii="Lucida Bright" w:hAnsi="Lucida Bright" w:cs="Calibri"/>
                <w:sz w:val="14"/>
                <w:szCs w:val="14"/>
                <w:lang w:val="es-ES"/>
              </w:rPr>
              <w:t xml:space="preserve">      Edificaciones</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116.947.253,73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3.678.594,92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(307.603,84)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120.318.244,81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sz w:val="14"/>
                <w:szCs w:val="14"/>
                <w:lang w:val="es-ES"/>
              </w:rPr>
            </w:pPr>
            <w:r w:rsidRPr="00024224">
              <w:rPr>
                <w:rFonts w:ascii="Lucida Bright" w:hAnsi="Lucida Bright" w:cs="Calibri"/>
                <w:sz w:val="14"/>
                <w:szCs w:val="14"/>
                <w:lang w:val="es-ES"/>
              </w:rPr>
              <w:t xml:space="preserve">      Instalaciones generales</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69.181.109,56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5.496.012,16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(160.978,26)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74.516.143,46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sz w:val="14"/>
                <w:szCs w:val="14"/>
                <w:lang w:val="es-ES"/>
              </w:rPr>
            </w:pPr>
            <w:r w:rsidRPr="00024224">
              <w:rPr>
                <w:rFonts w:ascii="Lucida Bright" w:hAnsi="Lucida Bright" w:cs="Calibri"/>
                <w:sz w:val="14"/>
                <w:szCs w:val="14"/>
                <w:lang w:val="es-ES"/>
              </w:rPr>
              <w:t xml:space="preserve">      Pavimentos, calzadas y vías de circulación</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84.345.845,67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540.523,27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84.886.368,94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b/>
                <w:bCs/>
                <w:sz w:val="14"/>
                <w:szCs w:val="14"/>
                <w:lang w:val="es-ES"/>
              </w:rPr>
            </w:pPr>
            <w:r w:rsidRPr="00024224">
              <w:rPr>
                <w:rFonts w:ascii="Lucida Bright" w:hAnsi="Lucida Bright" w:cs="Calibri"/>
                <w:b/>
                <w:bCs/>
                <w:sz w:val="14"/>
                <w:szCs w:val="14"/>
                <w:lang w:val="es-ES"/>
              </w:rPr>
              <w:t xml:space="preserve"> c) Equipamientos e instalaciones técnicas</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29.523.287,83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1.620.846,57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(1.481.507,16)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29.662.627,24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sz w:val="14"/>
                <w:szCs w:val="14"/>
                <w:lang w:val="es-ES"/>
              </w:rPr>
            </w:pPr>
            <w:r w:rsidRPr="00024224">
              <w:rPr>
                <w:rFonts w:ascii="Lucida Bright" w:hAnsi="Lucida Bright" w:cs="Calibri"/>
                <w:sz w:val="14"/>
                <w:szCs w:val="14"/>
                <w:lang w:val="es-ES"/>
              </w:rPr>
              <w:t xml:space="preserve">      Instalaciones de ayuda a la navegación</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6.084.720,35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63.228,63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6.147.948,98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sz w:val="14"/>
                <w:szCs w:val="14"/>
                <w:lang w:val="es-ES"/>
              </w:rPr>
            </w:pPr>
            <w:r w:rsidRPr="00024224">
              <w:rPr>
                <w:rFonts w:ascii="Lucida Bright" w:hAnsi="Lucida Bright" w:cs="Calibri"/>
                <w:sz w:val="14"/>
                <w:szCs w:val="14"/>
                <w:lang w:val="es-ES"/>
              </w:rPr>
              <w:t xml:space="preserve">      Equipos de manipulación de </w:t>
            </w:r>
            <w:r w:rsidR="00416638" w:rsidRPr="00024224">
              <w:rPr>
                <w:rFonts w:ascii="Lucida Bright" w:hAnsi="Lucida Bright" w:cs="Calibri"/>
                <w:sz w:val="14"/>
                <w:szCs w:val="14"/>
                <w:lang w:val="es-ES"/>
              </w:rPr>
              <w:t>mercancías</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22.099.230,46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582.433,42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(1.481.507,16)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21.200.156,72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sz w:val="14"/>
                <w:szCs w:val="14"/>
                <w:lang w:val="es-ES"/>
              </w:rPr>
            </w:pPr>
            <w:r w:rsidRPr="00024224">
              <w:rPr>
                <w:rFonts w:ascii="Lucida Bright" w:hAnsi="Lucida Bright" w:cs="Calibri"/>
                <w:sz w:val="14"/>
                <w:szCs w:val="14"/>
                <w:lang w:val="es-ES"/>
              </w:rPr>
              <w:t xml:space="preserve">      Material flotante</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1.172.298,57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1.172.298,57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sz w:val="14"/>
                <w:szCs w:val="14"/>
                <w:lang w:val="es-ES"/>
              </w:rPr>
            </w:pPr>
            <w:r w:rsidRPr="00024224">
              <w:rPr>
                <w:rFonts w:ascii="Lucida Bright" w:hAnsi="Lucida Bright" w:cs="Calibri"/>
                <w:sz w:val="14"/>
                <w:szCs w:val="14"/>
                <w:lang w:val="es-ES"/>
              </w:rPr>
              <w:t xml:space="preserve">      Material ferroviario</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sz w:val="14"/>
                <w:szCs w:val="14"/>
                <w:lang w:val="es-ES"/>
              </w:rPr>
            </w:pPr>
            <w:r w:rsidRPr="00024224">
              <w:rPr>
                <w:rFonts w:ascii="Lucida Bright" w:hAnsi="Lucida Bright" w:cs="Calibri"/>
                <w:sz w:val="14"/>
                <w:szCs w:val="14"/>
                <w:lang w:val="es-ES"/>
              </w:rPr>
              <w:t xml:space="preserve">      Equipo de taller</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167.038,45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167.038,45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sz w:val="14"/>
                <w:szCs w:val="14"/>
                <w:lang w:val="es-ES"/>
              </w:rPr>
            </w:pPr>
            <w:r w:rsidRPr="00024224">
              <w:rPr>
                <w:rFonts w:ascii="Lucida Bright" w:hAnsi="Lucida Bright" w:cs="Calibri"/>
                <w:sz w:val="14"/>
                <w:szCs w:val="14"/>
                <w:lang w:val="es-ES"/>
              </w:rPr>
              <w:t xml:space="preserve">      Energías renovables y </w:t>
            </w:r>
            <w:r w:rsidR="00416638" w:rsidRPr="00024224">
              <w:rPr>
                <w:rFonts w:ascii="Lucida Bright" w:hAnsi="Lucida Bright" w:cs="Calibri"/>
                <w:sz w:val="14"/>
                <w:szCs w:val="14"/>
                <w:lang w:val="es-ES"/>
              </w:rPr>
              <w:t>transición</w:t>
            </w:r>
            <w:r w:rsidRPr="00024224">
              <w:rPr>
                <w:rFonts w:ascii="Lucida Bright" w:hAnsi="Lucida Bright" w:cs="Calibri"/>
                <w:sz w:val="14"/>
                <w:szCs w:val="14"/>
                <w:lang w:val="es-ES"/>
              </w:rPr>
              <w:t xml:space="preserve"> energética</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975.184,52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975.184,52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b/>
                <w:bCs/>
                <w:sz w:val="14"/>
                <w:szCs w:val="14"/>
                <w:lang w:val="es-ES"/>
              </w:rPr>
            </w:pPr>
            <w:r w:rsidRPr="00024224">
              <w:rPr>
                <w:rFonts w:ascii="Lucida Bright" w:hAnsi="Lucida Bright" w:cs="Calibri"/>
                <w:b/>
                <w:bCs/>
                <w:sz w:val="14"/>
                <w:szCs w:val="14"/>
                <w:lang w:val="es-ES"/>
              </w:rPr>
              <w:t xml:space="preserve"> d) Otro inmovilizado</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23.742.991,88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1.841.059,48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(45.630,17)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25.538.421,19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sz w:val="14"/>
                <w:szCs w:val="14"/>
                <w:lang w:val="es-ES"/>
              </w:rPr>
            </w:pPr>
            <w:r w:rsidRPr="00024224">
              <w:rPr>
                <w:rFonts w:ascii="Lucida Bright" w:hAnsi="Lucida Bright" w:cs="Calibri"/>
                <w:sz w:val="14"/>
                <w:szCs w:val="14"/>
                <w:lang w:val="es-ES"/>
              </w:rPr>
              <w:t xml:space="preserve">      Mobiliario</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3.102.721,00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129.631,22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(37.237,04)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3.195.115,18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sz w:val="14"/>
                <w:szCs w:val="14"/>
                <w:lang w:val="es-ES"/>
              </w:rPr>
            </w:pPr>
            <w:r w:rsidRPr="00024224">
              <w:rPr>
                <w:rFonts w:ascii="Lucida Bright" w:hAnsi="Lucida Bright" w:cs="Calibri"/>
                <w:sz w:val="14"/>
                <w:szCs w:val="14"/>
                <w:lang w:val="es-ES"/>
              </w:rPr>
              <w:t xml:space="preserve">      Equipos para proceso de información</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5.867.001,03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274.405,26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6.141.406,29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sz w:val="14"/>
                <w:szCs w:val="14"/>
                <w:lang w:val="es-ES"/>
              </w:rPr>
            </w:pPr>
            <w:r w:rsidRPr="00024224">
              <w:rPr>
                <w:rFonts w:ascii="Lucida Bright" w:hAnsi="Lucida Bright" w:cs="Calibri"/>
                <w:sz w:val="14"/>
                <w:szCs w:val="14"/>
                <w:lang w:val="es-ES"/>
              </w:rPr>
              <w:t xml:space="preserve">      Elementos de transporte</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3.746.441,56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989.902,74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4.736.344,30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rPr>
                <w:rFonts w:ascii="Lucida Bright" w:hAnsi="Lucida Bright" w:cs="Calibri"/>
                <w:sz w:val="14"/>
                <w:szCs w:val="14"/>
                <w:lang w:val="es-ES"/>
              </w:rPr>
            </w:pPr>
            <w:r w:rsidRPr="00024224">
              <w:rPr>
                <w:rFonts w:ascii="Lucida Bright" w:hAnsi="Lucida Bright" w:cs="Calibri"/>
                <w:sz w:val="14"/>
                <w:szCs w:val="14"/>
                <w:lang w:val="es-ES"/>
              </w:rPr>
              <w:t xml:space="preserve">      Otro inmovilizado material</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11.026.828,29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447.120,26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(8.393,13)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color w:val="000000"/>
                <w:sz w:val="14"/>
                <w:szCs w:val="14"/>
                <w:lang w:val="es-ES"/>
              </w:rPr>
            </w:pPr>
            <w:r w:rsidRPr="00024224">
              <w:rPr>
                <w:rFonts w:ascii="Lucida Bright" w:hAnsi="Lucida Bright" w:cs="Calibri"/>
                <w:color w:val="000000"/>
                <w:sz w:val="14"/>
                <w:szCs w:val="14"/>
                <w:lang w:val="es-ES"/>
              </w:rPr>
              <w:t xml:space="preserve">11.465.555,42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jc w:val="center"/>
              <w:rPr>
                <w:rFonts w:ascii="Lucida Bright" w:hAnsi="Lucida Bright" w:cs="Calibri"/>
                <w:b/>
                <w:bCs/>
                <w:sz w:val="14"/>
                <w:szCs w:val="14"/>
                <w:lang w:val="es-ES"/>
              </w:rPr>
            </w:pPr>
            <w:r w:rsidRPr="00024224">
              <w:rPr>
                <w:rFonts w:ascii="Lucida Bright" w:hAnsi="Lucida Bright" w:cs="Calibri"/>
                <w:b/>
                <w:bCs/>
                <w:sz w:val="14"/>
                <w:szCs w:val="14"/>
                <w:lang w:val="es-ES"/>
              </w:rPr>
              <w:t>TOTAL INMOVILIZADO MATERIAL</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748.720.286,89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29.341.891,91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(1.996.913,43)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776.065.265,37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jc w:val="center"/>
              <w:rPr>
                <w:rFonts w:ascii="Lucida Bright" w:hAnsi="Lucida Bright" w:cs="Calibri"/>
                <w:b/>
                <w:bCs/>
                <w:sz w:val="14"/>
                <w:szCs w:val="14"/>
                <w:lang w:val="es-ES"/>
              </w:rPr>
            </w:pPr>
            <w:r w:rsidRPr="00024224">
              <w:rPr>
                <w:rFonts w:ascii="Lucida Bright" w:hAnsi="Lucida Bright" w:cs="Calibri"/>
                <w:b/>
                <w:bCs/>
                <w:sz w:val="14"/>
                <w:szCs w:val="14"/>
                <w:lang w:val="es-ES"/>
              </w:rPr>
              <w:t>ANTICIPOS E INMOVILIZADO EN CURSO</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36.454.995,18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17.800.353,46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(2.933.628,67)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(1.532.491,58)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49.789.228,39 </w:t>
            </w:r>
          </w:p>
        </w:tc>
      </w:tr>
      <w:tr w:rsidR="00024224" w:rsidRPr="00024224" w:rsidTr="00024224">
        <w:trPr>
          <w:trHeight w:val="210"/>
        </w:trPr>
        <w:tc>
          <w:tcPr>
            <w:tcW w:w="383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24224" w:rsidRPr="00024224" w:rsidRDefault="00024224" w:rsidP="00024224">
            <w:pPr>
              <w:jc w:val="center"/>
              <w:rPr>
                <w:rFonts w:ascii="Lucida Bright" w:hAnsi="Lucida Bright" w:cs="Calibri"/>
                <w:b/>
                <w:bCs/>
                <w:sz w:val="14"/>
                <w:szCs w:val="14"/>
                <w:lang w:val="es-ES"/>
              </w:rPr>
            </w:pPr>
            <w:r w:rsidRPr="00024224">
              <w:rPr>
                <w:rFonts w:ascii="Lucida Bright" w:hAnsi="Lucida Bright" w:cs="Calibri"/>
                <w:b/>
                <w:bCs/>
                <w:sz w:val="14"/>
                <w:szCs w:val="14"/>
                <w:lang w:val="es-ES"/>
              </w:rPr>
              <w:t>TOTAL</w:t>
            </w:r>
          </w:p>
        </w:tc>
        <w:tc>
          <w:tcPr>
            <w:tcW w:w="1300"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785.175.282,07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47.142.245,37 </w:t>
            </w:r>
          </w:p>
        </w:tc>
        <w:tc>
          <w:tcPr>
            <w:tcW w:w="137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(1.996.913,43) </w:t>
            </w:r>
          </w:p>
        </w:tc>
        <w:tc>
          <w:tcPr>
            <w:tcW w:w="15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(2.933.628,67) </w:t>
            </w:r>
          </w:p>
        </w:tc>
        <w:tc>
          <w:tcPr>
            <w:tcW w:w="13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(1.532.491,58) </w:t>
            </w:r>
          </w:p>
        </w:tc>
        <w:tc>
          <w:tcPr>
            <w:tcW w:w="121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24224" w:rsidRPr="00024224" w:rsidRDefault="00024224" w:rsidP="00024224">
            <w:pPr>
              <w:jc w:val="right"/>
              <w:rPr>
                <w:rFonts w:ascii="Lucida Bright" w:hAnsi="Lucida Bright" w:cs="Calibri"/>
                <w:b/>
                <w:bCs/>
                <w:color w:val="000000"/>
                <w:sz w:val="14"/>
                <w:szCs w:val="14"/>
                <w:lang w:val="es-ES"/>
              </w:rPr>
            </w:pPr>
            <w:r w:rsidRPr="00024224">
              <w:rPr>
                <w:rFonts w:ascii="Lucida Bright" w:hAnsi="Lucida Bright" w:cs="Calibri"/>
                <w:b/>
                <w:bCs/>
                <w:color w:val="000000"/>
                <w:sz w:val="14"/>
                <w:szCs w:val="14"/>
                <w:lang w:val="es-ES"/>
              </w:rPr>
              <w:t xml:space="preserve">825.854.493,76 </w:t>
            </w:r>
          </w:p>
        </w:tc>
      </w:tr>
    </w:tbl>
    <w:p w:rsidR="00B9194A" w:rsidRDefault="00B9194A" w:rsidP="004E5856">
      <w:pPr>
        <w:shd w:val="clear" w:color="auto" w:fill="FFFFFF"/>
        <w:ind w:left="12" w:right="1108"/>
        <w:rPr>
          <w:rFonts w:ascii="Lucida Bright" w:eastAsia="Lucida Bright" w:hAnsi="Lucida Bright" w:cs="Lucida Bright"/>
          <w:color w:val="000000"/>
          <w:sz w:val="15"/>
          <w:highlight w:val="white"/>
        </w:rPr>
      </w:pPr>
    </w:p>
    <w:p w:rsidR="00B9194A" w:rsidRDefault="00B9194A" w:rsidP="004E5856">
      <w:pPr>
        <w:shd w:val="clear" w:color="auto" w:fill="FFFFFF"/>
        <w:ind w:left="12" w:right="1108"/>
        <w:rPr>
          <w:rFonts w:ascii="Lucida Bright" w:eastAsia="Lucida Bright" w:hAnsi="Lucida Bright" w:cs="Lucida Bright"/>
          <w:color w:val="000000"/>
          <w:sz w:val="15"/>
          <w:highlight w:val="white"/>
        </w:rPr>
      </w:pPr>
    </w:p>
    <w:p w:rsidR="001C4AD5" w:rsidRDefault="001C4AD5" w:rsidP="004E5856">
      <w:pPr>
        <w:shd w:val="clear" w:color="auto" w:fill="FFFFFF"/>
        <w:ind w:left="12" w:right="1108"/>
        <w:rPr>
          <w:rFonts w:ascii="Lucida Bright" w:eastAsia="Lucida Bright" w:hAnsi="Lucida Bright" w:cs="Lucida Bright"/>
          <w:color w:val="000000"/>
          <w:sz w:val="15"/>
        </w:rPr>
      </w:pPr>
    </w:p>
    <w:p w:rsidR="001C4AD5" w:rsidRDefault="001C4AD5" w:rsidP="004E5856">
      <w:pPr>
        <w:shd w:val="clear" w:color="auto" w:fill="FFFFFF"/>
        <w:ind w:left="12" w:right="1108"/>
        <w:rPr>
          <w:rFonts w:ascii="Lucida Bright" w:eastAsia="Lucida Bright" w:hAnsi="Lucida Bright" w:cs="Lucida Bright"/>
          <w:color w:val="000000"/>
          <w:sz w:val="15"/>
        </w:rPr>
      </w:pPr>
    </w:p>
    <w:p w:rsidR="001C4AD5" w:rsidRDefault="001C4AD5" w:rsidP="004E5856">
      <w:pPr>
        <w:shd w:val="clear" w:color="auto" w:fill="FFFFFF"/>
        <w:ind w:left="12" w:right="1108"/>
        <w:rPr>
          <w:rFonts w:ascii="Lucida Bright" w:eastAsia="Lucida Bright" w:hAnsi="Lucida Bright" w:cs="Lucida Bright"/>
          <w:color w:val="000000"/>
          <w:sz w:val="15"/>
        </w:rPr>
      </w:pPr>
    </w:p>
    <w:p w:rsidR="001C4AD5" w:rsidRDefault="001C4AD5" w:rsidP="004E5856">
      <w:pPr>
        <w:shd w:val="clear" w:color="auto" w:fill="FFFFFF"/>
        <w:ind w:left="12" w:right="1108"/>
        <w:rPr>
          <w:rFonts w:ascii="Lucida Bright" w:eastAsia="Lucida Bright" w:hAnsi="Lucida Bright" w:cs="Lucida Bright"/>
          <w:color w:val="000000"/>
          <w:sz w:val="15"/>
        </w:rPr>
      </w:pPr>
    </w:p>
    <w:p w:rsidR="001C4AD5" w:rsidRDefault="001C4AD5" w:rsidP="004E5856">
      <w:pPr>
        <w:shd w:val="clear" w:color="auto" w:fill="FFFFFF"/>
        <w:ind w:left="12" w:right="1108"/>
        <w:rPr>
          <w:rFonts w:ascii="Lucida Bright" w:eastAsia="Lucida Bright" w:hAnsi="Lucida Bright" w:cs="Lucida Bright"/>
          <w:color w:val="000000"/>
          <w:sz w:val="15"/>
        </w:rPr>
      </w:pPr>
    </w:p>
    <w:tbl>
      <w:tblPr>
        <w:tblW w:w="13608" w:type="dxa"/>
        <w:tblInd w:w="70" w:type="dxa"/>
        <w:tblCellMar>
          <w:left w:w="70" w:type="dxa"/>
          <w:right w:w="70" w:type="dxa"/>
        </w:tblCellMar>
        <w:tblLook w:val="04A0" w:firstRow="1" w:lastRow="0" w:firstColumn="1" w:lastColumn="0" w:noHBand="0" w:noVBand="1"/>
      </w:tblPr>
      <w:tblGrid>
        <w:gridCol w:w="3239"/>
        <w:gridCol w:w="184"/>
        <w:gridCol w:w="1243"/>
        <w:gridCol w:w="1159"/>
        <w:gridCol w:w="1096"/>
        <w:gridCol w:w="1096"/>
        <w:gridCol w:w="1096"/>
        <w:gridCol w:w="1096"/>
        <w:gridCol w:w="1146"/>
        <w:gridCol w:w="1216"/>
        <w:gridCol w:w="1216"/>
      </w:tblGrid>
      <w:tr w:rsidR="00071C51" w:rsidRPr="00071C51" w:rsidTr="00071C51">
        <w:trPr>
          <w:trHeight w:val="300"/>
        </w:trPr>
        <w:tc>
          <w:tcPr>
            <w:tcW w:w="5696" w:type="dxa"/>
            <w:gridSpan w:val="4"/>
            <w:tcBorders>
              <w:top w:val="nil"/>
              <w:left w:val="nil"/>
              <w:bottom w:val="single" w:sz="4" w:space="0" w:color="auto"/>
              <w:right w:val="nil"/>
            </w:tcBorders>
            <w:shd w:val="clear" w:color="000000" w:fill="FFFFFF"/>
            <w:noWrap/>
            <w:vAlign w:val="center"/>
            <w:hideMark/>
          </w:tcPr>
          <w:p w:rsidR="00513968" w:rsidRDefault="00513968" w:rsidP="00071C51">
            <w:pPr>
              <w:rPr>
                <w:rFonts w:ascii="Lucida Bright" w:hAnsi="Lucida Bright" w:cs="Calibri"/>
                <w:b/>
                <w:bCs/>
                <w:sz w:val="18"/>
                <w:szCs w:val="18"/>
                <w:lang w:val="es-ES"/>
              </w:rPr>
            </w:pPr>
          </w:p>
          <w:p w:rsidR="00071C51" w:rsidRPr="00071C51" w:rsidRDefault="00071C51" w:rsidP="00071C51">
            <w:pPr>
              <w:rPr>
                <w:rFonts w:ascii="Lucida Bright" w:hAnsi="Lucida Bright" w:cs="Calibri"/>
                <w:b/>
                <w:bCs/>
                <w:sz w:val="18"/>
                <w:szCs w:val="18"/>
                <w:lang w:val="es-ES"/>
              </w:rPr>
            </w:pPr>
            <w:r w:rsidRPr="00071C51">
              <w:rPr>
                <w:rFonts w:ascii="Lucida Bright" w:hAnsi="Lucida Bright" w:cs="Calibri"/>
                <w:b/>
                <w:bCs/>
                <w:sz w:val="18"/>
                <w:szCs w:val="18"/>
                <w:lang w:val="es-ES"/>
              </w:rPr>
              <w:t>CUADRO: ALTAS DE INMOVILIZADO MATERIAL 2024</w:t>
            </w:r>
          </w:p>
        </w:tc>
        <w:tc>
          <w:tcPr>
            <w:tcW w:w="1096" w:type="dxa"/>
            <w:tcBorders>
              <w:top w:val="nil"/>
              <w:left w:val="nil"/>
              <w:bottom w:val="nil"/>
              <w:right w:val="nil"/>
            </w:tcBorders>
            <w:shd w:val="clear" w:color="000000" w:fill="FFFFFF"/>
            <w:noWrap/>
            <w:vAlign w:val="center"/>
            <w:hideMark/>
          </w:tcPr>
          <w:p w:rsidR="00071C51" w:rsidRPr="00071C51" w:rsidRDefault="00071C51" w:rsidP="00071C51">
            <w:pPr>
              <w:rPr>
                <w:rFonts w:ascii="Arial" w:hAnsi="Arial" w:cs="Arial"/>
                <w:lang w:val="es-ES"/>
              </w:rPr>
            </w:pPr>
            <w:r w:rsidRPr="00071C51">
              <w:rPr>
                <w:rFonts w:ascii="Arial" w:hAnsi="Arial" w:cs="Arial"/>
                <w:lang w:val="es-ES"/>
              </w:rPr>
              <w:t> </w:t>
            </w:r>
          </w:p>
        </w:tc>
        <w:tc>
          <w:tcPr>
            <w:tcW w:w="1096" w:type="dxa"/>
            <w:tcBorders>
              <w:top w:val="nil"/>
              <w:left w:val="nil"/>
              <w:bottom w:val="nil"/>
              <w:right w:val="nil"/>
            </w:tcBorders>
            <w:shd w:val="clear" w:color="000000" w:fill="FFFFFF"/>
            <w:noWrap/>
            <w:vAlign w:val="center"/>
            <w:hideMark/>
          </w:tcPr>
          <w:p w:rsidR="00071C51" w:rsidRPr="00071C51" w:rsidRDefault="00071C51" w:rsidP="00071C51">
            <w:pPr>
              <w:rPr>
                <w:rFonts w:ascii="Arial" w:hAnsi="Arial" w:cs="Arial"/>
                <w:lang w:val="es-ES"/>
              </w:rPr>
            </w:pPr>
            <w:r w:rsidRPr="00071C51">
              <w:rPr>
                <w:rFonts w:ascii="Arial" w:hAnsi="Arial" w:cs="Arial"/>
                <w:lang w:val="es-ES"/>
              </w:rPr>
              <w:t> </w:t>
            </w:r>
          </w:p>
        </w:tc>
        <w:tc>
          <w:tcPr>
            <w:tcW w:w="1096" w:type="dxa"/>
            <w:tcBorders>
              <w:top w:val="nil"/>
              <w:left w:val="nil"/>
              <w:bottom w:val="nil"/>
              <w:right w:val="nil"/>
            </w:tcBorders>
            <w:shd w:val="clear" w:color="000000" w:fill="FFFFFF"/>
            <w:noWrap/>
            <w:vAlign w:val="center"/>
            <w:hideMark/>
          </w:tcPr>
          <w:p w:rsidR="00071C51" w:rsidRPr="00071C51" w:rsidRDefault="00071C51" w:rsidP="00071C51">
            <w:pPr>
              <w:rPr>
                <w:rFonts w:ascii="Arial" w:hAnsi="Arial" w:cs="Arial"/>
                <w:lang w:val="es-ES"/>
              </w:rPr>
            </w:pPr>
            <w:r w:rsidRPr="00071C51">
              <w:rPr>
                <w:rFonts w:ascii="Arial" w:hAnsi="Arial" w:cs="Arial"/>
                <w:lang w:val="es-ES"/>
              </w:rPr>
              <w:t> </w:t>
            </w:r>
          </w:p>
        </w:tc>
        <w:tc>
          <w:tcPr>
            <w:tcW w:w="1096" w:type="dxa"/>
            <w:tcBorders>
              <w:top w:val="nil"/>
              <w:left w:val="nil"/>
              <w:bottom w:val="nil"/>
              <w:right w:val="nil"/>
            </w:tcBorders>
            <w:shd w:val="clear" w:color="000000" w:fill="FFFFFF"/>
            <w:noWrap/>
            <w:vAlign w:val="center"/>
            <w:hideMark/>
          </w:tcPr>
          <w:p w:rsidR="00071C51" w:rsidRPr="00071C51" w:rsidRDefault="00071C51" w:rsidP="00071C51">
            <w:pPr>
              <w:rPr>
                <w:rFonts w:ascii="Arial" w:hAnsi="Arial" w:cs="Arial"/>
                <w:lang w:val="es-ES"/>
              </w:rPr>
            </w:pPr>
            <w:r w:rsidRPr="00071C51">
              <w:rPr>
                <w:rFonts w:ascii="Arial" w:hAnsi="Arial" w:cs="Arial"/>
                <w:lang w:val="es-ES"/>
              </w:rPr>
              <w:t> </w:t>
            </w:r>
          </w:p>
        </w:tc>
        <w:tc>
          <w:tcPr>
            <w:tcW w:w="1096" w:type="dxa"/>
            <w:tcBorders>
              <w:top w:val="nil"/>
              <w:left w:val="nil"/>
              <w:bottom w:val="nil"/>
              <w:right w:val="nil"/>
            </w:tcBorders>
            <w:shd w:val="clear" w:color="000000" w:fill="FFFFFF"/>
            <w:noWrap/>
            <w:vAlign w:val="center"/>
            <w:hideMark/>
          </w:tcPr>
          <w:p w:rsidR="00071C51" w:rsidRPr="00071C51" w:rsidRDefault="00071C51" w:rsidP="00071C51">
            <w:pPr>
              <w:rPr>
                <w:rFonts w:ascii="Arial" w:hAnsi="Arial" w:cs="Arial"/>
                <w:lang w:val="es-ES"/>
              </w:rPr>
            </w:pPr>
            <w:r w:rsidRPr="00071C51">
              <w:rPr>
                <w:rFonts w:ascii="Arial" w:hAnsi="Arial" w:cs="Arial"/>
                <w:lang w:val="es-ES"/>
              </w:rPr>
              <w:t> </w:t>
            </w:r>
          </w:p>
        </w:tc>
        <w:tc>
          <w:tcPr>
            <w:tcW w:w="1216" w:type="dxa"/>
            <w:tcBorders>
              <w:top w:val="nil"/>
              <w:left w:val="nil"/>
              <w:bottom w:val="nil"/>
              <w:right w:val="nil"/>
            </w:tcBorders>
            <w:shd w:val="clear" w:color="000000" w:fill="FFFFFF"/>
            <w:noWrap/>
            <w:vAlign w:val="center"/>
            <w:hideMark/>
          </w:tcPr>
          <w:p w:rsidR="00071C51" w:rsidRPr="00071C51" w:rsidRDefault="00071C51" w:rsidP="00071C51">
            <w:pPr>
              <w:rPr>
                <w:rFonts w:ascii="Arial" w:hAnsi="Arial" w:cs="Arial"/>
                <w:lang w:val="es-ES"/>
              </w:rPr>
            </w:pPr>
            <w:r w:rsidRPr="00071C51">
              <w:rPr>
                <w:rFonts w:ascii="Arial" w:hAnsi="Arial" w:cs="Arial"/>
                <w:lang w:val="es-ES"/>
              </w:rPr>
              <w:t> </w:t>
            </w:r>
          </w:p>
        </w:tc>
        <w:tc>
          <w:tcPr>
            <w:tcW w:w="1216" w:type="dxa"/>
            <w:tcBorders>
              <w:top w:val="nil"/>
              <w:left w:val="nil"/>
              <w:bottom w:val="nil"/>
              <w:right w:val="nil"/>
            </w:tcBorders>
            <w:shd w:val="clear" w:color="000000" w:fill="FFFFFF"/>
            <w:noWrap/>
            <w:vAlign w:val="bottom"/>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(en euros)</w:t>
            </w:r>
          </w:p>
        </w:tc>
      </w:tr>
      <w:tr w:rsidR="00071C51" w:rsidRPr="00071C51" w:rsidTr="00071C51">
        <w:trPr>
          <w:trHeight w:val="915"/>
        </w:trPr>
        <w:tc>
          <w:tcPr>
            <w:tcW w:w="3294" w:type="dxa"/>
            <w:gridSpan w:val="2"/>
            <w:tcBorders>
              <w:top w:val="single" w:sz="4" w:space="0" w:color="auto"/>
              <w:left w:val="single" w:sz="4" w:space="0" w:color="auto"/>
              <w:bottom w:val="single" w:sz="4" w:space="0" w:color="auto"/>
              <w:right w:val="single" w:sz="4" w:space="0" w:color="000000"/>
            </w:tcBorders>
            <w:shd w:val="clear" w:color="000000" w:fill="CCFFCC"/>
            <w:vAlign w:val="center"/>
            <w:hideMark/>
          </w:tcPr>
          <w:p w:rsidR="00071C51" w:rsidRPr="00071C51" w:rsidRDefault="00071C51" w:rsidP="00071C51">
            <w:pPr>
              <w:jc w:val="center"/>
              <w:rPr>
                <w:rFonts w:ascii="Lucida Bright" w:hAnsi="Lucida Bright" w:cs="Calibri"/>
                <w:b/>
                <w:bCs/>
                <w:sz w:val="14"/>
                <w:szCs w:val="14"/>
                <w:lang w:val="es-ES"/>
              </w:rPr>
            </w:pPr>
            <w:r w:rsidRPr="00071C51">
              <w:rPr>
                <w:rFonts w:ascii="Lucida Bright" w:hAnsi="Lucida Bright" w:cs="Calibri"/>
                <w:b/>
                <w:bCs/>
                <w:sz w:val="14"/>
                <w:szCs w:val="14"/>
                <w:lang w:val="es-ES"/>
              </w:rPr>
              <w:t>CONCEPTO</w:t>
            </w:r>
          </w:p>
        </w:tc>
        <w:tc>
          <w:tcPr>
            <w:tcW w:w="1243" w:type="dxa"/>
            <w:tcBorders>
              <w:top w:val="nil"/>
              <w:left w:val="nil"/>
              <w:bottom w:val="single" w:sz="4" w:space="0" w:color="auto"/>
              <w:right w:val="single" w:sz="4" w:space="0" w:color="auto"/>
            </w:tcBorders>
            <w:shd w:val="clear" w:color="000000" w:fill="CCFFCC"/>
            <w:vAlign w:val="center"/>
            <w:hideMark/>
          </w:tcPr>
          <w:p w:rsidR="00071C51" w:rsidRPr="00071C51" w:rsidRDefault="00071C51" w:rsidP="00BA3724">
            <w:pPr>
              <w:jc w:val="center"/>
              <w:rPr>
                <w:rFonts w:ascii="Lucida Bright" w:hAnsi="Lucida Bright" w:cs="Calibri"/>
                <w:sz w:val="14"/>
                <w:szCs w:val="14"/>
                <w:lang w:val="es-ES"/>
              </w:rPr>
            </w:pPr>
            <w:r w:rsidRPr="00071C51">
              <w:rPr>
                <w:rFonts w:ascii="Lucida Bright" w:hAnsi="Lucida Bright" w:cs="Calibri"/>
                <w:sz w:val="14"/>
                <w:szCs w:val="14"/>
                <w:lang w:val="es-ES"/>
              </w:rPr>
              <w:t>Adquisiciones</w:t>
            </w:r>
            <w:r w:rsidRPr="00071C51">
              <w:rPr>
                <w:rFonts w:ascii="Lucida Bright" w:hAnsi="Lucida Bright" w:cs="Calibri"/>
                <w:sz w:val="14"/>
                <w:szCs w:val="14"/>
                <w:lang w:val="es-ES"/>
              </w:rPr>
              <w:br/>
              <w:t>a proveedores</w:t>
            </w:r>
            <w:r w:rsidRPr="00071C51">
              <w:rPr>
                <w:rFonts w:ascii="Lucida Bright" w:hAnsi="Lucida Bright" w:cs="Calibri"/>
                <w:sz w:val="14"/>
                <w:szCs w:val="14"/>
                <w:lang w:val="es-ES"/>
              </w:rPr>
              <w:br/>
              <w:t>externos</w:t>
            </w:r>
          </w:p>
        </w:tc>
        <w:tc>
          <w:tcPr>
            <w:tcW w:w="1159" w:type="dxa"/>
            <w:tcBorders>
              <w:top w:val="nil"/>
              <w:left w:val="nil"/>
              <w:bottom w:val="single" w:sz="4" w:space="0" w:color="auto"/>
              <w:right w:val="single" w:sz="4" w:space="0" w:color="auto"/>
            </w:tcBorders>
            <w:shd w:val="clear" w:color="000000" w:fill="CCFFCC"/>
            <w:vAlign w:val="center"/>
            <w:hideMark/>
          </w:tcPr>
          <w:p w:rsidR="00071C51" w:rsidRPr="00071C51" w:rsidRDefault="00071C51" w:rsidP="00BA3724">
            <w:pPr>
              <w:jc w:val="center"/>
              <w:rPr>
                <w:rFonts w:ascii="Lucida Bright" w:hAnsi="Lucida Bright" w:cs="Calibri"/>
                <w:sz w:val="14"/>
                <w:szCs w:val="14"/>
                <w:lang w:val="es-ES"/>
              </w:rPr>
            </w:pPr>
            <w:r w:rsidRPr="00071C51">
              <w:rPr>
                <w:rFonts w:ascii="Lucida Bright" w:hAnsi="Lucida Bright" w:cs="Calibri"/>
                <w:sz w:val="14"/>
                <w:szCs w:val="14"/>
                <w:lang w:val="es-ES"/>
              </w:rPr>
              <w:t>Adquisiciones</w:t>
            </w:r>
            <w:r w:rsidRPr="00071C51">
              <w:rPr>
                <w:rFonts w:ascii="Lucida Bright" w:hAnsi="Lucida Bright" w:cs="Calibri"/>
                <w:sz w:val="14"/>
                <w:szCs w:val="14"/>
                <w:lang w:val="es-ES"/>
              </w:rPr>
              <w:br/>
              <w:t>a otras AA.PP. y</w:t>
            </w:r>
            <w:r w:rsidRPr="00071C51">
              <w:rPr>
                <w:rFonts w:ascii="Lucida Bright" w:hAnsi="Lucida Bright" w:cs="Calibri"/>
                <w:sz w:val="14"/>
                <w:szCs w:val="14"/>
                <w:lang w:val="es-ES"/>
              </w:rPr>
              <w:br/>
              <w:t>Puertos del Estado</w:t>
            </w:r>
          </w:p>
        </w:tc>
        <w:tc>
          <w:tcPr>
            <w:tcW w:w="1096" w:type="dxa"/>
            <w:tcBorders>
              <w:top w:val="single" w:sz="4" w:space="0" w:color="auto"/>
              <w:left w:val="nil"/>
              <w:bottom w:val="single" w:sz="4" w:space="0" w:color="auto"/>
              <w:right w:val="single" w:sz="4" w:space="0" w:color="auto"/>
            </w:tcBorders>
            <w:shd w:val="clear" w:color="000000" w:fill="CCFFCC"/>
            <w:vAlign w:val="center"/>
            <w:hideMark/>
          </w:tcPr>
          <w:p w:rsidR="00071C51" w:rsidRPr="00071C51" w:rsidRDefault="00071C51" w:rsidP="00071C51">
            <w:pPr>
              <w:jc w:val="center"/>
              <w:rPr>
                <w:rFonts w:ascii="Lucida Bright" w:hAnsi="Lucida Bright" w:cs="Calibri"/>
                <w:sz w:val="14"/>
                <w:szCs w:val="14"/>
                <w:lang w:val="es-ES"/>
              </w:rPr>
            </w:pPr>
            <w:r w:rsidRPr="00071C51">
              <w:rPr>
                <w:rFonts w:ascii="Lucida Bright" w:hAnsi="Lucida Bright" w:cs="Calibri"/>
                <w:sz w:val="14"/>
                <w:szCs w:val="14"/>
                <w:lang w:val="es-ES"/>
              </w:rPr>
              <w:t>Incorporación al activo de gastos financieros</w:t>
            </w:r>
          </w:p>
        </w:tc>
        <w:tc>
          <w:tcPr>
            <w:tcW w:w="1096" w:type="dxa"/>
            <w:tcBorders>
              <w:top w:val="single" w:sz="4" w:space="0" w:color="auto"/>
              <w:left w:val="nil"/>
              <w:bottom w:val="single" w:sz="4" w:space="0" w:color="auto"/>
              <w:right w:val="single" w:sz="4" w:space="0" w:color="auto"/>
            </w:tcBorders>
            <w:shd w:val="clear" w:color="000000" w:fill="CCFFCC"/>
            <w:vAlign w:val="center"/>
            <w:hideMark/>
          </w:tcPr>
          <w:p w:rsidR="00071C51" w:rsidRPr="00071C51" w:rsidRDefault="00071C51" w:rsidP="00BA3724">
            <w:pPr>
              <w:jc w:val="center"/>
              <w:rPr>
                <w:rFonts w:ascii="Lucida Bright" w:hAnsi="Lucida Bright" w:cs="Calibri"/>
                <w:sz w:val="14"/>
                <w:szCs w:val="14"/>
                <w:lang w:val="es-ES"/>
              </w:rPr>
            </w:pPr>
            <w:r w:rsidRPr="00071C51">
              <w:rPr>
                <w:rFonts w:ascii="Lucida Bright" w:hAnsi="Lucida Bright" w:cs="Calibri"/>
                <w:sz w:val="14"/>
                <w:szCs w:val="14"/>
                <w:lang w:val="es-ES"/>
              </w:rPr>
              <w:t>Activos</w:t>
            </w:r>
            <w:r w:rsidRPr="00071C51">
              <w:rPr>
                <w:rFonts w:ascii="Lucida Bright" w:hAnsi="Lucida Bright" w:cs="Calibri"/>
                <w:sz w:val="14"/>
                <w:szCs w:val="14"/>
                <w:lang w:val="es-ES"/>
              </w:rPr>
              <w:br/>
              <w:t>subsumidos</w:t>
            </w:r>
            <w:r w:rsidRPr="00071C51">
              <w:rPr>
                <w:rFonts w:ascii="Lucida Bright" w:hAnsi="Lucida Bright" w:cs="Calibri"/>
                <w:sz w:val="14"/>
                <w:szCs w:val="14"/>
                <w:lang w:val="es-ES"/>
              </w:rPr>
              <w:br/>
              <w:t>en otros</w:t>
            </w:r>
          </w:p>
        </w:tc>
        <w:tc>
          <w:tcPr>
            <w:tcW w:w="1096" w:type="dxa"/>
            <w:tcBorders>
              <w:top w:val="single" w:sz="4" w:space="0" w:color="auto"/>
              <w:left w:val="nil"/>
              <w:bottom w:val="nil"/>
              <w:right w:val="single" w:sz="4" w:space="0" w:color="auto"/>
            </w:tcBorders>
            <w:shd w:val="clear" w:color="000000" w:fill="CCFFCC"/>
            <w:vAlign w:val="center"/>
            <w:hideMark/>
          </w:tcPr>
          <w:p w:rsidR="00071C51" w:rsidRPr="00071C51" w:rsidRDefault="00071C51" w:rsidP="00BA3724">
            <w:pPr>
              <w:jc w:val="center"/>
              <w:rPr>
                <w:rFonts w:ascii="Lucida Bright" w:hAnsi="Lucida Bright" w:cs="Calibri"/>
                <w:sz w:val="14"/>
                <w:szCs w:val="14"/>
                <w:lang w:val="es-ES"/>
              </w:rPr>
            </w:pPr>
            <w:r w:rsidRPr="00071C51">
              <w:rPr>
                <w:rFonts w:ascii="Lucida Bright" w:hAnsi="Lucida Bright" w:cs="Calibri"/>
                <w:sz w:val="14"/>
                <w:szCs w:val="14"/>
                <w:lang w:val="es-ES"/>
              </w:rPr>
              <w:t>Concesiones</w:t>
            </w:r>
            <w:r w:rsidRPr="00071C51">
              <w:rPr>
                <w:rFonts w:ascii="Lucida Bright" w:hAnsi="Lucida Bright" w:cs="Calibri"/>
                <w:sz w:val="14"/>
                <w:szCs w:val="14"/>
                <w:lang w:val="es-ES"/>
              </w:rPr>
              <w:br/>
              <w:t>revertidas, donaciones y legados</w:t>
            </w:r>
          </w:p>
        </w:tc>
        <w:tc>
          <w:tcPr>
            <w:tcW w:w="1096" w:type="dxa"/>
            <w:tcBorders>
              <w:top w:val="single" w:sz="4" w:space="0" w:color="auto"/>
              <w:left w:val="nil"/>
              <w:bottom w:val="nil"/>
              <w:right w:val="single" w:sz="4" w:space="0" w:color="auto"/>
            </w:tcBorders>
            <w:shd w:val="clear" w:color="000000" w:fill="CCFFCC"/>
            <w:vAlign w:val="center"/>
            <w:hideMark/>
          </w:tcPr>
          <w:p w:rsidR="00071C51" w:rsidRPr="00071C51" w:rsidRDefault="00071C51" w:rsidP="00BA3724">
            <w:pPr>
              <w:jc w:val="center"/>
              <w:rPr>
                <w:rFonts w:ascii="Lucida Bright" w:hAnsi="Lucida Bright" w:cs="Calibri"/>
                <w:sz w:val="14"/>
                <w:szCs w:val="14"/>
                <w:lang w:val="es-ES"/>
              </w:rPr>
            </w:pPr>
            <w:r w:rsidRPr="00071C51">
              <w:rPr>
                <w:rFonts w:ascii="Lucida Bright" w:hAnsi="Lucida Bright" w:cs="Calibri"/>
                <w:sz w:val="14"/>
                <w:szCs w:val="14"/>
                <w:lang w:val="es-ES"/>
              </w:rPr>
              <w:t>Rescate</w:t>
            </w:r>
            <w:r w:rsidRPr="00071C51">
              <w:rPr>
                <w:rFonts w:ascii="Lucida Bright" w:hAnsi="Lucida Bright" w:cs="Calibri"/>
                <w:sz w:val="14"/>
                <w:szCs w:val="14"/>
                <w:lang w:val="es-ES"/>
              </w:rPr>
              <w:br/>
              <w:t>anticipado de</w:t>
            </w:r>
            <w:r w:rsidRPr="00071C51">
              <w:rPr>
                <w:rFonts w:ascii="Lucida Bright" w:hAnsi="Lucida Bright" w:cs="Calibri"/>
                <w:sz w:val="14"/>
                <w:szCs w:val="14"/>
                <w:lang w:val="es-ES"/>
              </w:rPr>
              <w:br/>
              <w:t>concesiones</w:t>
            </w:r>
          </w:p>
        </w:tc>
        <w:tc>
          <w:tcPr>
            <w:tcW w:w="1096" w:type="dxa"/>
            <w:tcBorders>
              <w:top w:val="single" w:sz="4" w:space="0" w:color="auto"/>
              <w:left w:val="nil"/>
              <w:bottom w:val="single" w:sz="4" w:space="0" w:color="auto"/>
              <w:right w:val="single" w:sz="4" w:space="0" w:color="auto"/>
            </w:tcBorders>
            <w:shd w:val="clear" w:color="000000" w:fill="CCFFCC"/>
            <w:vAlign w:val="center"/>
            <w:hideMark/>
          </w:tcPr>
          <w:p w:rsidR="00071C51" w:rsidRPr="00071C51" w:rsidRDefault="00071C51" w:rsidP="00BA3724">
            <w:pPr>
              <w:jc w:val="center"/>
              <w:rPr>
                <w:rFonts w:ascii="Lucida Bright" w:hAnsi="Lucida Bright" w:cs="Calibri"/>
                <w:sz w:val="14"/>
                <w:szCs w:val="14"/>
                <w:lang w:val="es-ES"/>
              </w:rPr>
            </w:pPr>
            <w:r w:rsidRPr="00071C51">
              <w:rPr>
                <w:rFonts w:ascii="Lucida Bright" w:hAnsi="Lucida Bright" w:cs="Calibri"/>
                <w:sz w:val="14"/>
                <w:szCs w:val="14"/>
                <w:lang w:val="es-ES"/>
              </w:rPr>
              <w:t>Transferencias</w:t>
            </w:r>
            <w:r w:rsidRPr="00071C51">
              <w:rPr>
                <w:rFonts w:ascii="Lucida Bright" w:hAnsi="Lucida Bright" w:cs="Calibri"/>
                <w:sz w:val="14"/>
                <w:szCs w:val="14"/>
                <w:lang w:val="es-ES"/>
              </w:rPr>
              <w:br/>
              <w:t>desde otros</w:t>
            </w:r>
            <w:r w:rsidRPr="00071C51">
              <w:rPr>
                <w:rFonts w:ascii="Lucida Bright" w:hAnsi="Lucida Bright" w:cs="Calibri"/>
                <w:sz w:val="14"/>
                <w:szCs w:val="14"/>
                <w:lang w:val="es-ES"/>
              </w:rPr>
              <w:br/>
              <w:t>org. públicos y otras altas</w:t>
            </w:r>
          </w:p>
        </w:tc>
        <w:tc>
          <w:tcPr>
            <w:tcW w:w="1216" w:type="dxa"/>
            <w:tcBorders>
              <w:top w:val="single" w:sz="4" w:space="0" w:color="auto"/>
              <w:left w:val="nil"/>
              <w:bottom w:val="single" w:sz="4" w:space="0" w:color="auto"/>
              <w:right w:val="single" w:sz="4" w:space="0" w:color="auto"/>
            </w:tcBorders>
            <w:shd w:val="clear" w:color="000000" w:fill="CCFFCC"/>
            <w:vAlign w:val="center"/>
            <w:hideMark/>
          </w:tcPr>
          <w:p w:rsidR="00071C51" w:rsidRPr="00071C51" w:rsidRDefault="00071C51" w:rsidP="00BA3724">
            <w:pPr>
              <w:jc w:val="center"/>
              <w:rPr>
                <w:rFonts w:ascii="Lucida Bright" w:hAnsi="Lucida Bright" w:cs="Calibri"/>
                <w:sz w:val="14"/>
                <w:szCs w:val="14"/>
                <w:lang w:val="es-ES"/>
              </w:rPr>
            </w:pPr>
            <w:r w:rsidRPr="00071C51">
              <w:rPr>
                <w:rFonts w:ascii="Lucida Bright" w:hAnsi="Lucida Bright" w:cs="Calibri"/>
                <w:sz w:val="14"/>
                <w:szCs w:val="14"/>
                <w:lang w:val="es-ES"/>
              </w:rPr>
              <w:t>Traspasos de inmovilizado</w:t>
            </w:r>
            <w:r w:rsidRPr="00071C51">
              <w:rPr>
                <w:rFonts w:ascii="Lucida Bright" w:hAnsi="Lucida Bright" w:cs="Calibri"/>
                <w:sz w:val="14"/>
                <w:szCs w:val="14"/>
                <w:lang w:val="es-ES"/>
              </w:rPr>
              <w:br/>
              <w:t>en curso</w:t>
            </w:r>
          </w:p>
        </w:tc>
        <w:tc>
          <w:tcPr>
            <w:tcW w:w="1216" w:type="dxa"/>
            <w:tcBorders>
              <w:top w:val="single" w:sz="4" w:space="0" w:color="auto"/>
              <w:left w:val="nil"/>
              <w:bottom w:val="single" w:sz="4" w:space="0" w:color="auto"/>
              <w:right w:val="single" w:sz="4" w:space="0" w:color="auto"/>
            </w:tcBorders>
            <w:shd w:val="clear" w:color="000000" w:fill="CCFFCC"/>
            <w:vAlign w:val="center"/>
            <w:hideMark/>
          </w:tcPr>
          <w:p w:rsidR="00071C51" w:rsidRPr="00071C51" w:rsidRDefault="00071C51" w:rsidP="00BA3724">
            <w:pPr>
              <w:jc w:val="center"/>
              <w:rPr>
                <w:rFonts w:ascii="Lucida Bright" w:hAnsi="Lucida Bright" w:cs="Calibri"/>
                <w:sz w:val="14"/>
                <w:szCs w:val="14"/>
                <w:lang w:val="es-ES"/>
              </w:rPr>
            </w:pPr>
            <w:r w:rsidRPr="00071C51">
              <w:rPr>
                <w:rFonts w:ascii="Lucida Bright" w:hAnsi="Lucida Bright" w:cs="Calibri"/>
                <w:sz w:val="14"/>
                <w:szCs w:val="14"/>
                <w:lang w:val="es-ES"/>
              </w:rPr>
              <w:t>Total altas</w:t>
            </w:r>
            <w:r w:rsidRPr="00071C51">
              <w:rPr>
                <w:rFonts w:ascii="Lucida Bright" w:hAnsi="Lucida Bright" w:cs="Calibri"/>
                <w:sz w:val="14"/>
                <w:szCs w:val="14"/>
                <w:lang w:val="es-ES"/>
              </w:rPr>
              <w:br/>
              <w:t>del ejercicio</w:t>
            </w:r>
            <w:r w:rsidRPr="00071C51">
              <w:rPr>
                <w:rFonts w:ascii="Lucida Bright" w:hAnsi="Lucida Bright" w:cs="Calibri"/>
                <w:sz w:val="14"/>
                <w:szCs w:val="14"/>
                <w:lang w:val="es-ES"/>
              </w:rPr>
              <w:br/>
              <w:t>2024</w:t>
            </w:r>
          </w:p>
        </w:tc>
      </w:tr>
      <w:tr w:rsidR="00071C51" w:rsidRPr="00071C51" w:rsidTr="00071C51">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C51" w:rsidRPr="00071C51" w:rsidRDefault="00071C51" w:rsidP="00071C51">
            <w:pPr>
              <w:rPr>
                <w:rFonts w:ascii="Lucida Bright" w:hAnsi="Lucida Bright" w:cs="Calibri"/>
                <w:b/>
                <w:bCs/>
                <w:sz w:val="14"/>
                <w:szCs w:val="14"/>
                <w:lang w:val="es-ES"/>
              </w:rPr>
            </w:pPr>
            <w:r w:rsidRPr="00071C51">
              <w:rPr>
                <w:rFonts w:ascii="Lucida Bright" w:hAnsi="Lucida Bright" w:cs="Calibri"/>
                <w:b/>
                <w:bCs/>
                <w:sz w:val="14"/>
                <w:szCs w:val="14"/>
                <w:lang w:val="es-ES"/>
              </w:rPr>
              <w:t xml:space="preserve"> a) Terrenos y bienes naturales</w:t>
            </w:r>
          </w:p>
        </w:tc>
        <w:tc>
          <w:tcPr>
            <w:tcW w:w="1243"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b/>
                <w:bCs/>
                <w:sz w:val="14"/>
                <w:szCs w:val="14"/>
                <w:lang w:val="es-ES"/>
              </w:rPr>
            </w:pPr>
            <w:r w:rsidRPr="00071C51">
              <w:rPr>
                <w:rFonts w:ascii="Lucida Bright" w:hAnsi="Lucida Bright" w:cs="Calibri"/>
                <w:b/>
                <w:bCs/>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b/>
                <w:bCs/>
                <w:sz w:val="14"/>
                <w:szCs w:val="14"/>
                <w:lang w:val="es-ES"/>
              </w:rPr>
            </w:pPr>
            <w:r w:rsidRPr="00071C51">
              <w:rPr>
                <w:rFonts w:ascii="Lucida Bright" w:hAnsi="Lucida Bright" w:cs="Calibri"/>
                <w:b/>
                <w:bCs/>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b/>
                <w:bCs/>
                <w:sz w:val="14"/>
                <w:szCs w:val="14"/>
                <w:lang w:val="es-ES"/>
              </w:rPr>
            </w:pPr>
            <w:r w:rsidRPr="00071C51">
              <w:rPr>
                <w:rFonts w:ascii="Lucida Bright" w:hAnsi="Lucida Bright" w:cs="Calibri"/>
                <w:b/>
                <w:bCs/>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b/>
                <w:bCs/>
                <w:sz w:val="14"/>
                <w:szCs w:val="14"/>
                <w:lang w:val="es-ES"/>
              </w:rPr>
            </w:pPr>
            <w:r w:rsidRPr="00071C51">
              <w:rPr>
                <w:rFonts w:ascii="Lucida Bright" w:hAnsi="Lucida Bright" w:cs="Calibri"/>
                <w:b/>
                <w:bCs/>
                <w:sz w:val="14"/>
                <w:szCs w:val="14"/>
                <w:lang w:val="es-ES"/>
              </w:rPr>
              <w:t>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b/>
                <w:bCs/>
                <w:sz w:val="14"/>
                <w:szCs w:val="14"/>
                <w:lang w:val="es-ES"/>
              </w:rPr>
            </w:pPr>
            <w:r w:rsidRPr="00071C51">
              <w:rPr>
                <w:rFonts w:ascii="Lucida Bright" w:hAnsi="Lucida Bright" w:cs="Calibri"/>
                <w:b/>
                <w:bCs/>
                <w:sz w:val="14"/>
                <w:szCs w:val="14"/>
                <w:lang w:val="es-ES"/>
              </w:rPr>
              <w:t>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b/>
                <w:bCs/>
                <w:sz w:val="14"/>
                <w:szCs w:val="14"/>
                <w:lang w:val="es-ES"/>
              </w:rPr>
            </w:pPr>
            <w:r w:rsidRPr="00071C51">
              <w:rPr>
                <w:rFonts w:ascii="Lucida Bright" w:hAnsi="Lucida Bright" w:cs="Calibri"/>
                <w:b/>
                <w:bCs/>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b/>
                <w:bCs/>
                <w:sz w:val="14"/>
                <w:szCs w:val="14"/>
                <w:lang w:val="es-ES"/>
              </w:rPr>
            </w:pPr>
            <w:r w:rsidRPr="00071C51">
              <w:rPr>
                <w:rFonts w:ascii="Lucida Bright" w:hAnsi="Lucida Bright" w:cs="Calibri"/>
                <w:b/>
                <w:bCs/>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b/>
                <w:bCs/>
                <w:sz w:val="14"/>
                <w:szCs w:val="14"/>
                <w:lang w:val="es-ES"/>
              </w:rPr>
            </w:pPr>
            <w:r w:rsidRPr="00071C51">
              <w:rPr>
                <w:rFonts w:ascii="Lucida Bright" w:hAnsi="Lucida Bright" w:cs="Calibri"/>
                <w:b/>
                <w:bCs/>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b/>
                <w:bCs/>
                <w:sz w:val="14"/>
                <w:szCs w:val="14"/>
                <w:lang w:val="es-ES"/>
              </w:rPr>
            </w:pPr>
            <w:r w:rsidRPr="00071C51">
              <w:rPr>
                <w:rFonts w:ascii="Lucida Bright" w:hAnsi="Lucida Bright" w:cs="Calibri"/>
                <w:b/>
                <w:bCs/>
                <w:sz w:val="14"/>
                <w:szCs w:val="14"/>
                <w:lang w:val="es-ES"/>
              </w:rPr>
              <w:t> </w:t>
            </w:r>
          </w:p>
        </w:tc>
      </w:tr>
      <w:tr w:rsidR="00071C51" w:rsidRPr="00071C51" w:rsidTr="00071C51">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C51" w:rsidRPr="00071C51" w:rsidRDefault="00071C51" w:rsidP="00071C51">
            <w:pPr>
              <w:rPr>
                <w:rFonts w:ascii="Lucida Bright" w:hAnsi="Lucida Bright" w:cs="Calibri"/>
                <w:b/>
                <w:bCs/>
                <w:sz w:val="14"/>
                <w:szCs w:val="14"/>
                <w:lang w:val="es-ES"/>
              </w:rPr>
            </w:pPr>
            <w:r w:rsidRPr="00071C51">
              <w:rPr>
                <w:rFonts w:ascii="Lucida Bright" w:hAnsi="Lucida Bright" w:cs="Calibri"/>
                <w:b/>
                <w:bCs/>
                <w:sz w:val="14"/>
                <w:szCs w:val="14"/>
                <w:lang w:val="es-ES"/>
              </w:rPr>
              <w:t xml:space="preserve"> b) Construcciones</w:t>
            </w:r>
          </w:p>
        </w:tc>
        <w:tc>
          <w:tcPr>
            <w:tcW w:w="1243"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159"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25.879.985,86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25.879.985,86 </w:t>
            </w:r>
          </w:p>
        </w:tc>
      </w:tr>
      <w:tr w:rsidR="00071C51" w:rsidRPr="00071C51" w:rsidTr="00071C51">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xml:space="preserve">      Accesos marítimos</w:t>
            </w:r>
          </w:p>
        </w:tc>
        <w:tc>
          <w:tcPr>
            <w:tcW w:w="1243"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283.721,43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283.721,43 </w:t>
            </w:r>
          </w:p>
        </w:tc>
      </w:tr>
      <w:tr w:rsidR="00071C51" w:rsidRPr="00071C51" w:rsidTr="00071C51">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xml:space="preserve">      Obras de abrigo y defensa</w:t>
            </w:r>
          </w:p>
        </w:tc>
        <w:tc>
          <w:tcPr>
            <w:tcW w:w="1243"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13.884.659,82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13.884.659,82 </w:t>
            </w:r>
          </w:p>
        </w:tc>
      </w:tr>
      <w:tr w:rsidR="00071C51" w:rsidRPr="00071C51" w:rsidTr="00071C51">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xml:space="preserve">      Obras de atraque</w:t>
            </w:r>
          </w:p>
        </w:tc>
        <w:tc>
          <w:tcPr>
            <w:tcW w:w="1243"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1.996.474,26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1.996.474,26 </w:t>
            </w:r>
          </w:p>
        </w:tc>
      </w:tr>
      <w:tr w:rsidR="00071C51" w:rsidRPr="00071C51" w:rsidTr="00071C51">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xml:space="preserve">      Instalaciones para reparación de barcos</w:t>
            </w:r>
          </w:p>
        </w:tc>
        <w:tc>
          <w:tcPr>
            <w:tcW w:w="1243"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r>
      <w:tr w:rsidR="00071C51" w:rsidRPr="00071C51" w:rsidTr="00071C51">
        <w:trPr>
          <w:trHeight w:val="210"/>
        </w:trPr>
        <w:tc>
          <w:tcPr>
            <w:tcW w:w="3239" w:type="dxa"/>
            <w:tcBorders>
              <w:top w:val="nil"/>
              <w:left w:val="single" w:sz="4" w:space="0" w:color="auto"/>
              <w:bottom w:val="single" w:sz="4" w:space="0" w:color="auto"/>
              <w:right w:val="nil"/>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xml:space="preserve">      Edificaciones</w:t>
            </w:r>
          </w:p>
        </w:tc>
        <w:tc>
          <w:tcPr>
            <w:tcW w:w="55"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43"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3.678.594,92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3.678.594,92 </w:t>
            </w:r>
          </w:p>
        </w:tc>
      </w:tr>
      <w:tr w:rsidR="00071C51" w:rsidRPr="00071C51" w:rsidTr="00071C51">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xml:space="preserve">      Instalaciones generales</w:t>
            </w:r>
          </w:p>
        </w:tc>
        <w:tc>
          <w:tcPr>
            <w:tcW w:w="1243"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5.496.012,16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5.496.012,16 </w:t>
            </w:r>
          </w:p>
        </w:tc>
      </w:tr>
      <w:tr w:rsidR="00071C51" w:rsidRPr="00071C51" w:rsidTr="00071C51">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xml:space="preserve">      Pavimentos, calzadas y vías de circulación</w:t>
            </w:r>
          </w:p>
        </w:tc>
        <w:tc>
          <w:tcPr>
            <w:tcW w:w="1243"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159"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nil"/>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540.523,27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540.523,27 </w:t>
            </w:r>
          </w:p>
        </w:tc>
      </w:tr>
      <w:tr w:rsidR="00071C51" w:rsidRPr="00071C51" w:rsidTr="00071C51">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C51" w:rsidRPr="00071C51" w:rsidRDefault="00071C51" w:rsidP="00071C51">
            <w:pPr>
              <w:rPr>
                <w:rFonts w:ascii="Lucida Bright" w:hAnsi="Lucida Bright" w:cs="Calibri"/>
                <w:b/>
                <w:bCs/>
                <w:sz w:val="14"/>
                <w:szCs w:val="14"/>
                <w:lang w:val="es-ES"/>
              </w:rPr>
            </w:pPr>
            <w:r w:rsidRPr="00071C51">
              <w:rPr>
                <w:rFonts w:ascii="Lucida Bright" w:hAnsi="Lucida Bright" w:cs="Calibri"/>
                <w:b/>
                <w:bCs/>
                <w:sz w:val="14"/>
                <w:szCs w:val="14"/>
                <w:lang w:val="es-ES"/>
              </w:rPr>
              <w:t xml:space="preserve"> c) Equipamientos e instalaciones técnicas</w:t>
            </w:r>
          </w:p>
        </w:tc>
        <w:tc>
          <w:tcPr>
            <w:tcW w:w="1243"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159"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1.620.846,57 </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1.620.846,57 </w:t>
            </w:r>
          </w:p>
        </w:tc>
      </w:tr>
      <w:tr w:rsidR="00071C51" w:rsidRPr="00071C51" w:rsidTr="00071C51">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xml:space="preserve">      Instalaciones de ayuda a la navegación</w:t>
            </w:r>
          </w:p>
        </w:tc>
        <w:tc>
          <w:tcPr>
            <w:tcW w:w="1243"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63.228,63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63.228,63 </w:t>
            </w:r>
          </w:p>
        </w:tc>
      </w:tr>
      <w:tr w:rsidR="00071C51" w:rsidRPr="00071C51" w:rsidTr="00071C51">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xml:space="preserve">      Equipo de manipulación de </w:t>
            </w:r>
            <w:r w:rsidR="00416638" w:rsidRPr="00071C51">
              <w:rPr>
                <w:rFonts w:ascii="Lucida Bright" w:hAnsi="Lucida Bright" w:cs="Calibri"/>
                <w:sz w:val="14"/>
                <w:szCs w:val="14"/>
                <w:lang w:val="es-ES"/>
              </w:rPr>
              <w:t>mercancías</w:t>
            </w:r>
          </w:p>
        </w:tc>
        <w:tc>
          <w:tcPr>
            <w:tcW w:w="1243"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582.433,42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582.433,42 </w:t>
            </w:r>
          </w:p>
        </w:tc>
      </w:tr>
      <w:tr w:rsidR="00071C51" w:rsidRPr="00071C51" w:rsidTr="00071C51">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xml:space="preserve">      Material flotante</w:t>
            </w:r>
          </w:p>
        </w:tc>
        <w:tc>
          <w:tcPr>
            <w:tcW w:w="1243"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r>
      <w:tr w:rsidR="00071C51" w:rsidRPr="00071C51" w:rsidTr="00071C51">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xml:space="preserve">      Material ferroviario</w:t>
            </w:r>
          </w:p>
        </w:tc>
        <w:tc>
          <w:tcPr>
            <w:tcW w:w="1243"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r>
      <w:tr w:rsidR="00071C51" w:rsidRPr="00071C51" w:rsidTr="00071C51">
        <w:trPr>
          <w:trHeight w:val="210"/>
        </w:trPr>
        <w:tc>
          <w:tcPr>
            <w:tcW w:w="3239" w:type="dxa"/>
            <w:tcBorders>
              <w:top w:val="nil"/>
              <w:left w:val="single" w:sz="4" w:space="0" w:color="auto"/>
              <w:bottom w:val="nil"/>
              <w:right w:val="nil"/>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xml:space="preserve">      Equipo de taller</w:t>
            </w:r>
          </w:p>
        </w:tc>
        <w:tc>
          <w:tcPr>
            <w:tcW w:w="55"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43"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159"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r>
      <w:tr w:rsidR="00071C51" w:rsidRPr="00071C51" w:rsidTr="00071C51">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xml:space="preserve">      Energías renovables y transición energética</w:t>
            </w:r>
          </w:p>
        </w:tc>
        <w:tc>
          <w:tcPr>
            <w:tcW w:w="1243"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159"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975.184,52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975.184,52 </w:t>
            </w:r>
          </w:p>
        </w:tc>
      </w:tr>
      <w:tr w:rsidR="00071C51" w:rsidRPr="00071C51" w:rsidTr="00071C51">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C51" w:rsidRPr="00071C51" w:rsidRDefault="00071C51" w:rsidP="00071C51">
            <w:pPr>
              <w:rPr>
                <w:rFonts w:ascii="Lucida Bright" w:hAnsi="Lucida Bright" w:cs="Calibri"/>
                <w:b/>
                <w:bCs/>
                <w:sz w:val="14"/>
                <w:szCs w:val="14"/>
                <w:lang w:val="es-ES"/>
              </w:rPr>
            </w:pPr>
            <w:r w:rsidRPr="00071C51">
              <w:rPr>
                <w:rFonts w:ascii="Lucida Bright" w:hAnsi="Lucida Bright" w:cs="Calibri"/>
                <w:b/>
                <w:bCs/>
                <w:sz w:val="14"/>
                <w:szCs w:val="14"/>
                <w:lang w:val="es-ES"/>
              </w:rPr>
              <w:t xml:space="preserve"> d) Otro inmovilizado</w:t>
            </w:r>
          </w:p>
        </w:tc>
        <w:tc>
          <w:tcPr>
            <w:tcW w:w="1243"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159"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1.841.059,48 </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1.841.059,48 </w:t>
            </w:r>
          </w:p>
        </w:tc>
      </w:tr>
      <w:tr w:rsidR="00071C51" w:rsidRPr="00071C51" w:rsidTr="00071C51">
        <w:trPr>
          <w:trHeight w:val="210"/>
        </w:trPr>
        <w:tc>
          <w:tcPr>
            <w:tcW w:w="3239" w:type="dxa"/>
            <w:tcBorders>
              <w:top w:val="nil"/>
              <w:left w:val="single" w:sz="4" w:space="0" w:color="auto"/>
              <w:bottom w:val="single" w:sz="4" w:space="0" w:color="auto"/>
              <w:right w:val="nil"/>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xml:space="preserve">      Mobiliario</w:t>
            </w:r>
          </w:p>
        </w:tc>
        <w:tc>
          <w:tcPr>
            <w:tcW w:w="55"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43"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129.631,22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129.631,22 </w:t>
            </w:r>
          </w:p>
        </w:tc>
      </w:tr>
      <w:tr w:rsidR="00071C51" w:rsidRPr="00071C51" w:rsidTr="00071C51">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xml:space="preserve">      Equipos de proceso de información</w:t>
            </w:r>
          </w:p>
        </w:tc>
        <w:tc>
          <w:tcPr>
            <w:tcW w:w="1243"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274.405,26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274.405,26 </w:t>
            </w:r>
          </w:p>
        </w:tc>
      </w:tr>
      <w:tr w:rsidR="00071C51" w:rsidRPr="00071C51" w:rsidTr="00071C51">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xml:space="preserve">      Elementos de transporte</w:t>
            </w:r>
          </w:p>
        </w:tc>
        <w:tc>
          <w:tcPr>
            <w:tcW w:w="1243"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989.902,74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989.902,74 </w:t>
            </w:r>
          </w:p>
        </w:tc>
      </w:tr>
      <w:tr w:rsidR="00071C51" w:rsidRPr="00071C51" w:rsidTr="00071C51">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xml:space="preserve">      Otro inmovilizado material</w:t>
            </w:r>
          </w:p>
        </w:tc>
        <w:tc>
          <w:tcPr>
            <w:tcW w:w="1243"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159"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nil"/>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447.120,26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447.120,26 </w:t>
            </w:r>
          </w:p>
        </w:tc>
      </w:tr>
      <w:tr w:rsidR="00071C51" w:rsidRPr="00071C51" w:rsidTr="00071C51">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C51" w:rsidRPr="00071C51" w:rsidRDefault="00071C51" w:rsidP="00071C51">
            <w:pPr>
              <w:rPr>
                <w:rFonts w:ascii="Lucida Bright" w:hAnsi="Lucida Bright" w:cs="Calibri"/>
                <w:b/>
                <w:bCs/>
                <w:sz w:val="14"/>
                <w:szCs w:val="14"/>
                <w:lang w:val="es-ES"/>
              </w:rPr>
            </w:pPr>
            <w:r w:rsidRPr="00071C51">
              <w:rPr>
                <w:rFonts w:ascii="Lucida Bright" w:hAnsi="Lucida Bright" w:cs="Calibri"/>
                <w:b/>
                <w:bCs/>
                <w:sz w:val="14"/>
                <w:szCs w:val="14"/>
                <w:lang w:val="es-ES"/>
              </w:rPr>
              <w:t>TOTAL INMOVILIZADO MATERIAL</w:t>
            </w:r>
          </w:p>
        </w:tc>
        <w:tc>
          <w:tcPr>
            <w:tcW w:w="1243"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159"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29.341.891,91 </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29.341.891,91 </w:t>
            </w:r>
          </w:p>
        </w:tc>
      </w:tr>
      <w:tr w:rsidR="00071C51" w:rsidRPr="00071C51" w:rsidTr="00071C51">
        <w:trPr>
          <w:trHeight w:val="210"/>
        </w:trPr>
        <w:tc>
          <w:tcPr>
            <w:tcW w:w="3239" w:type="dxa"/>
            <w:tcBorders>
              <w:top w:val="nil"/>
              <w:left w:val="single" w:sz="4" w:space="0" w:color="auto"/>
              <w:bottom w:val="single" w:sz="4" w:space="0" w:color="auto"/>
              <w:right w:val="nil"/>
            </w:tcBorders>
            <w:shd w:val="clear" w:color="000000" w:fill="FFFFFF"/>
            <w:noWrap/>
            <w:vAlign w:val="center"/>
            <w:hideMark/>
          </w:tcPr>
          <w:p w:rsidR="00071C51" w:rsidRPr="00071C51" w:rsidRDefault="00071C51" w:rsidP="00071C51">
            <w:pPr>
              <w:rPr>
                <w:rFonts w:ascii="Lucida Bright" w:hAnsi="Lucida Bright" w:cs="Calibri"/>
                <w:b/>
                <w:bCs/>
                <w:sz w:val="14"/>
                <w:szCs w:val="14"/>
                <w:lang w:val="es-ES"/>
              </w:rPr>
            </w:pPr>
            <w:r w:rsidRPr="00071C51">
              <w:rPr>
                <w:rFonts w:ascii="Lucida Bright" w:hAnsi="Lucida Bright" w:cs="Calibri"/>
                <w:b/>
                <w:bCs/>
                <w:sz w:val="14"/>
                <w:szCs w:val="14"/>
                <w:lang w:val="es-ES"/>
              </w:rPr>
              <w:t>ANTICIPOS E INMOVILIZADO EN CURSO</w:t>
            </w:r>
          </w:p>
        </w:tc>
        <w:tc>
          <w:tcPr>
            <w:tcW w:w="55" w:type="dxa"/>
            <w:tcBorders>
              <w:top w:val="nil"/>
              <w:left w:val="nil"/>
              <w:bottom w:val="nil"/>
              <w:right w:val="nil"/>
            </w:tcBorders>
            <w:shd w:val="clear" w:color="auto" w:fill="auto"/>
            <w:noWrap/>
            <w:vAlign w:val="center"/>
            <w:hideMark/>
          </w:tcPr>
          <w:p w:rsidR="00071C51" w:rsidRPr="00071C51" w:rsidRDefault="00071C51" w:rsidP="00071C51">
            <w:pPr>
              <w:jc w:val="center"/>
              <w:rPr>
                <w:rFonts w:ascii="Lucida Bright" w:hAnsi="Lucida Bright" w:cs="Calibri"/>
                <w:b/>
                <w:bCs/>
                <w:sz w:val="14"/>
                <w:szCs w:val="14"/>
                <w:lang w:val="es-ES"/>
              </w:rPr>
            </w:pPr>
            <w:r w:rsidRPr="00071C51">
              <w:rPr>
                <w:rFonts w:ascii="Lucida Bright" w:hAnsi="Lucida Bright" w:cs="Calibri"/>
                <w:b/>
                <w:bCs/>
                <w:sz w:val="14"/>
                <w:szCs w:val="14"/>
                <w:lang w:val="es-ES"/>
              </w:rPr>
              <w:t> </w:t>
            </w:r>
          </w:p>
        </w:tc>
        <w:tc>
          <w:tcPr>
            <w:tcW w:w="1243" w:type="dxa"/>
            <w:tcBorders>
              <w:top w:val="nil"/>
              <w:left w:val="single" w:sz="4" w:space="0" w:color="auto"/>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47.142.245,37 </w:t>
            </w:r>
          </w:p>
        </w:tc>
        <w:tc>
          <w:tcPr>
            <w:tcW w:w="1159"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rPr>
                <w:rFonts w:ascii="Lucida Bright" w:hAnsi="Lucida Bright" w:cs="Calibri"/>
                <w:sz w:val="14"/>
                <w:szCs w:val="14"/>
                <w:lang w:val="es-ES"/>
              </w:rPr>
            </w:pPr>
            <w:r w:rsidRPr="00071C51">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(29.341.891,91)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sz w:val="14"/>
                <w:szCs w:val="14"/>
                <w:lang w:val="es-ES"/>
              </w:rPr>
            </w:pPr>
            <w:r w:rsidRPr="00071C51">
              <w:rPr>
                <w:rFonts w:ascii="Lucida Bright" w:hAnsi="Lucida Bright" w:cs="Calibri"/>
                <w:sz w:val="14"/>
                <w:szCs w:val="14"/>
                <w:lang w:val="es-ES"/>
              </w:rPr>
              <w:t xml:space="preserve">17.800.353,46 </w:t>
            </w:r>
          </w:p>
        </w:tc>
      </w:tr>
      <w:tr w:rsidR="00071C51" w:rsidRPr="00071C51" w:rsidTr="00071C51">
        <w:trPr>
          <w:trHeight w:val="210"/>
        </w:trPr>
        <w:tc>
          <w:tcPr>
            <w:tcW w:w="3239" w:type="dxa"/>
            <w:tcBorders>
              <w:top w:val="nil"/>
              <w:left w:val="single" w:sz="4" w:space="0" w:color="auto"/>
              <w:bottom w:val="single" w:sz="4" w:space="0" w:color="auto"/>
              <w:right w:val="nil"/>
            </w:tcBorders>
            <w:shd w:val="clear" w:color="000000" w:fill="FFFFFF"/>
            <w:noWrap/>
            <w:vAlign w:val="center"/>
            <w:hideMark/>
          </w:tcPr>
          <w:p w:rsidR="00071C51" w:rsidRPr="00071C51" w:rsidRDefault="00071C51" w:rsidP="00071C51">
            <w:pPr>
              <w:jc w:val="center"/>
              <w:rPr>
                <w:rFonts w:ascii="Lucida Bright" w:hAnsi="Lucida Bright" w:cs="Calibri"/>
                <w:b/>
                <w:bCs/>
                <w:sz w:val="14"/>
                <w:szCs w:val="14"/>
                <w:lang w:val="es-ES"/>
              </w:rPr>
            </w:pPr>
            <w:r w:rsidRPr="00071C51">
              <w:rPr>
                <w:rFonts w:ascii="Lucida Bright" w:hAnsi="Lucida Bright" w:cs="Calibri"/>
                <w:b/>
                <w:bCs/>
                <w:sz w:val="14"/>
                <w:szCs w:val="14"/>
                <w:lang w:val="es-ES"/>
              </w:rPr>
              <w:t>TOTAL</w:t>
            </w:r>
          </w:p>
        </w:tc>
        <w:tc>
          <w:tcPr>
            <w:tcW w:w="55"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center"/>
              <w:rPr>
                <w:rFonts w:ascii="Lucida Bright" w:hAnsi="Lucida Bright" w:cs="Calibri"/>
                <w:b/>
                <w:bCs/>
                <w:sz w:val="14"/>
                <w:szCs w:val="14"/>
                <w:lang w:val="es-ES"/>
              </w:rPr>
            </w:pPr>
            <w:r w:rsidRPr="00071C51">
              <w:rPr>
                <w:rFonts w:ascii="Lucida Bright" w:hAnsi="Lucida Bright" w:cs="Calibri"/>
                <w:b/>
                <w:bCs/>
                <w:sz w:val="14"/>
                <w:szCs w:val="14"/>
                <w:lang w:val="es-ES"/>
              </w:rPr>
              <w:t> </w:t>
            </w:r>
          </w:p>
        </w:tc>
        <w:tc>
          <w:tcPr>
            <w:tcW w:w="1243"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47.142.245,37 </w:t>
            </w:r>
          </w:p>
        </w:tc>
        <w:tc>
          <w:tcPr>
            <w:tcW w:w="1159"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216" w:type="dxa"/>
            <w:tcBorders>
              <w:top w:val="nil"/>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 </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071C51" w:rsidRPr="00071C51" w:rsidRDefault="00071C51" w:rsidP="00071C51">
            <w:pPr>
              <w:jc w:val="right"/>
              <w:rPr>
                <w:rFonts w:ascii="Lucida Bright" w:hAnsi="Lucida Bright" w:cs="Calibri"/>
                <w:b/>
                <w:bCs/>
                <w:sz w:val="14"/>
                <w:szCs w:val="14"/>
                <w:lang w:val="es-ES"/>
              </w:rPr>
            </w:pPr>
            <w:r w:rsidRPr="00071C51">
              <w:rPr>
                <w:rFonts w:ascii="Lucida Bright" w:hAnsi="Lucida Bright" w:cs="Calibri"/>
                <w:b/>
                <w:bCs/>
                <w:sz w:val="14"/>
                <w:szCs w:val="14"/>
                <w:lang w:val="es-ES"/>
              </w:rPr>
              <w:t xml:space="preserve">47.142.245,37 </w:t>
            </w:r>
          </w:p>
        </w:tc>
      </w:tr>
    </w:tbl>
    <w:p w:rsidR="001C4AD5" w:rsidRDefault="001C4AD5" w:rsidP="004E5856">
      <w:pPr>
        <w:shd w:val="clear" w:color="auto" w:fill="FFFFFF"/>
        <w:ind w:left="12" w:right="1108"/>
        <w:rPr>
          <w:rFonts w:ascii="Lucida Bright" w:eastAsia="Lucida Bright" w:hAnsi="Lucida Bright" w:cs="Lucida Bright"/>
          <w:color w:val="000000"/>
          <w:sz w:val="15"/>
        </w:rPr>
      </w:pPr>
    </w:p>
    <w:p w:rsidR="001C4AD5" w:rsidRDefault="001C4AD5" w:rsidP="004E5856">
      <w:pPr>
        <w:shd w:val="clear" w:color="auto" w:fill="FFFFFF"/>
        <w:ind w:left="12" w:right="1108"/>
        <w:rPr>
          <w:rFonts w:ascii="Lucida Bright" w:eastAsia="Lucida Bright" w:hAnsi="Lucida Bright" w:cs="Lucida Bright"/>
          <w:color w:val="000000"/>
          <w:sz w:val="15"/>
        </w:rPr>
      </w:pPr>
    </w:p>
    <w:p w:rsidR="001C4AD5" w:rsidRDefault="001C4AD5" w:rsidP="004E5856">
      <w:pPr>
        <w:shd w:val="clear" w:color="auto" w:fill="FFFFFF"/>
        <w:ind w:left="12" w:right="1108"/>
        <w:rPr>
          <w:rFonts w:ascii="Lucida Bright" w:eastAsia="Lucida Bright" w:hAnsi="Lucida Bright" w:cs="Lucida Bright"/>
          <w:color w:val="000000"/>
          <w:sz w:val="15"/>
        </w:rPr>
      </w:pPr>
    </w:p>
    <w:p w:rsidR="00982713" w:rsidRDefault="00982713" w:rsidP="004E5856">
      <w:pPr>
        <w:shd w:val="clear" w:color="auto" w:fill="FFFFFF"/>
        <w:ind w:left="12" w:right="1108"/>
        <w:rPr>
          <w:rFonts w:ascii="Lucida Bright" w:eastAsia="Lucida Bright" w:hAnsi="Lucida Bright" w:cs="Lucida Bright"/>
          <w:color w:val="000000"/>
          <w:sz w:val="15"/>
        </w:rPr>
      </w:pPr>
    </w:p>
    <w:p w:rsidR="001C4AD5" w:rsidRDefault="001C4AD5" w:rsidP="004E5856">
      <w:pPr>
        <w:shd w:val="clear" w:color="auto" w:fill="FFFFFF"/>
        <w:ind w:left="12" w:right="1108"/>
        <w:rPr>
          <w:rFonts w:ascii="Lucida Bright" w:eastAsia="Lucida Bright" w:hAnsi="Lucida Bright" w:cs="Lucida Bright"/>
          <w:color w:val="000000"/>
          <w:sz w:val="15"/>
        </w:rPr>
      </w:pPr>
    </w:p>
    <w:p w:rsidR="001C4AD5" w:rsidRDefault="001C4AD5" w:rsidP="004E5856">
      <w:pPr>
        <w:shd w:val="clear" w:color="auto" w:fill="FFFFFF"/>
        <w:ind w:left="12" w:right="1108"/>
        <w:rPr>
          <w:rFonts w:ascii="Lucida Bright" w:eastAsia="Lucida Bright" w:hAnsi="Lucida Bright" w:cs="Lucida Bright"/>
          <w:color w:val="000000"/>
          <w:sz w:val="15"/>
        </w:rPr>
      </w:pPr>
    </w:p>
    <w:p w:rsidR="00513968" w:rsidRDefault="00513968" w:rsidP="004E5856">
      <w:pPr>
        <w:shd w:val="clear" w:color="auto" w:fill="FFFFFF"/>
        <w:ind w:left="12" w:right="1108"/>
        <w:rPr>
          <w:rFonts w:ascii="Lucida Bright" w:eastAsia="Lucida Bright" w:hAnsi="Lucida Bright" w:cs="Lucida Bright"/>
          <w:color w:val="000000"/>
          <w:sz w:val="15"/>
        </w:rPr>
      </w:pPr>
    </w:p>
    <w:p w:rsidR="00513968" w:rsidRDefault="00513968" w:rsidP="004E5856">
      <w:pPr>
        <w:shd w:val="clear" w:color="auto" w:fill="FFFFFF"/>
        <w:ind w:left="12" w:right="1108"/>
        <w:rPr>
          <w:rFonts w:ascii="Lucida Bright" w:eastAsia="Lucida Bright" w:hAnsi="Lucida Bright" w:cs="Lucida Bright"/>
          <w:color w:val="000000"/>
          <w:sz w:val="15"/>
        </w:rPr>
      </w:pPr>
    </w:p>
    <w:p w:rsidR="001C4AD5" w:rsidRDefault="001C4AD5" w:rsidP="004E5856">
      <w:pPr>
        <w:shd w:val="clear" w:color="auto" w:fill="FFFFFF"/>
        <w:ind w:left="12" w:right="1108"/>
        <w:rPr>
          <w:rFonts w:ascii="Lucida Bright" w:eastAsia="Lucida Bright" w:hAnsi="Lucida Bright" w:cs="Lucida Bright"/>
          <w:color w:val="000000"/>
          <w:sz w:val="15"/>
        </w:rPr>
      </w:pPr>
    </w:p>
    <w:tbl>
      <w:tblPr>
        <w:tblW w:w="15577" w:type="dxa"/>
        <w:tblInd w:w="-781" w:type="dxa"/>
        <w:tblLayout w:type="fixed"/>
        <w:tblCellMar>
          <w:left w:w="70" w:type="dxa"/>
          <w:right w:w="70" w:type="dxa"/>
        </w:tblCellMar>
        <w:tblLook w:val="04A0" w:firstRow="1" w:lastRow="0" w:firstColumn="1" w:lastColumn="0" w:noHBand="0" w:noVBand="1"/>
      </w:tblPr>
      <w:tblGrid>
        <w:gridCol w:w="3066"/>
        <w:gridCol w:w="184"/>
        <w:gridCol w:w="1287"/>
        <w:gridCol w:w="1134"/>
        <w:gridCol w:w="1134"/>
        <w:gridCol w:w="992"/>
        <w:gridCol w:w="709"/>
        <w:gridCol w:w="567"/>
        <w:gridCol w:w="567"/>
        <w:gridCol w:w="567"/>
        <w:gridCol w:w="1134"/>
        <w:gridCol w:w="992"/>
        <w:gridCol w:w="992"/>
        <w:gridCol w:w="956"/>
        <w:gridCol w:w="1296"/>
      </w:tblGrid>
      <w:tr w:rsidR="00BA3724" w:rsidRPr="00BA3724" w:rsidTr="00513968">
        <w:trPr>
          <w:trHeight w:val="300"/>
        </w:trPr>
        <w:tc>
          <w:tcPr>
            <w:tcW w:w="8506" w:type="dxa"/>
            <w:gridSpan w:val="7"/>
            <w:tcBorders>
              <w:top w:val="nil"/>
              <w:left w:val="nil"/>
              <w:bottom w:val="single" w:sz="4" w:space="0" w:color="auto"/>
              <w:right w:val="nil"/>
            </w:tcBorders>
            <w:shd w:val="clear" w:color="000000" w:fill="FFFFFF"/>
            <w:noWrap/>
            <w:vAlign w:val="center"/>
            <w:hideMark/>
          </w:tcPr>
          <w:p w:rsidR="00513968" w:rsidRDefault="00513968" w:rsidP="00BA3724">
            <w:pPr>
              <w:rPr>
                <w:rFonts w:ascii="Lucida Bright" w:hAnsi="Lucida Bright" w:cs="Calibri"/>
                <w:b/>
                <w:bCs/>
                <w:sz w:val="18"/>
                <w:szCs w:val="18"/>
                <w:lang w:val="es-ES"/>
              </w:rPr>
            </w:pPr>
          </w:p>
          <w:p w:rsidR="00BA3724" w:rsidRPr="00BA3724" w:rsidRDefault="00BA3724" w:rsidP="00BA3724">
            <w:pPr>
              <w:rPr>
                <w:rFonts w:ascii="Lucida Bright" w:hAnsi="Lucida Bright" w:cs="Calibri"/>
                <w:b/>
                <w:bCs/>
                <w:sz w:val="18"/>
                <w:szCs w:val="18"/>
                <w:lang w:val="es-ES"/>
              </w:rPr>
            </w:pPr>
            <w:r w:rsidRPr="00BA3724">
              <w:rPr>
                <w:rFonts w:ascii="Lucida Bright" w:hAnsi="Lucida Bright" w:cs="Calibri"/>
                <w:b/>
                <w:bCs/>
                <w:sz w:val="18"/>
                <w:szCs w:val="18"/>
                <w:lang w:val="es-ES"/>
              </w:rPr>
              <w:t>CUADRO: AMORTIZACIÓN ACUMULADA DEL INMOVILIZADO MATERIAL 2024</w:t>
            </w:r>
          </w:p>
        </w:tc>
        <w:tc>
          <w:tcPr>
            <w:tcW w:w="1134" w:type="dxa"/>
            <w:gridSpan w:val="2"/>
            <w:tcBorders>
              <w:top w:val="nil"/>
              <w:left w:val="nil"/>
              <w:bottom w:val="nil"/>
              <w:right w:val="nil"/>
            </w:tcBorders>
            <w:shd w:val="clear" w:color="000000" w:fill="FFFFFF"/>
            <w:noWrap/>
            <w:vAlign w:val="center"/>
            <w:hideMark/>
          </w:tcPr>
          <w:p w:rsidR="00BA3724" w:rsidRPr="00BA3724" w:rsidRDefault="00BA3724" w:rsidP="00BA3724">
            <w:pPr>
              <w:rPr>
                <w:rFonts w:ascii="Tahoma" w:hAnsi="Tahoma" w:cs="Tahoma"/>
                <w:lang w:val="es-ES"/>
              </w:rPr>
            </w:pPr>
            <w:r w:rsidRPr="00BA3724">
              <w:rPr>
                <w:rFonts w:ascii="Tahoma" w:hAnsi="Tahoma" w:cs="Tahoma"/>
                <w:lang w:val="es-ES"/>
              </w:rPr>
              <w:t> </w:t>
            </w:r>
          </w:p>
        </w:tc>
        <w:tc>
          <w:tcPr>
            <w:tcW w:w="567" w:type="dxa"/>
            <w:tcBorders>
              <w:top w:val="nil"/>
              <w:left w:val="nil"/>
              <w:bottom w:val="nil"/>
              <w:right w:val="nil"/>
            </w:tcBorders>
            <w:shd w:val="clear" w:color="000000" w:fill="FFFFFF"/>
            <w:noWrap/>
            <w:vAlign w:val="center"/>
            <w:hideMark/>
          </w:tcPr>
          <w:p w:rsidR="00BA3724" w:rsidRPr="00BA3724" w:rsidRDefault="00BA3724" w:rsidP="00BA3724">
            <w:pPr>
              <w:rPr>
                <w:rFonts w:ascii="Tahoma" w:hAnsi="Tahoma" w:cs="Tahoma"/>
                <w:lang w:val="es-ES"/>
              </w:rPr>
            </w:pPr>
            <w:r w:rsidRPr="00BA3724">
              <w:rPr>
                <w:rFonts w:ascii="Tahoma" w:hAnsi="Tahoma" w:cs="Tahoma"/>
                <w:lang w:val="es-ES"/>
              </w:rPr>
              <w:t> </w:t>
            </w:r>
          </w:p>
        </w:tc>
        <w:tc>
          <w:tcPr>
            <w:tcW w:w="1134" w:type="dxa"/>
            <w:tcBorders>
              <w:top w:val="nil"/>
              <w:left w:val="nil"/>
              <w:bottom w:val="nil"/>
              <w:right w:val="nil"/>
            </w:tcBorders>
            <w:shd w:val="clear" w:color="000000" w:fill="FFFFFF"/>
            <w:noWrap/>
            <w:vAlign w:val="center"/>
            <w:hideMark/>
          </w:tcPr>
          <w:p w:rsidR="00BA3724" w:rsidRPr="00BA3724" w:rsidRDefault="00BA3724" w:rsidP="00BA3724">
            <w:pPr>
              <w:rPr>
                <w:rFonts w:ascii="Tahoma" w:hAnsi="Tahoma" w:cs="Tahoma"/>
                <w:lang w:val="es-ES"/>
              </w:rPr>
            </w:pPr>
            <w:r w:rsidRPr="00BA3724">
              <w:rPr>
                <w:rFonts w:ascii="Tahoma" w:hAnsi="Tahoma" w:cs="Tahoma"/>
                <w:lang w:val="es-ES"/>
              </w:rPr>
              <w:t> </w:t>
            </w:r>
          </w:p>
        </w:tc>
        <w:tc>
          <w:tcPr>
            <w:tcW w:w="992" w:type="dxa"/>
            <w:tcBorders>
              <w:top w:val="nil"/>
              <w:left w:val="nil"/>
              <w:bottom w:val="nil"/>
              <w:right w:val="nil"/>
            </w:tcBorders>
            <w:shd w:val="clear" w:color="000000" w:fill="FFFFFF"/>
            <w:noWrap/>
            <w:vAlign w:val="center"/>
            <w:hideMark/>
          </w:tcPr>
          <w:p w:rsidR="00BA3724" w:rsidRPr="00BA3724" w:rsidRDefault="00BA3724" w:rsidP="00BA3724">
            <w:pPr>
              <w:rPr>
                <w:rFonts w:ascii="Tahoma" w:hAnsi="Tahoma" w:cs="Tahoma"/>
                <w:lang w:val="es-ES"/>
              </w:rPr>
            </w:pPr>
            <w:r w:rsidRPr="00BA3724">
              <w:rPr>
                <w:rFonts w:ascii="Tahoma" w:hAnsi="Tahoma" w:cs="Tahoma"/>
                <w:lang w:val="es-ES"/>
              </w:rPr>
              <w:t> </w:t>
            </w:r>
          </w:p>
        </w:tc>
        <w:tc>
          <w:tcPr>
            <w:tcW w:w="992" w:type="dxa"/>
            <w:tcBorders>
              <w:top w:val="nil"/>
              <w:left w:val="nil"/>
              <w:bottom w:val="nil"/>
              <w:right w:val="nil"/>
            </w:tcBorders>
            <w:shd w:val="clear" w:color="000000" w:fill="FFFFFF"/>
            <w:noWrap/>
            <w:vAlign w:val="bottom"/>
            <w:hideMark/>
          </w:tcPr>
          <w:p w:rsidR="00BA3724" w:rsidRPr="00BA3724" w:rsidRDefault="00BA3724" w:rsidP="00BA3724">
            <w:pPr>
              <w:jc w:val="center"/>
              <w:rPr>
                <w:rFonts w:ascii="Lucida Bright" w:hAnsi="Lucida Bright" w:cs="Calibri"/>
                <w:sz w:val="14"/>
                <w:szCs w:val="14"/>
                <w:lang w:val="es-ES"/>
              </w:rPr>
            </w:pPr>
            <w:r w:rsidRPr="00BA3724">
              <w:rPr>
                <w:rFonts w:ascii="Lucida Bright" w:hAnsi="Lucida Bright" w:cs="Calibri"/>
                <w:sz w:val="14"/>
                <w:szCs w:val="14"/>
                <w:lang w:val="es-ES"/>
              </w:rPr>
              <w:t>(en euros)</w:t>
            </w:r>
          </w:p>
        </w:tc>
        <w:tc>
          <w:tcPr>
            <w:tcW w:w="956" w:type="dxa"/>
            <w:tcBorders>
              <w:top w:val="nil"/>
              <w:left w:val="nil"/>
              <w:bottom w:val="nil"/>
              <w:right w:val="nil"/>
            </w:tcBorders>
            <w:shd w:val="clear" w:color="000000" w:fill="FFFFFF"/>
            <w:noWrap/>
            <w:vAlign w:val="center"/>
            <w:hideMark/>
          </w:tcPr>
          <w:p w:rsidR="00BA3724" w:rsidRPr="00BA3724" w:rsidRDefault="00BA3724" w:rsidP="00BA3724">
            <w:pPr>
              <w:rPr>
                <w:rFonts w:ascii="Tahoma" w:hAnsi="Tahoma" w:cs="Tahoma"/>
                <w:lang w:val="es-ES"/>
              </w:rPr>
            </w:pPr>
            <w:r w:rsidRPr="00BA3724">
              <w:rPr>
                <w:rFonts w:ascii="Tahoma" w:hAnsi="Tahoma" w:cs="Tahoma"/>
                <w:lang w:val="es-ES"/>
              </w:rPr>
              <w:t> </w:t>
            </w:r>
          </w:p>
        </w:tc>
        <w:tc>
          <w:tcPr>
            <w:tcW w:w="1296" w:type="dxa"/>
            <w:tcBorders>
              <w:top w:val="nil"/>
              <w:left w:val="nil"/>
              <w:bottom w:val="nil"/>
              <w:right w:val="nil"/>
            </w:tcBorders>
            <w:shd w:val="clear" w:color="000000" w:fill="FFFFFF"/>
            <w:noWrap/>
            <w:vAlign w:val="center"/>
            <w:hideMark/>
          </w:tcPr>
          <w:p w:rsidR="00BA3724" w:rsidRPr="00BA3724" w:rsidRDefault="00BA3724" w:rsidP="00BA3724">
            <w:pPr>
              <w:rPr>
                <w:rFonts w:ascii="Tahoma" w:hAnsi="Tahoma" w:cs="Tahoma"/>
                <w:lang w:val="es-ES"/>
              </w:rPr>
            </w:pPr>
            <w:r w:rsidRPr="00BA3724">
              <w:rPr>
                <w:rFonts w:ascii="Tahoma" w:hAnsi="Tahoma" w:cs="Tahoma"/>
                <w:lang w:val="es-ES"/>
              </w:rPr>
              <w:t> </w:t>
            </w:r>
          </w:p>
        </w:tc>
      </w:tr>
      <w:tr w:rsidR="00513968" w:rsidRPr="00BA3724" w:rsidTr="00513968">
        <w:trPr>
          <w:trHeight w:val="330"/>
        </w:trPr>
        <w:tc>
          <w:tcPr>
            <w:tcW w:w="3250" w:type="dxa"/>
            <w:gridSpan w:val="2"/>
            <w:vMerge w:val="restart"/>
            <w:tcBorders>
              <w:top w:val="single" w:sz="4" w:space="0" w:color="auto"/>
              <w:left w:val="single" w:sz="4" w:space="0" w:color="auto"/>
              <w:bottom w:val="single" w:sz="4" w:space="0" w:color="000000"/>
              <w:right w:val="single" w:sz="4" w:space="0" w:color="000000"/>
            </w:tcBorders>
            <w:shd w:val="clear" w:color="000000" w:fill="CCFFCC"/>
            <w:vAlign w:val="center"/>
            <w:hideMark/>
          </w:tcPr>
          <w:p w:rsidR="00BA3724" w:rsidRPr="00BA3724" w:rsidRDefault="00BA3724" w:rsidP="00BA3724">
            <w:pPr>
              <w:jc w:val="center"/>
              <w:rPr>
                <w:rFonts w:ascii="Lucida Bright" w:hAnsi="Lucida Bright" w:cs="Calibri"/>
                <w:b/>
                <w:bCs/>
                <w:sz w:val="14"/>
                <w:szCs w:val="14"/>
                <w:lang w:val="es-ES"/>
              </w:rPr>
            </w:pPr>
            <w:r w:rsidRPr="00BA3724">
              <w:rPr>
                <w:rFonts w:ascii="Lucida Bright" w:hAnsi="Lucida Bright" w:cs="Calibri"/>
                <w:b/>
                <w:bCs/>
                <w:sz w:val="14"/>
                <w:szCs w:val="14"/>
                <w:lang w:val="es-ES"/>
              </w:rPr>
              <w:t>CONCEPTO</w:t>
            </w:r>
          </w:p>
        </w:tc>
        <w:tc>
          <w:tcPr>
            <w:tcW w:w="1287" w:type="dxa"/>
            <w:vMerge w:val="restart"/>
            <w:tcBorders>
              <w:top w:val="nil"/>
              <w:left w:val="single" w:sz="4" w:space="0" w:color="auto"/>
              <w:bottom w:val="single" w:sz="4" w:space="0" w:color="000000"/>
              <w:right w:val="single" w:sz="4" w:space="0" w:color="auto"/>
            </w:tcBorders>
            <w:shd w:val="clear" w:color="000000" w:fill="CCFFCC"/>
            <w:vAlign w:val="center"/>
            <w:hideMark/>
          </w:tcPr>
          <w:p w:rsidR="00BA3724" w:rsidRPr="00BA3724" w:rsidRDefault="00BA3724" w:rsidP="00982713">
            <w:pPr>
              <w:jc w:val="center"/>
              <w:rPr>
                <w:rFonts w:ascii="Lucida Bright" w:hAnsi="Lucida Bright" w:cs="Calibri"/>
                <w:b/>
                <w:bCs/>
                <w:sz w:val="14"/>
                <w:szCs w:val="14"/>
                <w:lang w:val="es-ES"/>
              </w:rPr>
            </w:pPr>
            <w:r w:rsidRPr="00BA3724">
              <w:rPr>
                <w:rFonts w:ascii="Lucida Bright" w:hAnsi="Lucida Bright" w:cs="Calibri"/>
                <w:b/>
                <w:bCs/>
                <w:sz w:val="14"/>
                <w:szCs w:val="14"/>
                <w:lang w:val="es-ES"/>
              </w:rPr>
              <w:t>Saldo a</w:t>
            </w:r>
            <w:r w:rsidRPr="00BA3724">
              <w:rPr>
                <w:rFonts w:ascii="Lucida Bright" w:hAnsi="Lucida Bright" w:cs="Calibri"/>
                <w:b/>
                <w:bCs/>
                <w:sz w:val="14"/>
                <w:szCs w:val="14"/>
                <w:lang w:val="es-ES"/>
              </w:rPr>
              <w:br/>
              <w:t>31-12-23</w:t>
            </w:r>
          </w:p>
        </w:tc>
        <w:tc>
          <w:tcPr>
            <w:tcW w:w="1134" w:type="dxa"/>
            <w:vMerge w:val="restart"/>
            <w:tcBorders>
              <w:top w:val="nil"/>
              <w:left w:val="single" w:sz="4" w:space="0" w:color="auto"/>
              <w:bottom w:val="single" w:sz="4" w:space="0" w:color="000000"/>
              <w:right w:val="single" w:sz="4" w:space="0" w:color="auto"/>
            </w:tcBorders>
            <w:shd w:val="clear" w:color="000000" w:fill="CCFFCC"/>
            <w:vAlign w:val="center"/>
            <w:hideMark/>
          </w:tcPr>
          <w:p w:rsidR="00BA3724" w:rsidRPr="00BA3724" w:rsidRDefault="00BA3724" w:rsidP="00982713">
            <w:pPr>
              <w:jc w:val="center"/>
              <w:rPr>
                <w:rFonts w:ascii="Lucida Bright" w:hAnsi="Lucida Bright" w:cs="Calibri"/>
                <w:b/>
                <w:bCs/>
                <w:sz w:val="14"/>
                <w:szCs w:val="14"/>
                <w:lang w:val="es-ES"/>
              </w:rPr>
            </w:pPr>
            <w:r w:rsidRPr="00BA3724">
              <w:rPr>
                <w:rFonts w:ascii="Lucida Bright" w:hAnsi="Lucida Bright" w:cs="Calibri"/>
                <w:b/>
                <w:bCs/>
                <w:sz w:val="14"/>
                <w:szCs w:val="14"/>
                <w:lang w:val="es-ES"/>
              </w:rPr>
              <w:t>Dotaciones</w:t>
            </w:r>
            <w:r w:rsidRPr="00BA3724">
              <w:rPr>
                <w:rFonts w:ascii="Lucida Bright" w:hAnsi="Lucida Bright" w:cs="Calibri"/>
                <w:b/>
                <w:bCs/>
                <w:sz w:val="14"/>
                <w:szCs w:val="14"/>
                <w:lang w:val="es-ES"/>
              </w:rPr>
              <w:br/>
              <w:t>(+)</w:t>
            </w:r>
          </w:p>
        </w:tc>
        <w:tc>
          <w:tcPr>
            <w:tcW w:w="4536" w:type="dxa"/>
            <w:gridSpan w:val="6"/>
            <w:tcBorders>
              <w:top w:val="single" w:sz="4" w:space="0" w:color="auto"/>
              <w:left w:val="nil"/>
              <w:bottom w:val="single" w:sz="4" w:space="0" w:color="auto"/>
              <w:right w:val="single" w:sz="4" w:space="0" w:color="000000"/>
            </w:tcBorders>
            <w:shd w:val="clear" w:color="000000" w:fill="CCFFCC"/>
            <w:noWrap/>
            <w:vAlign w:val="center"/>
            <w:hideMark/>
          </w:tcPr>
          <w:p w:rsidR="00BA3724" w:rsidRPr="00BA3724" w:rsidRDefault="00BA3724" w:rsidP="00BA3724">
            <w:pPr>
              <w:jc w:val="center"/>
              <w:rPr>
                <w:rFonts w:ascii="Lucida Bright" w:hAnsi="Lucida Bright" w:cs="Calibri"/>
                <w:b/>
                <w:bCs/>
                <w:sz w:val="14"/>
                <w:szCs w:val="14"/>
                <w:lang w:val="es-ES"/>
              </w:rPr>
            </w:pPr>
            <w:r w:rsidRPr="00BA3724">
              <w:rPr>
                <w:rFonts w:ascii="Lucida Bright" w:hAnsi="Lucida Bright" w:cs="Calibri"/>
                <w:b/>
                <w:bCs/>
                <w:sz w:val="14"/>
                <w:szCs w:val="14"/>
                <w:lang w:val="es-ES"/>
              </w:rPr>
              <w:t>Bajas</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BA3724" w:rsidRPr="00BA3724" w:rsidRDefault="00BA3724" w:rsidP="00BA3724">
            <w:pPr>
              <w:jc w:val="center"/>
              <w:rPr>
                <w:rFonts w:ascii="Lucida Bright" w:hAnsi="Lucida Bright" w:cs="Calibri"/>
                <w:b/>
                <w:bCs/>
                <w:sz w:val="14"/>
                <w:szCs w:val="14"/>
                <w:lang w:val="es-ES"/>
              </w:rPr>
            </w:pPr>
            <w:r w:rsidRPr="00BA3724">
              <w:rPr>
                <w:rFonts w:ascii="Lucida Bright" w:hAnsi="Lucida Bright" w:cs="Calibri"/>
                <w:b/>
                <w:bCs/>
                <w:sz w:val="14"/>
                <w:szCs w:val="14"/>
                <w:lang w:val="es-ES"/>
              </w:rPr>
              <w:t>Reclasificaciones</w:t>
            </w:r>
            <w:r w:rsidRPr="00BA3724">
              <w:rPr>
                <w:rFonts w:ascii="Lucida Bright" w:hAnsi="Lucida Bright" w:cs="Calibri"/>
                <w:b/>
                <w:bCs/>
                <w:sz w:val="14"/>
                <w:szCs w:val="14"/>
                <w:lang w:val="es-ES"/>
              </w:rPr>
              <w:br/>
              <w:t>(+/-)</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BA3724" w:rsidRPr="00BA3724" w:rsidRDefault="00BA3724" w:rsidP="00982713">
            <w:pPr>
              <w:jc w:val="center"/>
              <w:rPr>
                <w:rFonts w:ascii="Lucida Bright" w:hAnsi="Lucida Bright" w:cs="Calibri"/>
                <w:b/>
                <w:bCs/>
                <w:sz w:val="14"/>
                <w:szCs w:val="14"/>
                <w:lang w:val="es-ES"/>
              </w:rPr>
            </w:pPr>
            <w:r w:rsidRPr="00BA3724">
              <w:rPr>
                <w:rFonts w:ascii="Lucida Bright" w:hAnsi="Lucida Bright" w:cs="Calibri"/>
                <w:b/>
                <w:bCs/>
                <w:sz w:val="14"/>
                <w:szCs w:val="14"/>
                <w:lang w:val="es-ES"/>
              </w:rPr>
              <w:t>Traspaso a / de inversiones inmobiliarias</w:t>
            </w:r>
            <w:r w:rsidRPr="00BA3724">
              <w:rPr>
                <w:rFonts w:ascii="Lucida Bright" w:hAnsi="Lucida Bright" w:cs="Calibri"/>
                <w:b/>
                <w:bCs/>
                <w:sz w:val="14"/>
                <w:szCs w:val="14"/>
                <w:lang w:val="es-ES"/>
              </w:rPr>
              <w:br/>
              <w:t>(-/+)</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BA3724" w:rsidRPr="00BA3724" w:rsidRDefault="00BA3724" w:rsidP="00982713">
            <w:pPr>
              <w:jc w:val="center"/>
              <w:rPr>
                <w:rFonts w:ascii="Lucida Bright" w:hAnsi="Lucida Bright" w:cs="Calibri"/>
                <w:b/>
                <w:bCs/>
                <w:sz w:val="14"/>
                <w:szCs w:val="14"/>
                <w:lang w:val="es-ES"/>
              </w:rPr>
            </w:pPr>
            <w:r w:rsidRPr="00BA3724">
              <w:rPr>
                <w:rFonts w:ascii="Lucida Bright" w:hAnsi="Lucida Bright" w:cs="Calibri"/>
                <w:b/>
                <w:bCs/>
                <w:sz w:val="14"/>
                <w:szCs w:val="14"/>
                <w:lang w:val="es-ES"/>
              </w:rPr>
              <w:t>Traspaso a activo</w:t>
            </w:r>
            <w:r w:rsidRPr="00BA3724">
              <w:rPr>
                <w:rFonts w:ascii="Lucida Bright" w:hAnsi="Lucida Bright" w:cs="Calibri"/>
                <w:b/>
                <w:bCs/>
                <w:sz w:val="14"/>
                <w:szCs w:val="14"/>
                <w:lang w:val="es-ES"/>
              </w:rPr>
              <w:br/>
              <w:t>no corriente mantenido</w:t>
            </w:r>
            <w:r w:rsidRPr="00BA3724">
              <w:rPr>
                <w:rFonts w:ascii="Lucida Bright" w:hAnsi="Lucida Bright" w:cs="Calibri"/>
                <w:b/>
                <w:bCs/>
                <w:sz w:val="14"/>
                <w:szCs w:val="14"/>
                <w:lang w:val="es-ES"/>
              </w:rPr>
              <w:br/>
              <w:t>para la venta (-)</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BA3724" w:rsidRPr="00BA3724" w:rsidRDefault="00BA3724" w:rsidP="00982713">
            <w:pPr>
              <w:jc w:val="center"/>
              <w:rPr>
                <w:rFonts w:ascii="Lucida Bright" w:hAnsi="Lucida Bright" w:cs="Calibri"/>
                <w:b/>
                <w:bCs/>
                <w:sz w:val="14"/>
                <w:szCs w:val="14"/>
                <w:lang w:val="es-ES"/>
              </w:rPr>
            </w:pPr>
            <w:r w:rsidRPr="00BA3724">
              <w:rPr>
                <w:rFonts w:ascii="Lucida Bright" w:hAnsi="Lucida Bright" w:cs="Calibri"/>
                <w:b/>
                <w:bCs/>
                <w:sz w:val="14"/>
                <w:szCs w:val="14"/>
                <w:lang w:val="es-ES"/>
              </w:rPr>
              <w:t>Ajustes</w:t>
            </w:r>
            <w:r w:rsidRPr="00BA3724">
              <w:rPr>
                <w:rFonts w:ascii="Lucida Bright" w:hAnsi="Lucida Bright" w:cs="Calibri"/>
                <w:b/>
                <w:bCs/>
                <w:sz w:val="14"/>
                <w:szCs w:val="14"/>
                <w:lang w:val="es-ES"/>
              </w:rPr>
              <w:br/>
              <w:t>contra</w:t>
            </w:r>
            <w:r w:rsidRPr="00BA3724">
              <w:rPr>
                <w:rFonts w:ascii="Lucida Bright" w:hAnsi="Lucida Bright" w:cs="Calibri"/>
                <w:b/>
                <w:bCs/>
                <w:sz w:val="14"/>
                <w:szCs w:val="14"/>
                <w:lang w:val="es-ES"/>
              </w:rPr>
              <w:br/>
              <w:t>patrimonio (+/-)</w:t>
            </w:r>
          </w:p>
        </w:tc>
        <w:tc>
          <w:tcPr>
            <w:tcW w:w="1296"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BA3724" w:rsidRPr="00BA3724" w:rsidRDefault="00BA3724" w:rsidP="00982713">
            <w:pPr>
              <w:jc w:val="center"/>
              <w:rPr>
                <w:rFonts w:ascii="Lucida Bright" w:hAnsi="Lucida Bright" w:cs="Calibri"/>
                <w:b/>
                <w:bCs/>
                <w:sz w:val="14"/>
                <w:szCs w:val="14"/>
                <w:lang w:val="es-ES"/>
              </w:rPr>
            </w:pPr>
            <w:r w:rsidRPr="00BA3724">
              <w:rPr>
                <w:rFonts w:ascii="Lucida Bright" w:hAnsi="Lucida Bright" w:cs="Calibri"/>
                <w:b/>
                <w:bCs/>
                <w:sz w:val="14"/>
                <w:szCs w:val="14"/>
                <w:lang w:val="es-ES"/>
              </w:rPr>
              <w:t>Saldo a</w:t>
            </w:r>
            <w:r w:rsidRPr="00BA3724">
              <w:rPr>
                <w:rFonts w:ascii="Lucida Bright" w:hAnsi="Lucida Bright" w:cs="Calibri"/>
                <w:b/>
                <w:bCs/>
                <w:sz w:val="14"/>
                <w:szCs w:val="14"/>
                <w:lang w:val="es-ES"/>
              </w:rPr>
              <w:br/>
              <w:t>31-12-24</w:t>
            </w:r>
          </w:p>
        </w:tc>
      </w:tr>
      <w:tr w:rsidR="00513968" w:rsidRPr="00BA3724" w:rsidTr="00513968">
        <w:trPr>
          <w:trHeight w:val="960"/>
        </w:trPr>
        <w:tc>
          <w:tcPr>
            <w:tcW w:w="3250" w:type="dxa"/>
            <w:gridSpan w:val="2"/>
            <w:vMerge/>
            <w:tcBorders>
              <w:top w:val="single" w:sz="4" w:space="0" w:color="auto"/>
              <w:left w:val="single" w:sz="4" w:space="0" w:color="auto"/>
              <w:bottom w:val="single" w:sz="4" w:space="0" w:color="000000"/>
              <w:right w:val="single" w:sz="4" w:space="0" w:color="000000"/>
            </w:tcBorders>
            <w:vAlign w:val="center"/>
            <w:hideMark/>
          </w:tcPr>
          <w:p w:rsidR="00BA3724" w:rsidRPr="00BA3724" w:rsidRDefault="00BA3724" w:rsidP="00BA3724">
            <w:pPr>
              <w:rPr>
                <w:rFonts w:ascii="Lucida Bright" w:hAnsi="Lucida Bright" w:cs="Calibri"/>
                <w:b/>
                <w:bCs/>
                <w:sz w:val="14"/>
                <w:szCs w:val="14"/>
                <w:lang w:val="es-ES"/>
              </w:rPr>
            </w:pPr>
          </w:p>
        </w:tc>
        <w:tc>
          <w:tcPr>
            <w:tcW w:w="1287" w:type="dxa"/>
            <w:vMerge/>
            <w:tcBorders>
              <w:top w:val="nil"/>
              <w:left w:val="single" w:sz="4" w:space="0" w:color="auto"/>
              <w:bottom w:val="single" w:sz="4" w:space="0" w:color="000000"/>
              <w:right w:val="single" w:sz="4" w:space="0" w:color="auto"/>
            </w:tcBorders>
            <w:vAlign w:val="center"/>
            <w:hideMark/>
          </w:tcPr>
          <w:p w:rsidR="00BA3724" w:rsidRPr="00BA3724" w:rsidRDefault="00BA3724" w:rsidP="00BA3724">
            <w:pPr>
              <w:rPr>
                <w:rFonts w:ascii="Lucida Bright" w:hAnsi="Lucida Bright" w:cs="Calibri"/>
                <w:b/>
                <w:bCs/>
                <w:sz w:val="14"/>
                <w:szCs w:val="14"/>
                <w:lang w:val="es-ES"/>
              </w:rPr>
            </w:pPr>
          </w:p>
        </w:tc>
        <w:tc>
          <w:tcPr>
            <w:tcW w:w="1134" w:type="dxa"/>
            <w:vMerge/>
            <w:tcBorders>
              <w:top w:val="nil"/>
              <w:left w:val="single" w:sz="4" w:space="0" w:color="auto"/>
              <w:bottom w:val="single" w:sz="4" w:space="0" w:color="000000"/>
              <w:right w:val="single" w:sz="4" w:space="0" w:color="auto"/>
            </w:tcBorders>
            <w:vAlign w:val="center"/>
            <w:hideMark/>
          </w:tcPr>
          <w:p w:rsidR="00BA3724" w:rsidRPr="00BA3724" w:rsidRDefault="00BA3724" w:rsidP="00BA3724">
            <w:pPr>
              <w:rPr>
                <w:rFonts w:ascii="Lucida Bright" w:hAnsi="Lucida Bright" w:cs="Calibri"/>
                <w:b/>
                <w:bCs/>
                <w:sz w:val="14"/>
                <w:szCs w:val="14"/>
                <w:lang w:val="es-ES"/>
              </w:rPr>
            </w:pPr>
          </w:p>
        </w:tc>
        <w:tc>
          <w:tcPr>
            <w:tcW w:w="1134" w:type="dxa"/>
            <w:tcBorders>
              <w:top w:val="nil"/>
              <w:left w:val="nil"/>
              <w:bottom w:val="single" w:sz="4" w:space="0" w:color="auto"/>
              <w:right w:val="single" w:sz="4" w:space="0" w:color="auto"/>
            </w:tcBorders>
            <w:shd w:val="clear" w:color="000000" w:fill="CCFFCC"/>
            <w:vAlign w:val="center"/>
            <w:hideMark/>
          </w:tcPr>
          <w:p w:rsidR="00BA3724" w:rsidRPr="00BA3724" w:rsidRDefault="00BA3724" w:rsidP="00982713">
            <w:pPr>
              <w:jc w:val="center"/>
              <w:rPr>
                <w:rFonts w:ascii="Lucida Bright" w:hAnsi="Lucida Bright" w:cs="Calibri"/>
                <w:b/>
                <w:bCs/>
                <w:sz w:val="14"/>
                <w:szCs w:val="14"/>
                <w:lang w:val="es-ES"/>
              </w:rPr>
            </w:pPr>
            <w:r w:rsidRPr="00BA3724">
              <w:rPr>
                <w:rFonts w:ascii="Lucida Bright" w:hAnsi="Lucida Bright" w:cs="Calibri"/>
                <w:b/>
                <w:bCs/>
                <w:sz w:val="14"/>
                <w:szCs w:val="14"/>
                <w:lang w:val="es-ES"/>
              </w:rPr>
              <w:t>Ventas,</w:t>
            </w:r>
            <w:r w:rsidRPr="00BA3724">
              <w:rPr>
                <w:rFonts w:ascii="Lucida Bright" w:hAnsi="Lucida Bright" w:cs="Calibri"/>
                <w:b/>
                <w:bCs/>
                <w:sz w:val="14"/>
                <w:szCs w:val="14"/>
                <w:lang w:val="es-ES"/>
              </w:rPr>
              <w:br/>
              <w:t>Retiros</w:t>
            </w:r>
            <w:r w:rsidRPr="00BA3724">
              <w:rPr>
                <w:rFonts w:ascii="Lucida Bright" w:hAnsi="Lucida Bright" w:cs="Calibri"/>
                <w:b/>
                <w:bCs/>
                <w:sz w:val="14"/>
                <w:szCs w:val="14"/>
                <w:lang w:val="es-ES"/>
              </w:rPr>
              <w:br/>
              <w:t>y otras bajas</w:t>
            </w:r>
            <w:r w:rsidRPr="00BA3724">
              <w:rPr>
                <w:rFonts w:ascii="Lucida Bright" w:hAnsi="Lucida Bright" w:cs="Calibri"/>
                <w:b/>
                <w:bCs/>
                <w:sz w:val="14"/>
                <w:szCs w:val="14"/>
                <w:lang w:val="es-ES"/>
              </w:rPr>
              <w:br/>
              <w:t>(-)</w:t>
            </w:r>
          </w:p>
        </w:tc>
        <w:tc>
          <w:tcPr>
            <w:tcW w:w="992" w:type="dxa"/>
            <w:tcBorders>
              <w:top w:val="nil"/>
              <w:left w:val="nil"/>
              <w:bottom w:val="nil"/>
              <w:right w:val="single" w:sz="4" w:space="0" w:color="auto"/>
            </w:tcBorders>
            <w:shd w:val="clear" w:color="000000" w:fill="CCFFCC"/>
            <w:vAlign w:val="center"/>
            <w:hideMark/>
          </w:tcPr>
          <w:p w:rsidR="00BA3724" w:rsidRPr="00BA3724" w:rsidRDefault="00BA3724" w:rsidP="00982713">
            <w:pPr>
              <w:jc w:val="center"/>
              <w:rPr>
                <w:rFonts w:ascii="Lucida Bright" w:hAnsi="Lucida Bright" w:cs="Calibri"/>
                <w:b/>
                <w:bCs/>
                <w:sz w:val="14"/>
                <w:szCs w:val="14"/>
                <w:lang w:val="es-ES"/>
              </w:rPr>
            </w:pPr>
            <w:r w:rsidRPr="00BA3724">
              <w:rPr>
                <w:rFonts w:ascii="Lucida Bright" w:hAnsi="Lucida Bright" w:cs="Calibri"/>
                <w:b/>
                <w:bCs/>
                <w:sz w:val="14"/>
                <w:szCs w:val="14"/>
                <w:lang w:val="es-ES"/>
              </w:rPr>
              <w:t>Elementos</w:t>
            </w:r>
            <w:r w:rsidRPr="00BA3724">
              <w:rPr>
                <w:rFonts w:ascii="Lucida Bright" w:hAnsi="Lucida Bright" w:cs="Calibri"/>
                <w:b/>
                <w:bCs/>
                <w:sz w:val="14"/>
                <w:szCs w:val="14"/>
                <w:lang w:val="es-ES"/>
              </w:rPr>
              <w:br/>
              <w:t>subsumidos</w:t>
            </w:r>
            <w:r w:rsidRPr="00BA3724">
              <w:rPr>
                <w:rFonts w:ascii="Lucida Bright" w:hAnsi="Lucida Bright" w:cs="Calibri"/>
                <w:b/>
                <w:bCs/>
                <w:sz w:val="14"/>
                <w:szCs w:val="14"/>
                <w:lang w:val="es-ES"/>
              </w:rPr>
              <w:br/>
              <w:t>(-)</w:t>
            </w:r>
          </w:p>
        </w:tc>
        <w:tc>
          <w:tcPr>
            <w:tcW w:w="1276" w:type="dxa"/>
            <w:gridSpan w:val="2"/>
            <w:tcBorders>
              <w:top w:val="nil"/>
              <w:left w:val="nil"/>
              <w:bottom w:val="nil"/>
              <w:right w:val="single" w:sz="4" w:space="0" w:color="auto"/>
            </w:tcBorders>
            <w:shd w:val="clear" w:color="000000" w:fill="CCFFCC"/>
            <w:vAlign w:val="center"/>
            <w:hideMark/>
          </w:tcPr>
          <w:p w:rsidR="00BA3724" w:rsidRPr="00BA3724" w:rsidRDefault="00BA3724" w:rsidP="00982713">
            <w:pPr>
              <w:jc w:val="center"/>
              <w:rPr>
                <w:rFonts w:ascii="Lucida Bright" w:hAnsi="Lucida Bright" w:cs="Calibri"/>
                <w:b/>
                <w:bCs/>
                <w:sz w:val="14"/>
                <w:szCs w:val="14"/>
                <w:lang w:val="es-ES"/>
              </w:rPr>
            </w:pPr>
            <w:r w:rsidRPr="00BA3724">
              <w:rPr>
                <w:rFonts w:ascii="Lucida Bright" w:hAnsi="Lucida Bright" w:cs="Calibri"/>
                <w:b/>
                <w:bCs/>
                <w:sz w:val="14"/>
                <w:szCs w:val="14"/>
                <w:lang w:val="es-ES"/>
              </w:rPr>
              <w:t>Transferencias</w:t>
            </w:r>
            <w:r w:rsidR="00982713">
              <w:rPr>
                <w:rFonts w:ascii="Lucida Bright" w:hAnsi="Lucida Bright" w:cs="Calibri"/>
                <w:b/>
                <w:bCs/>
                <w:sz w:val="14"/>
                <w:szCs w:val="14"/>
                <w:lang w:val="es-ES"/>
              </w:rPr>
              <w:t xml:space="preserve"> </w:t>
            </w:r>
            <w:r w:rsidRPr="00BA3724">
              <w:rPr>
                <w:rFonts w:ascii="Lucida Bright" w:hAnsi="Lucida Bright" w:cs="Calibri"/>
                <w:b/>
                <w:bCs/>
                <w:sz w:val="14"/>
                <w:szCs w:val="14"/>
                <w:lang w:val="es-ES"/>
              </w:rPr>
              <w:t>a otros</w:t>
            </w:r>
            <w:r w:rsidRPr="00BA3724">
              <w:rPr>
                <w:rFonts w:ascii="Lucida Bright" w:hAnsi="Lucida Bright" w:cs="Calibri"/>
                <w:b/>
                <w:bCs/>
                <w:sz w:val="14"/>
                <w:szCs w:val="14"/>
                <w:lang w:val="es-ES"/>
              </w:rPr>
              <w:br/>
              <w:t>Organismos</w:t>
            </w:r>
            <w:r w:rsidRPr="00BA3724">
              <w:rPr>
                <w:rFonts w:ascii="Lucida Bright" w:hAnsi="Lucida Bright" w:cs="Calibri"/>
                <w:b/>
                <w:bCs/>
                <w:sz w:val="14"/>
                <w:szCs w:val="14"/>
                <w:lang w:val="es-ES"/>
              </w:rPr>
              <w:br/>
              <w:t>Públicos (-)</w:t>
            </w:r>
          </w:p>
        </w:tc>
        <w:tc>
          <w:tcPr>
            <w:tcW w:w="1134" w:type="dxa"/>
            <w:gridSpan w:val="2"/>
            <w:tcBorders>
              <w:top w:val="nil"/>
              <w:left w:val="nil"/>
              <w:bottom w:val="nil"/>
              <w:right w:val="single" w:sz="4" w:space="0" w:color="auto"/>
            </w:tcBorders>
            <w:shd w:val="clear" w:color="000000" w:fill="CCFFCC"/>
            <w:vAlign w:val="center"/>
            <w:hideMark/>
          </w:tcPr>
          <w:p w:rsidR="00BA3724" w:rsidRPr="00BA3724" w:rsidRDefault="00BA3724" w:rsidP="00982713">
            <w:pPr>
              <w:jc w:val="center"/>
              <w:rPr>
                <w:rFonts w:ascii="Lucida Bright" w:hAnsi="Lucida Bright" w:cs="Calibri"/>
                <w:b/>
                <w:bCs/>
                <w:sz w:val="14"/>
                <w:szCs w:val="14"/>
                <w:lang w:val="es-ES"/>
              </w:rPr>
            </w:pPr>
            <w:r w:rsidRPr="00BA3724">
              <w:rPr>
                <w:rFonts w:ascii="Lucida Bright" w:hAnsi="Lucida Bright" w:cs="Calibri"/>
                <w:b/>
                <w:bCs/>
                <w:sz w:val="14"/>
                <w:szCs w:val="14"/>
                <w:lang w:val="es-ES"/>
              </w:rPr>
              <w:t>Inmovilizado</w:t>
            </w:r>
            <w:r w:rsidRPr="00BA3724">
              <w:rPr>
                <w:rFonts w:ascii="Lucida Bright" w:hAnsi="Lucida Bright" w:cs="Calibri"/>
                <w:b/>
                <w:bCs/>
                <w:sz w:val="14"/>
                <w:szCs w:val="14"/>
                <w:lang w:val="es-ES"/>
              </w:rPr>
              <w:br/>
              <w:t>abierto al</w:t>
            </w:r>
            <w:r w:rsidRPr="00BA3724">
              <w:rPr>
                <w:rFonts w:ascii="Lucida Bright" w:hAnsi="Lucida Bright" w:cs="Calibri"/>
                <w:b/>
                <w:bCs/>
                <w:sz w:val="14"/>
                <w:szCs w:val="14"/>
                <w:lang w:val="es-ES"/>
              </w:rPr>
              <w:br/>
              <w:t>uso general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A3724" w:rsidRPr="00BA3724" w:rsidRDefault="00BA3724" w:rsidP="00BA3724">
            <w:pPr>
              <w:rPr>
                <w:rFonts w:ascii="Lucida Bright" w:hAnsi="Lucida Bright" w:cs="Calibri"/>
                <w:b/>
                <w:bCs/>
                <w:sz w:val="14"/>
                <w:szCs w:val="14"/>
                <w:lang w:val="es-ES"/>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3724" w:rsidRPr="00BA3724" w:rsidRDefault="00BA3724" w:rsidP="00BA3724">
            <w:pPr>
              <w:rPr>
                <w:rFonts w:ascii="Lucida Bright" w:hAnsi="Lucida Bright" w:cs="Calibri"/>
                <w:b/>
                <w:bCs/>
                <w:sz w:val="14"/>
                <w:szCs w:val="14"/>
                <w:lang w:val="es-ES"/>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3724" w:rsidRPr="00BA3724" w:rsidRDefault="00BA3724" w:rsidP="00BA3724">
            <w:pPr>
              <w:rPr>
                <w:rFonts w:ascii="Lucida Bright" w:hAnsi="Lucida Bright" w:cs="Calibri"/>
                <w:b/>
                <w:bCs/>
                <w:sz w:val="14"/>
                <w:szCs w:val="14"/>
                <w:lang w:val="es-ES"/>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BA3724" w:rsidRPr="00BA3724" w:rsidRDefault="00BA3724" w:rsidP="00BA3724">
            <w:pPr>
              <w:rPr>
                <w:rFonts w:ascii="Lucida Bright" w:hAnsi="Lucida Bright" w:cs="Calibri"/>
                <w:b/>
                <w:bCs/>
                <w:sz w:val="14"/>
                <w:szCs w:val="14"/>
                <w:lang w:val="es-ES"/>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BA3724" w:rsidRPr="00BA3724" w:rsidRDefault="00BA3724" w:rsidP="00BA3724">
            <w:pPr>
              <w:rPr>
                <w:rFonts w:ascii="Lucida Bright" w:hAnsi="Lucida Bright" w:cs="Calibri"/>
                <w:b/>
                <w:bCs/>
                <w:sz w:val="14"/>
                <w:szCs w:val="14"/>
                <w:lang w:val="es-ES"/>
              </w:rPr>
            </w:pPr>
          </w:p>
        </w:tc>
      </w:tr>
      <w:tr w:rsidR="00513968" w:rsidRPr="00BA3724" w:rsidTr="00513968">
        <w:trPr>
          <w:trHeight w:val="210"/>
        </w:trPr>
        <w:tc>
          <w:tcPr>
            <w:tcW w:w="32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A3724" w:rsidRPr="00BA3724" w:rsidRDefault="00BA3724" w:rsidP="00BA3724">
            <w:pPr>
              <w:rPr>
                <w:rFonts w:ascii="Lucida Bright" w:hAnsi="Lucida Bright" w:cs="Calibri"/>
                <w:b/>
                <w:bCs/>
                <w:sz w:val="14"/>
                <w:szCs w:val="14"/>
                <w:lang w:val="es-ES"/>
              </w:rPr>
            </w:pPr>
            <w:r w:rsidRPr="00BA3724">
              <w:rPr>
                <w:rFonts w:ascii="Lucida Bright" w:hAnsi="Lucida Bright" w:cs="Calibri"/>
                <w:b/>
                <w:bCs/>
                <w:sz w:val="14"/>
                <w:szCs w:val="14"/>
                <w:lang w:val="es-ES"/>
              </w:rPr>
              <w:t xml:space="preserve"> a) Terrenos y bienes naturales</w:t>
            </w:r>
          </w:p>
        </w:tc>
        <w:tc>
          <w:tcPr>
            <w:tcW w:w="1287"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95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r>
      <w:tr w:rsidR="00513968" w:rsidRPr="00BA3724" w:rsidTr="00513968">
        <w:trPr>
          <w:trHeight w:val="210"/>
        </w:trPr>
        <w:tc>
          <w:tcPr>
            <w:tcW w:w="32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A3724" w:rsidRPr="00BA3724" w:rsidRDefault="00BA3724" w:rsidP="00BA3724">
            <w:pPr>
              <w:rPr>
                <w:rFonts w:ascii="Lucida Bright" w:hAnsi="Lucida Bright" w:cs="Calibri"/>
                <w:b/>
                <w:bCs/>
                <w:sz w:val="14"/>
                <w:szCs w:val="14"/>
                <w:lang w:val="es-ES"/>
              </w:rPr>
            </w:pPr>
            <w:r w:rsidRPr="00BA3724">
              <w:rPr>
                <w:rFonts w:ascii="Lucida Bright" w:hAnsi="Lucida Bright" w:cs="Calibri"/>
                <w:b/>
                <w:bCs/>
                <w:sz w:val="14"/>
                <w:szCs w:val="14"/>
                <w:lang w:val="es-ES"/>
              </w:rPr>
              <w:t xml:space="preserve"> b) Construcciones</w:t>
            </w:r>
          </w:p>
        </w:tc>
        <w:tc>
          <w:tcPr>
            <w:tcW w:w="1287"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347.937.722,61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16.561.670,58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(108.127,20)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95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364.391.265,99 </w:t>
            </w:r>
          </w:p>
        </w:tc>
      </w:tr>
      <w:tr w:rsidR="00513968" w:rsidRPr="00BA3724" w:rsidTr="00513968">
        <w:trPr>
          <w:trHeight w:val="210"/>
        </w:trPr>
        <w:tc>
          <w:tcPr>
            <w:tcW w:w="32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xml:space="preserve">     Accesos marítimos</w:t>
            </w:r>
          </w:p>
        </w:tc>
        <w:tc>
          <w:tcPr>
            <w:tcW w:w="1287"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7.674.638,59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381.062,67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5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8.055.701,26 </w:t>
            </w:r>
          </w:p>
        </w:tc>
      </w:tr>
      <w:tr w:rsidR="00513968" w:rsidRPr="00BA3724" w:rsidTr="00513968">
        <w:trPr>
          <w:trHeight w:val="210"/>
        </w:trPr>
        <w:tc>
          <w:tcPr>
            <w:tcW w:w="32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xml:space="preserve">     Obras de abrigo y defensa</w:t>
            </w:r>
          </w:p>
        </w:tc>
        <w:tc>
          <w:tcPr>
            <w:tcW w:w="1287"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47.508.338,88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1.046.914,07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5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48.555.252,95 </w:t>
            </w:r>
          </w:p>
        </w:tc>
      </w:tr>
      <w:tr w:rsidR="00513968" w:rsidRPr="00BA3724" w:rsidTr="00513968">
        <w:trPr>
          <w:trHeight w:val="210"/>
        </w:trPr>
        <w:tc>
          <w:tcPr>
            <w:tcW w:w="32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xml:space="preserve">     Obras de atraque</w:t>
            </w:r>
          </w:p>
        </w:tc>
        <w:tc>
          <w:tcPr>
            <w:tcW w:w="1287"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144.776.718,82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6.921.389,95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5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151.698.108,77 </w:t>
            </w:r>
          </w:p>
        </w:tc>
      </w:tr>
      <w:tr w:rsidR="00513968" w:rsidRPr="00BA3724" w:rsidTr="00513968">
        <w:trPr>
          <w:trHeight w:val="210"/>
        </w:trPr>
        <w:tc>
          <w:tcPr>
            <w:tcW w:w="32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xml:space="preserve">     Instalaciones para reparación de barcos</w:t>
            </w:r>
          </w:p>
        </w:tc>
        <w:tc>
          <w:tcPr>
            <w:tcW w:w="1287"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5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r>
      <w:tr w:rsidR="00513968" w:rsidRPr="00BA3724" w:rsidTr="00513968">
        <w:trPr>
          <w:trHeight w:val="210"/>
        </w:trPr>
        <w:tc>
          <w:tcPr>
            <w:tcW w:w="3066" w:type="dxa"/>
            <w:tcBorders>
              <w:top w:val="nil"/>
              <w:left w:val="single" w:sz="4" w:space="0" w:color="auto"/>
              <w:bottom w:val="single" w:sz="4" w:space="0" w:color="auto"/>
              <w:right w:val="nil"/>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xml:space="preserve">     Edificaciones</w:t>
            </w:r>
          </w:p>
        </w:tc>
        <w:tc>
          <w:tcPr>
            <w:tcW w:w="18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87"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44.306.605,68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2.791.265,89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(68.435,97)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5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47.029.435,60 </w:t>
            </w:r>
          </w:p>
        </w:tc>
      </w:tr>
      <w:tr w:rsidR="00513968" w:rsidRPr="00BA3724" w:rsidTr="00513968">
        <w:trPr>
          <w:trHeight w:val="210"/>
        </w:trPr>
        <w:tc>
          <w:tcPr>
            <w:tcW w:w="32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xml:space="preserve">     Instalaciones generales</w:t>
            </w:r>
          </w:p>
        </w:tc>
        <w:tc>
          <w:tcPr>
            <w:tcW w:w="1287"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43.173.784,34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2.781.080,48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(39.691,23)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5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45.915.173,59 </w:t>
            </w:r>
          </w:p>
        </w:tc>
      </w:tr>
      <w:tr w:rsidR="00513968" w:rsidRPr="00BA3724" w:rsidTr="00513968">
        <w:trPr>
          <w:trHeight w:val="210"/>
        </w:trPr>
        <w:tc>
          <w:tcPr>
            <w:tcW w:w="32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xml:space="preserve">     Pavimentos, calzadas y vías de circulación</w:t>
            </w:r>
          </w:p>
        </w:tc>
        <w:tc>
          <w:tcPr>
            <w:tcW w:w="1287"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60.497.636,30 </w:t>
            </w:r>
          </w:p>
        </w:tc>
        <w:tc>
          <w:tcPr>
            <w:tcW w:w="1134" w:type="dxa"/>
            <w:tcBorders>
              <w:top w:val="nil"/>
              <w:left w:val="nil"/>
              <w:bottom w:val="nil"/>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2.639.957,52 </w:t>
            </w:r>
          </w:p>
        </w:tc>
        <w:tc>
          <w:tcPr>
            <w:tcW w:w="1134" w:type="dxa"/>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76" w:type="dxa"/>
            <w:gridSpan w:val="2"/>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gridSpan w:val="2"/>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56" w:type="dxa"/>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63.137.593,82 </w:t>
            </w:r>
          </w:p>
        </w:tc>
      </w:tr>
      <w:tr w:rsidR="00513968" w:rsidRPr="00BA3724" w:rsidTr="00513968">
        <w:trPr>
          <w:trHeight w:val="210"/>
        </w:trPr>
        <w:tc>
          <w:tcPr>
            <w:tcW w:w="32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A3724" w:rsidRPr="00BA3724" w:rsidRDefault="00BA3724" w:rsidP="00BA3724">
            <w:pPr>
              <w:rPr>
                <w:rFonts w:ascii="Lucida Bright" w:hAnsi="Lucida Bright" w:cs="Calibri"/>
                <w:b/>
                <w:bCs/>
                <w:sz w:val="14"/>
                <w:szCs w:val="14"/>
                <w:lang w:val="es-ES"/>
              </w:rPr>
            </w:pPr>
            <w:r w:rsidRPr="00BA3724">
              <w:rPr>
                <w:rFonts w:ascii="Lucida Bright" w:hAnsi="Lucida Bright" w:cs="Calibri"/>
                <w:b/>
                <w:bCs/>
                <w:sz w:val="14"/>
                <w:szCs w:val="14"/>
                <w:lang w:val="es-ES"/>
              </w:rPr>
              <w:t xml:space="preserve"> c) Equipamientos e instalaciones técnicas</w:t>
            </w:r>
          </w:p>
        </w:tc>
        <w:tc>
          <w:tcPr>
            <w:tcW w:w="1287"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21.488.836,70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1.083.301,96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(1.393.598,52)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956"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21.178.540,14 </w:t>
            </w:r>
          </w:p>
        </w:tc>
      </w:tr>
      <w:tr w:rsidR="00513968" w:rsidRPr="00BA3724" w:rsidTr="00513968">
        <w:trPr>
          <w:trHeight w:val="210"/>
        </w:trPr>
        <w:tc>
          <w:tcPr>
            <w:tcW w:w="32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xml:space="preserve">     Instalaciones de ayuda a la navegación</w:t>
            </w:r>
          </w:p>
        </w:tc>
        <w:tc>
          <w:tcPr>
            <w:tcW w:w="1287"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5.397.909,54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142.487,25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5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5.540.396,79 </w:t>
            </w:r>
          </w:p>
        </w:tc>
      </w:tr>
      <w:tr w:rsidR="00513968" w:rsidRPr="00BA3724" w:rsidTr="00513968">
        <w:trPr>
          <w:trHeight w:val="210"/>
        </w:trPr>
        <w:tc>
          <w:tcPr>
            <w:tcW w:w="32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xml:space="preserve">     Equipo de manipulación de </w:t>
            </w:r>
            <w:r w:rsidR="00416638" w:rsidRPr="00BA3724">
              <w:rPr>
                <w:rFonts w:ascii="Lucida Bright" w:hAnsi="Lucida Bright" w:cs="Calibri"/>
                <w:sz w:val="14"/>
                <w:szCs w:val="14"/>
                <w:lang w:val="es-ES"/>
              </w:rPr>
              <w:t>mercancías</w:t>
            </w:r>
          </w:p>
        </w:tc>
        <w:tc>
          <w:tcPr>
            <w:tcW w:w="1287"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14.889.988,86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893.700,24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(1.393.598,52)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5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14.390.090,58 </w:t>
            </w:r>
          </w:p>
        </w:tc>
      </w:tr>
      <w:tr w:rsidR="00513968" w:rsidRPr="00BA3724" w:rsidTr="00513968">
        <w:trPr>
          <w:trHeight w:val="210"/>
        </w:trPr>
        <w:tc>
          <w:tcPr>
            <w:tcW w:w="32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xml:space="preserve">     Material flotante</w:t>
            </w:r>
          </w:p>
        </w:tc>
        <w:tc>
          <w:tcPr>
            <w:tcW w:w="1287"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1.033.899,85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20.026,03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5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1.053.925,88 </w:t>
            </w:r>
          </w:p>
        </w:tc>
      </w:tr>
      <w:tr w:rsidR="00513968" w:rsidRPr="00BA3724" w:rsidTr="00513968">
        <w:trPr>
          <w:trHeight w:val="210"/>
        </w:trPr>
        <w:tc>
          <w:tcPr>
            <w:tcW w:w="32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xml:space="preserve">     Material ferroviario</w:t>
            </w:r>
          </w:p>
        </w:tc>
        <w:tc>
          <w:tcPr>
            <w:tcW w:w="1287"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5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r>
      <w:tr w:rsidR="00513968" w:rsidRPr="00BA3724" w:rsidTr="00513968">
        <w:trPr>
          <w:trHeight w:val="210"/>
        </w:trPr>
        <w:tc>
          <w:tcPr>
            <w:tcW w:w="3066" w:type="dxa"/>
            <w:tcBorders>
              <w:top w:val="nil"/>
              <w:left w:val="single" w:sz="4" w:space="0" w:color="auto"/>
              <w:bottom w:val="nil"/>
              <w:right w:val="nil"/>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xml:space="preserve">     Equipo de taller</w:t>
            </w:r>
          </w:p>
        </w:tc>
        <w:tc>
          <w:tcPr>
            <w:tcW w:w="184" w:type="dxa"/>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87"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167.038,45 </w:t>
            </w:r>
          </w:p>
        </w:tc>
        <w:tc>
          <w:tcPr>
            <w:tcW w:w="1134" w:type="dxa"/>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76" w:type="dxa"/>
            <w:gridSpan w:val="2"/>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gridSpan w:val="2"/>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56" w:type="dxa"/>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167.038,45 </w:t>
            </w:r>
          </w:p>
        </w:tc>
      </w:tr>
      <w:tr w:rsidR="00513968" w:rsidRPr="00BA3724" w:rsidTr="00513968">
        <w:trPr>
          <w:trHeight w:val="210"/>
        </w:trPr>
        <w:tc>
          <w:tcPr>
            <w:tcW w:w="32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xml:space="preserve">     Energías renovables y transición energética</w:t>
            </w:r>
          </w:p>
        </w:tc>
        <w:tc>
          <w:tcPr>
            <w:tcW w:w="1287"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27.088,44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56"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27.088,44 </w:t>
            </w:r>
          </w:p>
        </w:tc>
      </w:tr>
      <w:tr w:rsidR="00513968" w:rsidRPr="00BA3724" w:rsidTr="00513968">
        <w:trPr>
          <w:trHeight w:val="210"/>
        </w:trPr>
        <w:tc>
          <w:tcPr>
            <w:tcW w:w="32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A3724" w:rsidRPr="00BA3724" w:rsidRDefault="00BA3724" w:rsidP="00BA3724">
            <w:pPr>
              <w:rPr>
                <w:rFonts w:ascii="Lucida Bright" w:hAnsi="Lucida Bright" w:cs="Calibri"/>
                <w:b/>
                <w:bCs/>
                <w:sz w:val="14"/>
                <w:szCs w:val="14"/>
                <w:lang w:val="es-ES"/>
              </w:rPr>
            </w:pPr>
            <w:r w:rsidRPr="00BA3724">
              <w:rPr>
                <w:rFonts w:ascii="Lucida Bright" w:hAnsi="Lucida Bright" w:cs="Calibri"/>
                <w:b/>
                <w:bCs/>
                <w:sz w:val="14"/>
                <w:szCs w:val="14"/>
                <w:lang w:val="es-ES"/>
              </w:rPr>
              <w:t xml:space="preserve"> d) Otro inmovilizado</w:t>
            </w:r>
          </w:p>
        </w:tc>
        <w:tc>
          <w:tcPr>
            <w:tcW w:w="1287"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17.738.873,77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1.817.688,22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(13.700,91)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95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19.542.861,08 </w:t>
            </w:r>
          </w:p>
        </w:tc>
      </w:tr>
      <w:tr w:rsidR="00513968" w:rsidRPr="00BA3724" w:rsidTr="00513968">
        <w:trPr>
          <w:trHeight w:val="210"/>
        </w:trPr>
        <w:tc>
          <w:tcPr>
            <w:tcW w:w="3066" w:type="dxa"/>
            <w:tcBorders>
              <w:top w:val="nil"/>
              <w:left w:val="single" w:sz="4" w:space="0" w:color="auto"/>
              <w:bottom w:val="single" w:sz="4" w:space="0" w:color="auto"/>
              <w:right w:val="nil"/>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xml:space="preserve">     Mobiliario</w:t>
            </w:r>
          </w:p>
        </w:tc>
        <w:tc>
          <w:tcPr>
            <w:tcW w:w="18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87"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2.669.853,43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59.113,82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(10.240,19)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5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2.718.727,06 </w:t>
            </w:r>
          </w:p>
        </w:tc>
      </w:tr>
      <w:tr w:rsidR="00513968" w:rsidRPr="00BA3724" w:rsidTr="00513968">
        <w:trPr>
          <w:trHeight w:val="210"/>
        </w:trPr>
        <w:tc>
          <w:tcPr>
            <w:tcW w:w="32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xml:space="preserve">     Equipos de proceso de información</w:t>
            </w:r>
          </w:p>
        </w:tc>
        <w:tc>
          <w:tcPr>
            <w:tcW w:w="1287"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3.298.857,54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737.269,65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5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4.036.127,19 </w:t>
            </w:r>
          </w:p>
        </w:tc>
      </w:tr>
      <w:tr w:rsidR="00513968" w:rsidRPr="00BA3724" w:rsidTr="00513968">
        <w:trPr>
          <w:trHeight w:val="210"/>
        </w:trPr>
        <w:tc>
          <w:tcPr>
            <w:tcW w:w="32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xml:space="preserve">     Elementos de transporte</w:t>
            </w:r>
          </w:p>
        </w:tc>
        <w:tc>
          <w:tcPr>
            <w:tcW w:w="1287"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2.953.884,49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292.957,07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5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3.246.841,56 </w:t>
            </w:r>
          </w:p>
        </w:tc>
      </w:tr>
      <w:tr w:rsidR="00513968" w:rsidRPr="00BA3724" w:rsidTr="00513968">
        <w:trPr>
          <w:trHeight w:val="210"/>
        </w:trPr>
        <w:tc>
          <w:tcPr>
            <w:tcW w:w="32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xml:space="preserve">     Otro inmovilizado material</w:t>
            </w:r>
          </w:p>
        </w:tc>
        <w:tc>
          <w:tcPr>
            <w:tcW w:w="1287" w:type="dxa"/>
            <w:tcBorders>
              <w:top w:val="nil"/>
              <w:left w:val="nil"/>
              <w:bottom w:val="nil"/>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8.816.278,31 </w:t>
            </w:r>
          </w:p>
        </w:tc>
        <w:tc>
          <w:tcPr>
            <w:tcW w:w="1134" w:type="dxa"/>
            <w:tcBorders>
              <w:top w:val="nil"/>
              <w:left w:val="nil"/>
              <w:bottom w:val="nil"/>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728.347,68 </w:t>
            </w:r>
          </w:p>
        </w:tc>
        <w:tc>
          <w:tcPr>
            <w:tcW w:w="1134" w:type="dxa"/>
            <w:tcBorders>
              <w:top w:val="nil"/>
              <w:left w:val="nil"/>
              <w:bottom w:val="nil"/>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(3.460,72) </w:t>
            </w:r>
          </w:p>
        </w:tc>
        <w:tc>
          <w:tcPr>
            <w:tcW w:w="992" w:type="dxa"/>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76" w:type="dxa"/>
            <w:gridSpan w:val="2"/>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gridSpan w:val="2"/>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134" w:type="dxa"/>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92" w:type="dxa"/>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956" w:type="dxa"/>
            <w:tcBorders>
              <w:top w:val="nil"/>
              <w:left w:val="nil"/>
              <w:bottom w:val="nil"/>
              <w:right w:val="single" w:sz="4" w:space="0" w:color="auto"/>
            </w:tcBorders>
            <w:shd w:val="clear" w:color="000000" w:fill="FFFFFF"/>
            <w:noWrap/>
            <w:vAlign w:val="center"/>
            <w:hideMark/>
          </w:tcPr>
          <w:p w:rsidR="00BA3724" w:rsidRPr="00BA3724" w:rsidRDefault="00BA3724" w:rsidP="00BA3724">
            <w:pPr>
              <w:rPr>
                <w:rFonts w:ascii="Lucida Bright" w:hAnsi="Lucida Bright" w:cs="Calibri"/>
                <w:sz w:val="14"/>
                <w:szCs w:val="14"/>
                <w:lang w:val="es-ES"/>
              </w:rPr>
            </w:pPr>
            <w:r w:rsidRPr="00BA3724">
              <w:rPr>
                <w:rFonts w:ascii="Lucida Bright" w:hAnsi="Lucida Bright" w:cs="Calibri"/>
                <w:sz w:val="14"/>
                <w:szCs w:val="14"/>
                <w:lang w:val="es-ES"/>
              </w:rPr>
              <w:t> </w:t>
            </w:r>
          </w:p>
        </w:tc>
        <w:tc>
          <w:tcPr>
            <w:tcW w:w="1296"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sz w:val="14"/>
                <w:szCs w:val="14"/>
                <w:lang w:val="es-ES"/>
              </w:rPr>
            </w:pPr>
            <w:r w:rsidRPr="00BA3724">
              <w:rPr>
                <w:rFonts w:ascii="Lucida Bright" w:hAnsi="Lucida Bright" w:cs="Calibri"/>
                <w:sz w:val="14"/>
                <w:szCs w:val="14"/>
                <w:lang w:val="es-ES"/>
              </w:rPr>
              <w:t xml:space="preserve">9.541.165,27 </w:t>
            </w:r>
          </w:p>
        </w:tc>
      </w:tr>
      <w:tr w:rsidR="00513968" w:rsidRPr="00BA3724" w:rsidTr="00513968">
        <w:trPr>
          <w:trHeight w:val="210"/>
        </w:trPr>
        <w:tc>
          <w:tcPr>
            <w:tcW w:w="3066" w:type="dxa"/>
            <w:tcBorders>
              <w:top w:val="nil"/>
              <w:left w:val="single" w:sz="4" w:space="0" w:color="auto"/>
              <w:bottom w:val="single" w:sz="4" w:space="0" w:color="auto"/>
              <w:right w:val="nil"/>
            </w:tcBorders>
            <w:shd w:val="clear" w:color="000000" w:fill="FFFFFF"/>
            <w:noWrap/>
            <w:vAlign w:val="center"/>
            <w:hideMark/>
          </w:tcPr>
          <w:p w:rsidR="00BA3724" w:rsidRPr="00BA3724" w:rsidRDefault="00BA3724" w:rsidP="00BA3724">
            <w:pPr>
              <w:jc w:val="center"/>
              <w:rPr>
                <w:rFonts w:ascii="Lucida Bright" w:hAnsi="Lucida Bright" w:cs="Calibri"/>
                <w:b/>
                <w:bCs/>
                <w:sz w:val="14"/>
                <w:szCs w:val="14"/>
                <w:lang w:val="es-ES"/>
              </w:rPr>
            </w:pPr>
            <w:r w:rsidRPr="00BA3724">
              <w:rPr>
                <w:rFonts w:ascii="Lucida Bright" w:hAnsi="Lucida Bright" w:cs="Calibri"/>
                <w:b/>
                <w:bCs/>
                <w:sz w:val="14"/>
                <w:szCs w:val="14"/>
                <w:lang w:val="es-ES"/>
              </w:rPr>
              <w:t>TOTAL</w:t>
            </w:r>
          </w:p>
        </w:tc>
        <w:tc>
          <w:tcPr>
            <w:tcW w:w="184" w:type="dxa"/>
            <w:tcBorders>
              <w:top w:val="nil"/>
              <w:left w:val="nil"/>
              <w:bottom w:val="single" w:sz="4" w:space="0" w:color="auto"/>
              <w:right w:val="single" w:sz="4" w:space="0" w:color="auto"/>
            </w:tcBorders>
            <w:shd w:val="clear" w:color="000000" w:fill="FFFFFF"/>
            <w:noWrap/>
            <w:vAlign w:val="center"/>
            <w:hideMark/>
          </w:tcPr>
          <w:p w:rsidR="00BA3724" w:rsidRPr="00BA3724" w:rsidRDefault="00BA3724" w:rsidP="00BA3724">
            <w:pPr>
              <w:jc w:val="center"/>
              <w:rPr>
                <w:rFonts w:ascii="Lucida Bright" w:hAnsi="Lucida Bright" w:cs="Calibri"/>
                <w:b/>
                <w:bCs/>
                <w:sz w:val="14"/>
                <w:szCs w:val="14"/>
                <w:lang w:val="es-ES"/>
              </w:rPr>
            </w:pPr>
            <w:r w:rsidRPr="00BA3724">
              <w:rPr>
                <w:rFonts w:ascii="Lucida Bright" w:hAnsi="Lucida Bright" w:cs="Calibri"/>
                <w:b/>
                <w:bCs/>
                <w:sz w:val="14"/>
                <w:szCs w:val="14"/>
                <w:lang w:val="es-ES"/>
              </w:rPr>
              <w:t> </w:t>
            </w:r>
          </w:p>
        </w:tc>
        <w:tc>
          <w:tcPr>
            <w:tcW w:w="1287"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387.165.433,08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19.462.660,76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(1.515.426,63)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956"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 </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rsidR="00BA3724" w:rsidRPr="00BA3724" w:rsidRDefault="00BA3724" w:rsidP="00BA3724">
            <w:pPr>
              <w:jc w:val="right"/>
              <w:rPr>
                <w:rFonts w:ascii="Lucida Bright" w:hAnsi="Lucida Bright" w:cs="Calibri"/>
                <w:b/>
                <w:bCs/>
                <w:sz w:val="14"/>
                <w:szCs w:val="14"/>
                <w:lang w:val="es-ES"/>
              </w:rPr>
            </w:pPr>
            <w:r w:rsidRPr="00BA3724">
              <w:rPr>
                <w:rFonts w:ascii="Lucida Bright" w:hAnsi="Lucida Bright" w:cs="Calibri"/>
                <w:b/>
                <w:bCs/>
                <w:sz w:val="14"/>
                <w:szCs w:val="14"/>
                <w:lang w:val="es-ES"/>
              </w:rPr>
              <w:t xml:space="preserve">405.112.667,21 </w:t>
            </w:r>
          </w:p>
        </w:tc>
      </w:tr>
    </w:tbl>
    <w:p w:rsidR="002075D9" w:rsidRDefault="002075D9" w:rsidP="00BA3724">
      <w:pPr>
        <w:shd w:val="clear" w:color="auto" w:fill="FFFFFF"/>
        <w:ind w:left="-851" w:right="1108"/>
        <w:rPr>
          <w:rFonts w:ascii="Lucida Bright" w:eastAsia="Lucida Bright" w:hAnsi="Lucida Bright" w:cs="Lucida Bright"/>
          <w:color w:val="000000"/>
          <w:sz w:val="15"/>
        </w:rPr>
      </w:pPr>
    </w:p>
    <w:p w:rsidR="00B9194A" w:rsidRDefault="00B9194A" w:rsidP="004E5856">
      <w:pPr>
        <w:shd w:val="clear" w:color="auto" w:fill="FFFFFF"/>
        <w:ind w:left="12" w:right="1108"/>
        <w:rPr>
          <w:rFonts w:ascii="Lucida Bright" w:eastAsia="Lucida Bright" w:hAnsi="Lucida Bright" w:cs="Lucida Bright"/>
          <w:color w:val="000000"/>
          <w:sz w:val="15"/>
          <w:highlight w:val="white"/>
        </w:rPr>
      </w:pPr>
    </w:p>
    <w:p w:rsidR="002075D9" w:rsidRDefault="002075D9" w:rsidP="004E5856">
      <w:pPr>
        <w:shd w:val="clear" w:color="auto" w:fill="FFFFFF"/>
        <w:ind w:left="12" w:right="1108"/>
        <w:rPr>
          <w:rFonts w:ascii="Lucida Bright" w:eastAsia="Lucida Bright" w:hAnsi="Lucida Bright" w:cs="Lucida Bright"/>
          <w:color w:val="000000"/>
          <w:sz w:val="15"/>
          <w:highlight w:val="white"/>
        </w:rPr>
      </w:pPr>
    </w:p>
    <w:p w:rsidR="002075D9" w:rsidRDefault="002075D9" w:rsidP="004E5856">
      <w:pPr>
        <w:shd w:val="clear" w:color="auto" w:fill="FFFFFF"/>
        <w:ind w:left="12" w:right="1108"/>
        <w:rPr>
          <w:rFonts w:ascii="Lucida Bright" w:eastAsia="Lucida Bright" w:hAnsi="Lucida Bright" w:cs="Lucida Bright"/>
          <w:color w:val="000000"/>
          <w:sz w:val="15"/>
          <w:highlight w:val="white"/>
        </w:rPr>
      </w:pPr>
    </w:p>
    <w:p w:rsidR="002075D9" w:rsidRDefault="002075D9" w:rsidP="004E5856">
      <w:pPr>
        <w:shd w:val="clear" w:color="auto" w:fill="FFFFFF"/>
        <w:ind w:left="12" w:right="1108"/>
        <w:rPr>
          <w:rFonts w:ascii="Lucida Bright" w:eastAsia="Lucida Bright" w:hAnsi="Lucida Bright" w:cs="Lucida Bright"/>
          <w:color w:val="000000"/>
          <w:sz w:val="15"/>
          <w:highlight w:val="white"/>
        </w:rPr>
      </w:pPr>
    </w:p>
    <w:p w:rsidR="00513968" w:rsidRDefault="00513968" w:rsidP="004E5856">
      <w:pPr>
        <w:shd w:val="clear" w:color="auto" w:fill="FFFFFF"/>
        <w:ind w:left="12" w:right="1108"/>
        <w:rPr>
          <w:rFonts w:ascii="Lucida Bright" w:eastAsia="Lucida Bright" w:hAnsi="Lucida Bright" w:cs="Lucida Bright"/>
          <w:color w:val="000000"/>
          <w:sz w:val="15"/>
          <w:highlight w:val="white"/>
        </w:rPr>
      </w:pPr>
    </w:p>
    <w:p w:rsidR="00513968" w:rsidRDefault="00513968" w:rsidP="004E5856">
      <w:pPr>
        <w:shd w:val="clear" w:color="auto" w:fill="FFFFFF"/>
        <w:ind w:left="12" w:right="1108"/>
        <w:rPr>
          <w:rFonts w:ascii="Lucida Bright" w:eastAsia="Lucida Bright" w:hAnsi="Lucida Bright" w:cs="Lucida Bright"/>
          <w:color w:val="000000"/>
          <w:sz w:val="15"/>
          <w:highlight w:val="white"/>
        </w:rPr>
      </w:pPr>
    </w:p>
    <w:p w:rsidR="002075D9" w:rsidRDefault="002075D9" w:rsidP="004E5856">
      <w:pPr>
        <w:shd w:val="clear" w:color="auto" w:fill="FFFFFF"/>
        <w:ind w:left="12" w:right="1108"/>
        <w:rPr>
          <w:rFonts w:ascii="Lucida Bright" w:eastAsia="Lucida Bright" w:hAnsi="Lucida Bright" w:cs="Lucida Bright"/>
          <w:color w:val="000000"/>
          <w:sz w:val="15"/>
          <w:highlight w:val="white"/>
        </w:rPr>
      </w:pPr>
    </w:p>
    <w:p w:rsidR="00B9194A" w:rsidRDefault="00B9194A" w:rsidP="004E5856">
      <w:pPr>
        <w:shd w:val="clear" w:color="auto" w:fill="FFFFFF"/>
        <w:ind w:left="12" w:right="1108"/>
        <w:rPr>
          <w:rFonts w:ascii="Lucida Bright" w:eastAsia="Lucida Bright" w:hAnsi="Lucida Bright" w:cs="Lucida Bright"/>
          <w:color w:val="000000"/>
          <w:sz w:val="15"/>
          <w:highlight w:val="white"/>
        </w:rPr>
      </w:pPr>
    </w:p>
    <w:tbl>
      <w:tblPr>
        <w:tblW w:w="5000" w:type="pct"/>
        <w:tblCellMar>
          <w:left w:w="70" w:type="dxa"/>
          <w:right w:w="70" w:type="dxa"/>
        </w:tblCellMar>
        <w:tblLook w:val="04A0" w:firstRow="1" w:lastRow="0" w:firstColumn="1" w:lastColumn="0" w:noHBand="0" w:noVBand="1"/>
      </w:tblPr>
      <w:tblGrid>
        <w:gridCol w:w="3153"/>
        <w:gridCol w:w="184"/>
        <w:gridCol w:w="1704"/>
        <w:gridCol w:w="1288"/>
        <w:gridCol w:w="1288"/>
        <w:gridCol w:w="1460"/>
        <w:gridCol w:w="1231"/>
        <w:gridCol w:w="1137"/>
        <w:gridCol w:w="920"/>
        <w:gridCol w:w="1213"/>
      </w:tblGrid>
      <w:tr w:rsidR="003C5BA7" w:rsidRPr="003C5BA7" w:rsidTr="003C5BA7">
        <w:trPr>
          <w:trHeight w:val="300"/>
        </w:trPr>
        <w:tc>
          <w:tcPr>
            <w:tcW w:w="1828" w:type="pct"/>
            <w:gridSpan w:val="3"/>
            <w:tcBorders>
              <w:top w:val="nil"/>
              <w:left w:val="nil"/>
              <w:bottom w:val="nil"/>
              <w:right w:val="nil"/>
            </w:tcBorders>
            <w:shd w:val="clear" w:color="auto" w:fill="auto"/>
            <w:noWrap/>
            <w:vAlign w:val="bottom"/>
            <w:hideMark/>
          </w:tcPr>
          <w:p w:rsidR="003C5BA7" w:rsidRPr="003C5BA7" w:rsidRDefault="003C5BA7" w:rsidP="003C5BA7">
            <w:pPr>
              <w:rPr>
                <w:rFonts w:ascii="Lucida Bright" w:hAnsi="Lucida Bright" w:cs="Calibri"/>
                <w:b/>
                <w:bCs/>
                <w:color w:val="000000"/>
                <w:sz w:val="18"/>
                <w:szCs w:val="18"/>
                <w:lang w:val="es-ES"/>
              </w:rPr>
            </w:pPr>
            <w:r w:rsidRPr="003C5BA7">
              <w:rPr>
                <w:rFonts w:ascii="Lucida Bright" w:hAnsi="Lucida Bright" w:cs="Calibri"/>
                <w:b/>
                <w:bCs/>
                <w:color w:val="000000"/>
                <w:sz w:val="18"/>
                <w:szCs w:val="18"/>
                <w:lang w:val="es-ES"/>
              </w:rPr>
              <w:lastRenderedPageBreak/>
              <w:t>CUADRO: INMOVILIZADO MATERIAL 2023</w:t>
            </w:r>
          </w:p>
        </w:tc>
        <w:tc>
          <w:tcPr>
            <w:tcW w:w="480" w:type="pct"/>
            <w:tcBorders>
              <w:top w:val="nil"/>
              <w:left w:val="nil"/>
              <w:bottom w:val="nil"/>
              <w:right w:val="nil"/>
            </w:tcBorders>
            <w:shd w:val="clear" w:color="auto" w:fill="auto"/>
            <w:noWrap/>
            <w:vAlign w:val="bottom"/>
            <w:hideMark/>
          </w:tcPr>
          <w:p w:rsidR="003C5BA7" w:rsidRPr="003C5BA7" w:rsidRDefault="003C5BA7" w:rsidP="003C5BA7">
            <w:pPr>
              <w:rPr>
                <w:rFonts w:ascii="Lucida Bright" w:hAnsi="Lucida Bright" w:cs="Calibri"/>
                <w:color w:val="000000"/>
                <w:sz w:val="18"/>
                <w:szCs w:val="18"/>
                <w:lang w:val="es-ES"/>
              </w:rPr>
            </w:pPr>
          </w:p>
        </w:tc>
        <w:tc>
          <w:tcPr>
            <w:tcW w:w="480" w:type="pct"/>
            <w:tcBorders>
              <w:top w:val="nil"/>
              <w:left w:val="nil"/>
              <w:bottom w:val="nil"/>
              <w:right w:val="nil"/>
            </w:tcBorders>
            <w:shd w:val="clear" w:color="auto" w:fill="auto"/>
            <w:noWrap/>
            <w:vAlign w:val="bottom"/>
            <w:hideMark/>
          </w:tcPr>
          <w:p w:rsidR="003C5BA7" w:rsidRPr="003C5BA7" w:rsidRDefault="003C5BA7" w:rsidP="003C5BA7">
            <w:pPr>
              <w:rPr>
                <w:rFonts w:ascii="Lucida Bright" w:hAnsi="Lucida Bright" w:cs="Calibri"/>
                <w:color w:val="000000"/>
                <w:sz w:val="18"/>
                <w:szCs w:val="18"/>
                <w:lang w:val="es-ES"/>
              </w:rPr>
            </w:pPr>
          </w:p>
        </w:tc>
        <w:tc>
          <w:tcPr>
            <w:tcW w:w="543" w:type="pct"/>
            <w:tcBorders>
              <w:top w:val="nil"/>
              <w:left w:val="nil"/>
              <w:bottom w:val="nil"/>
              <w:right w:val="nil"/>
            </w:tcBorders>
            <w:shd w:val="clear" w:color="auto" w:fill="auto"/>
            <w:noWrap/>
            <w:vAlign w:val="bottom"/>
            <w:hideMark/>
          </w:tcPr>
          <w:p w:rsidR="003C5BA7" w:rsidRPr="003C5BA7" w:rsidRDefault="003C5BA7" w:rsidP="003C5BA7">
            <w:pPr>
              <w:rPr>
                <w:rFonts w:ascii="Lucida Bright" w:hAnsi="Lucida Bright" w:cs="Calibri"/>
                <w:color w:val="000000"/>
                <w:sz w:val="18"/>
                <w:szCs w:val="18"/>
                <w:lang w:val="es-ES"/>
              </w:rPr>
            </w:pPr>
          </w:p>
        </w:tc>
        <w:tc>
          <w:tcPr>
            <w:tcW w:w="459" w:type="pct"/>
            <w:tcBorders>
              <w:top w:val="nil"/>
              <w:left w:val="nil"/>
              <w:bottom w:val="nil"/>
              <w:right w:val="nil"/>
            </w:tcBorders>
            <w:shd w:val="clear" w:color="auto" w:fill="auto"/>
            <w:noWrap/>
            <w:vAlign w:val="bottom"/>
            <w:hideMark/>
          </w:tcPr>
          <w:p w:rsidR="003C5BA7" w:rsidRPr="003C5BA7" w:rsidRDefault="003C5BA7" w:rsidP="003C5BA7">
            <w:pPr>
              <w:rPr>
                <w:rFonts w:ascii="Lucida Bright" w:hAnsi="Lucida Bright" w:cs="Calibri"/>
                <w:color w:val="000000"/>
                <w:sz w:val="18"/>
                <w:szCs w:val="18"/>
                <w:lang w:val="es-ES"/>
              </w:rPr>
            </w:pPr>
          </w:p>
        </w:tc>
        <w:tc>
          <w:tcPr>
            <w:tcW w:w="424" w:type="pct"/>
            <w:tcBorders>
              <w:top w:val="nil"/>
              <w:left w:val="nil"/>
              <w:bottom w:val="nil"/>
              <w:right w:val="nil"/>
            </w:tcBorders>
            <w:shd w:val="clear" w:color="auto" w:fill="auto"/>
            <w:noWrap/>
            <w:vAlign w:val="bottom"/>
            <w:hideMark/>
          </w:tcPr>
          <w:p w:rsidR="003C5BA7" w:rsidRPr="003C5BA7" w:rsidRDefault="003C5BA7" w:rsidP="003C5BA7">
            <w:pPr>
              <w:rPr>
                <w:rFonts w:ascii="Lucida Bright" w:hAnsi="Lucida Bright" w:cs="Calibri"/>
                <w:color w:val="000000"/>
                <w:sz w:val="18"/>
                <w:szCs w:val="18"/>
                <w:lang w:val="es-ES"/>
              </w:rPr>
            </w:pPr>
          </w:p>
        </w:tc>
        <w:tc>
          <w:tcPr>
            <w:tcW w:w="334" w:type="pct"/>
            <w:tcBorders>
              <w:top w:val="nil"/>
              <w:left w:val="nil"/>
              <w:bottom w:val="nil"/>
              <w:right w:val="nil"/>
            </w:tcBorders>
            <w:shd w:val="clear" w:color="auto" w:fill="auto"/>
            <w:noWrap/>
            <w:vAlign w:val="bottom"/>
            <w:hideMark/>
          </w:tcPr>
          <w:p w:rsidR="003C5BA7" w:rsidRPr="003C5BA7" w:rsidRDefault="003C5BA7" w:rsidP="003C5BA7">
            <w:pPr>
              <w:rPr>
                <w:rFonts w:ascii="Lucida Bright" w:hAnsi="Lucida Bright" w:cs="Calibri"/>
                <w:color w:val="000000"/>
                <w:sz w:val="18"/>
                <w:szCs w:val="18"/>
                <w:lang w:val="es-ES"/>
              </w:rPr>
            </w:pPr>
          </w:p>
        </w:tc>
        <w:tc>
          <w:tcPr>
            <w:tcW w:w="452" w:type="pct"/>
            <w:tcBorders>
              <w:top w:val="nil"/>
              <w:left w:val="nil"/>
              <w:bottom w:val="nil"/>
              <w:right w:val="nil"/>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(en euros)</w:t>
            </w:r>
          </w:p>
        </w:tc>
      </w:tr>
      <w:tr w:rsidR="003C5BA7" w:rsidRPr="003C5BA7" w:rsidTr="003C5BA7">
        <w:trPr>
          <w:trHeight w:val="630"/>
        </w:trPr>
        <w:tc>
          <w:tcPr>
            <w:tcW w:w="1195" w:type="pct"/>
            <w:gridSpan w:val="2"/>
            <w:vMerge w:val="restart"/>
            <w:tcBorders>
              <w:top w:val="single" w:sz="4" w:space="0" w:color="auto"/>
              <w:left w:val="single" w:sz="4" w:space="0" w:color="auto"/>
              <w:bottom w:val="single" w:sz="4" w:space="0" w:color="000000"/>
              <w:right w:val="single" w:sz="4" w:space="0" w:color="000000"/>
            </w:tcBorders>
            <w:shd w:val="clear" w:color="000000" w:fill="CCFFCC"/>
            <w:vAlign w:val="center"/>
            <w:hideMark/>
          </w:tcPr>
          <w:p w:rsidR="003C5BA7" w:rsidRPr="003C5BA7" w:rsidRDefault="003C5BA7" w:rsidP="003C5BA7">
            <w:pPr>
              <w:jc w:val="cente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CONCEPTO</w:t>
            </w:r>
          </w:p>
        </w:tc>
        <w:tc>
          <w:tcPr>
            <w:tcW w:w="633" w:type="pct"/>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3C5BA7" w:rsidRPr="003C5BA7" w:rsidRDefault="003C5BA7" w:rsidP="003E0918">
            <w:pPr>
              <w:jc w:val="cente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Saldo a</w:t>
            </w:r>
            <w:r w:rsidRPr="003C5BA7">
              <w:rPr>
                <w:rFonts w:ascii="Lucida Bright" w:hAnsi="Lucida Bright" w:cs="Calibri"/>
                <w:b/>
                <w:bCs/>
                <w:color w:val="000000"/>
                <w:sz w:val="14"/>
                <w:szCs w:val="14"/>
                <w:lang w:val="es-ES"/>
              </w:rPr>
              <w:br/>
              <w:t>31-12-22</w:t>
            </w:r>
          </w:p>
        </w:tc>
        <w:tc>
          <w:tcPr>
            <w:tcW w:w="960" w:type="pct"/>
            <w:gridSpan w:val="2"/>
            <w:tcBorders>
              <w:top w:val="single" w:sz="4" w:space="0" w:color="auto"/>
              <w:left w:val="nil"/>
              <w:bottom w:val="single" w:sz="4" w:space="0" w:color="auto"/>
              <w:right w:val="single" w:sz="4" w:space="0" w:color="000000"/>
            </w:tcBorders>
            <w:shd w:val="clear" w:color="000000" w:fill="CCFFCC"/>
            <w:noWrap/>
            <w:vAlign w:val="center"/>
            <w:hideMark/>
          </w:tcPr>
          <w:p w:rsidR="003C5BA7" w:rsidRPr="003C5BA7" w:rsidRDefault="003C5BA7" w:rsidP="003C5BA7">
            <w:pPr>
              <w:jc w:val="cente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Variaciones del ejercicio</w:t>
            </w:r>
          </w:p>
        </w:tc>
        <w:tc>
          <w:tcPr>
            <w:tcW w:w="543" w:type="pct"/>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3C5BA7" w:rsidRPr="003C5BA7" w:rsidRDefault="003C5BA7" w:rsidP="003E0918">
            <w:pPr>
              <w:jc w:val="cente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Reclasificaciones</w:t>
            </w:r>
            <w:r w:rsidRPr="003C5BA7">
              <w:rPr>
                <w:rFonts w:ascii="Lucida Bright" w:hAnsi="Lucida Bright" w:cs="Calibri"/>
                <w:b/>
                <w:bCs/>
                <w:color w:val="000000"/>
                <w:sz w:val="14"/>
                <w:szCs w:val="14"/>
                <w:lang w:val="es-ES"/>
              </w:rPr>
              <w:br/>
              <w:t>(+/-)</w:t>
            </w:r>
          </w:p>
        </w:tc>
        <w:tc>
          <w:tcPr>
            <w:tcW w:w="459" w:type="pct"/>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Traspaso a / de inversiones inmobiliarias (-/+)</w:t>
            </w:r>
          </w:p>
        </w:tc>
        <w:tc>
          <w:tcPr>
            <w:tcW w:w="424" w:type="pct"/>
            <w:vMerge w:val="restart"/>
            <w:tcBorders>
              <w:top w:val="single" w:sz="4" w:space="0" w:color="auto"/>
              <w:left w:val="single" w:sz="4" w:space="0" w:color="auto"/>
              <w:bottom w:val="single" w:sz="4" w:space="0" w:color="000000"/>
              <w:right w:val="single" w:sz="4" w:space="0" w:color="auto"/>
            </w:tcBorders>
            <w:shd w:val="clear" w:color="000000" w:fill="CCFFCC"/>
            <w:vAlign w:val="bottom"/>
            <w:hideMark/>
          </w:tcPr>
          <w:p w:rsidR="003C5BA7" w:rsidRPr="003C5BA7" w:rsidRDefault="003C5BA7" w:rsidP="003E0918">
            <w:pPr>
              <w:jc w:val="cente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Traspaso a activo</w:t>
            </w:r>
            <w:r w:rsidRPr="003C5BA7">
              <w:rPr>
                <w:rFonts w:ascii="Lucida Bright" w:hAnsi="Lucida Bright" w:cs="Calibri"/>
                <w:b/>
                <w:bCs/>
                <w:color w:val="000000"/>
                <w:sz w:val="14"/>
                <w:szCs w:val="14"/>
                <w:lang w:val="es-ES"/>
              </w:rPr>
              <w:br/>
              <w:t>no corriente mantenido para</w:t>
            </w:r>
            <w:r w:rsidRPr="003C5BA7">
              <w:rPr>
                <w:rFonts w:ascii="Lucida Bright" w:hAnsi="Lucida Bright" w:cs="Calibri"/>
                <w:b/>
                <w:bCs/>
                <w:color w:val="000000"/>
                <w:sz w:val="14"/>
                <w:szCs w:val="14"/>
                <w:lang w:val="es-ES"/>
              </w:rPr>
              <w:br/>
              <w:t>la venta (-)</w:t>
            </w:r>
          </w:p>
        </w:tc>
        <w:tc>
          <w:tcPr>
            <w:tcW w:w="334" w:type="pct"/>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Ajustes contra patrimonio (+/-)</w:t>
            </w:r>
          </w:p>
        </w:tc>
        <w:tc>
          <w:tcPr>
            <w:tcW w:w="452" w:type="pct"/>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3C5BA7" w:rsidRPr="003C5BA7" w:rsidRDefault="003C5BA7" w:rsidP="003E0918">
            <w:pPr>
              <w:jc w:val="cente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Saldo a</w:t>
            </w:r>
            <w:r w:rsidRPr="003C5BA7">
              <w:rPr>
                <w:rFonts w:ascii="Lucida Bright" w:hAnsi="Lucida Bright" w:cs="Calibri"/>
                <w:b/>
                <w:bCs/>
                <w:color w:val="000000"/>
                <w:sz w:val="14"/>
                <w:szCs w:val="14"/>
                <w:lang w:val="es-ES"/>
              </w:rPr>
              <w:br/>
              <w:t>31-12-23</w:t>
            </w:r>
          </w:p>
        </w:tc>
      </w:tr>
      <w:tr w:rsidR="003C5BA7" w:rsidRPr="003C5BA7" w:rsidTr="003C5BA7">
        <w:trPr>
          <w:trHeight w:val="630"/>
        </w:trPr>
        <w:tc>
          <w:tcPr>
            <w:tcW w:w="1195" w:type="pct"/>
            <w:gridSpan w:val="2"/>
            <w:vMerge/>
            <w:tcBorders>
              <w:top w:val="single" w:sz="4" w:space="0" w:color="auto"/>
              <w:left w:val="single" w:sz="4" w:space="0" w:color="auto"/>
              <w:bottom w:val="single" w:sz="4" w:space="0" w:color="000000"/>
              <w:right w:val="single" w:sz="4" w:space="0" w:color="000000"/>
            </w:tcBorders>
            <w:vAlign w:val="center"/>
            <w:hideMark/>
          </w:tcPr>
          <w:p w:rsidR="003C5BA7" w:rsidRPr="003C5BA7" w:rsidRDefault="003C5BA7" w:rsidP="003C5BA7">
            <w:pPr>
              <w:rPr>
                <w:rFonts w:ascii="Lucida Bright" w:hAnsi="Lucida Bright" w:cs="Calibri"/>
                <w:b/>
                <w:bCs/>
                <w:color w:val="000000"/>
                <w:sz w:val="14"/>
                <w:szCs w:val="14"/>
                <w:lang w:val="es-ES"/>
              </w:rPr>
            </w:pPr>
          </w:p>
        </w:tc>
        <w:tc>
          <w:tcPr>
            <w:tcW w:w="633" w:type="pct"/>
            <w:vMerge/>
            <w:tcBorders>
              <w:top w:val="single" w:sz="4" w:space="0" w:color="auto"/>
              <w:left w:val="single" w:sz="4" w:space="0" w:color="auto"/>
              <w:bottom w:val="single" w:sz="4" w:space="0" w:color="000000"/>
              <w:right w:val="single" w:sz="4" w:space="0" w:color="auto"/>
            </w:tcBorders>
            <w:vAlign w:val="center"/>
            <w:hideMark/>
          </w:tcPr>
          <w:p w:rsidR="003C5BA7" w:rsidRPr="003C5BA7" w:rsidRDefault="003C5BA7" w:rsidP="003C5BA7">
            <w:pPr>
              <w:rPr>
                <w:rFonts w:ascii="Lucida Bright" w:hAnsi="Lucida Bright" w:cs="Calibri"/>
                <w:b/>
                <w:bCs/>
                <w:color w:val="000000"/>
                <w:sz w:val="14"/>
                <w:szCs w:val="14"/>
                <w:lang w:val="es-ES"/>
              </w:rPr>
            </w:pPr>
          </w:p>
        </w:tc>
        <w:tc>
          <w:tcPr>
            <w:tcW w:w="480" w:type="pct"/>
            <w:tcBorders>
              <w:top w:val="nil"/>
              <w:left w:val="nil"/>
              <w:bottom w:val="single" w:sz="4" w:space="0" w:color="auto"/>
              <w:right w:val="single" w:sz="4" w:space="0" w:color="auto"/>
            </w:tcBorders>
            <w:shd w:val="clear" w:color="000000" w:fill="CCFFCC"/>
            <w:noWrap/>
            <w:vAlign w:val="bottom"/>
            <w:hideMark/>
          </w:tcPr>
          <w:p w:rsidR="003C5BA7" w:rsidRPr="003C5BA7" w:rsidRDefault="003C5BA7" w:rsidP="003C5BA7">
            <w:pPr>
              <w:jc w:val="cente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Altas (+)</w:t>
            </w:r>
          </w:p>
        </w:tc>
        <w:tc>
          <w:tcPr>
            <w:tcW w:w="480" w:type="pct"/>
            <w:tcBorders>
              <w:top w:val="nil"/>
              <w:left w:val="nil"/>
              <w:bottom w:val="single" w:sz="4" w:space="0" w:color="auto"/>
              <w:right w:val="single" w:sz="4" w:space="0" w:color="auto"/>
            </w:tcBorders>
            <w:shd w:val="clear" w:color="000000" w:fill="CCFFCC"/>
            <w:noWrap/>
            <w:vAlign w:val="bottom"/>
            <w:hideMark/>
          </w:tcPr>
          <w:p w:rsidR="003C5BA7" w:rsidRPr="003C5BA7" w:rsidRDefault="003C5BA7" w:rsidP="003C5BA7">
            <w:pPr>
              <w:jc w:val="cente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Bajas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3C5BA7" w:rsidRPr="003C5BA7" w:rsidRDefault="003C5BA7" w:rsidP="003C5BA7">
            <w:pPr>
              <w:rPr>
                <w:rFonts w:ascii="Lucida Bright" w:hAnsi="Lucida Bright" w:cs="Calibri"/>
                <w:b/>
                <w:bCs/>
                <w:color w:val="000000"/>
                <w:sz w:val="14"/>
                <w:szCs w:val="14"/>
                <w:lang w:val="es-ES"/>
              </w:rPr>
            </w:pPr>
          </w:p>
        </w:tc>
        <w:tc>
          <w:tcPr>
            <w:tcW w:w="459" w:type="pct"/>
            <w:vMerge/>
            <w:tcBorders>
              <w:top w:val="single" w:sz="4" w:space="0" w:color="auto"/>
              <w:left w:val="single" w:sz="4" w:space="0" w:color="auto"/>
              <w:bottom w:val="single" w:sz="4" w:space="0" w:color="000000"/>
              <w:right w:val="single" w:sz="4" w:space="0" w:color="auto"/>
            </w:tcBorders>
            <w:vAlign w:val="center"/>
            <w:hideMark/>
          </w:tcPr>
          <w:p w:rsidR="003C5BA7" w:rsidRPr="003C5BA7" w:rsidRDefault="003C5BA7" w:rsidP="003C5BA7">
            <w:pPr>
              <w:rPr>
                <w:rFonts w:ascii="Lucida Bright" w:hAnsi="Lucida Bright" w:cs="Calibri"/>
                <w:b/>
                <w:bCs/>
                <w:color w:val="000000"/>
                <w:sz w:val="14"/>
                <w:szCs w:val="14"/>
                <w:lang w:val="es-ES"/>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3C5BA7" w:rsidRPr="003C5BA7" w:rsidRDefault="003C5BA7" w:rsidP="003C5BA7">
            <w:pPr>
              <w:rPr>
                <w:rFonts w:ascii="Lucida Bright" w:hAnsi="Lucida Bright" w:cs="Calibri"/>
                <w:b/>
                <w:bCs/>
                <w:color w:val="000000"/>
                <w:sz w:val="14"/>
                <w:szCs w:val="14"/>
                <w:lang w:val="es-ES"/>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3C5BA7" w:rsidRPr="003C5BA7" w:rsidRDefault="003C5BA7" w:rsidP="003C5BA7">
            <w:pPr>
              <w:rPr>
                <w:rFonts w:ascii="Lucida Bright" w:hAnsi="Lucida Bright" w:cs="Calibri"/>
                <w:b/>
                <w:bCs/>
                <w:color w:val="000000"/>
                <w:sz w:val="14"/>
                <w:szCs w:val="14"/>
                <w:lang w:val="es-ES"/>
              </w:rPr>
            </w:pPr>
          </w:p>
        </w:tc>
        <w:tc>
          <w:tcPr>
            <w:tcW w:w="452" w:type="pct"/>
            <w:vMerge/>
            <w:tcBorders>
              <w:top w:val="single" w:sz="4" w:space="0" w:color="auto"/>
              <w:left w:val="single" w:sz="4" w:space="0" w:color="auto"/>
              <w:bottom w:val="single" w:sz="4" w:space="0" w:color="000000"/>
              <w:right w:val="single" w:sz="4" w:space="0" w:color="auto"/>
            </w:tcBorders>
            <w:vAlign w:val="center"/>
            <w:hideMark/>
          </w:tcPr>
          <w:p w:rsidR="003C5BA7" w:rsidRPr="003C5BA7" w:rsidRDefault="003C5BA7" w:rsidP="003C5BA7">
            <w:pPr>
              <w:rPr>
                <w:rFonts w:ascii="Lucida Bright" w:hAnsi="Lucida Bright" w:cs="Calibri"/>
                <w:b/>
                <w:bCs/>
                <w:color w:val="000000"/>
                <w:sz w:val="14"/>
                <w:szCs w:val="14"/>
                <w:lang w:val="es-ES"/>
              </w:rPr>
            </w:pP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 xml:space="preserve"> a) Terrenos y bienes naturales</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77.423.173,58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840.789,37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(0,01)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78.263.962,94 </w:t>
            </w: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 xml:space="preserve"> b) Construcciones</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586.301.441,65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32.141.072,07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(803.428,36)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(73,85)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(448.967,27)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617.190.044,24 </w:t>
            </w: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Accesos marítimos</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19.738.653,11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(9,57)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19.738.643,54 </w:t>
            </w: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Obras de abrigo y defensa</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68.983.199,01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2,80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68.983.201,81 </w:t>
            </w: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Obras de atraque</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254.539.939,60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3.538.883,65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(84.817,44)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(15,88)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257.993.989,93 </w:t>
            </w: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Instalaciones para reparación de barcos</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r>
      <w:tr w:rsidR="003C5BA7" w:rsidRPr="003C5BA7" w:rsidTr="003C5BA7">
        <w:trPr>
          <w:trHeight w:val="210"/>
        </w:trPr>
        <w:tc>
          <w:tcPr>
            <w:tcW w:w="1131" w:type="pct"/>
            <w:tcBorders>
              <w:top w:val="nil"/>
              <w:left w:val="single" w:sz="4" w:space="0" w:color="auto"/>
              <w:bottom w:val="single" w:sz="4" w:space="0" w:color="auto"/>
              <w:right w:val="nil"/>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Edificaciones</w:t>
            </w:r>
          </w:p>
        </w:tc>
        <w:tc>
          <w:tcPr>
            <w:tcW w:w="64"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102.960.785,37 </w:t>
            </w:r>
          </w:p>
        </w:tc>
        <w:tc>
          <w:tcPr>
            <w:tcW w:w="48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14.726.203,40 </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(290.736,22)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(31,55)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(448.967,27)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116.947.253,73 </w:t>
            </w: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Instalaciones generales</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61.455.927,57 </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8.093.759,80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(368.570,53)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(7,28)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69.181.109,56 </w:t>
            </w: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Pavimentos, calzadas y vías de circulación</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78.622.936,99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5.782.225,22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(59.304,17)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(12,37)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84.345.845,67 </w:t>
            </w: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 xml:space="preserve"> c) Equipamientos e instalaciones técnicas</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29.724.083,67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502.380,73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(704.055,37)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878,80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29.523.287,83 </w:t>
            </w: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Instalaciones de ayuda a la navegación</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6.260.595,66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313.383,08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(490.141,59)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883,20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6.084.720,35 </w:t>
            </w: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Equipos de manipulación de </w:t>
            </w:r>
            <w:r w:rsidR="00416638" w:rsidRPr="003C5BA7">
              <w:rPr>
                <w:rFonts w:ascii="Lucida Bright" w:hAnsi="Lucida Bright" w:cs="Calibri"/>
                <w:sz w:val="14"/>
                <w:szCs w:val="14"/>
                <w:lang w:val="es-ES"/>
              </w:rPr>
              <w:t>mercancías</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21.958.780,03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188.997,65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(48.539,64)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(7,58)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22.099.230,46 </w:t>
            </w: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Material flotante</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1.322.762,06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(150.464,94)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1,45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1.172.298,57 </w:t>
            </w: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Material ferroviario</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r>
      <w:tr w:rsidR="003C5BA7" w:rsidRPr="003C5BA7" w:rsidTr="003C5BA7">
        <w:trPr>
          <w:trHeight w:val="210"/>
        </w:trPr>
        <w:tc>
          <w:tcPr>
            <w:tcW w:w="1131" w:type="pct"/>
            <w:tcBorders>
              <w:top w:val="nil"/>
              <w:left w:val="single" w:sz="4" w:space="0" w:color="auto"/>
              <w:bottom w:val="single" w:sz="4" w:space="0" w:color="auto"/>
              <w:right w:val="nil"/>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Equipo de taller</w:t>
            </w:r>
          </w:p>
        </w:tc>
        <w:tc>
          <w:tcPr>
            <w:tcW w:w="64"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181.945,92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(14.909,20)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1,73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167.038,45 </w:t>
            </w: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Energías renovables y </w:t>
            </w:r>
            <w:r w:rsidR="00416638" w:rsidRPr="003C5BA7">
              <w:rPr>
                <w:rFonts w:ascii="Lucida Bright" w:hAnsi="Lucida Bright" w:cs="Calibri"/>
                <w:sz w:val="14"/>
                <w:szCs w:val="14"/>
                <w:lang w:val="es-ES"/>
              </w:rPr>
              <w:t>transición</w:t>
            </w:r>
            <w:r w:rsidRPr="003C5BA7">
              <w:rPr>
                <w:rFonts w:ascii="Lucida Bright" w:hAnsi="Lucida Bright" w:cs="Calibri"/>
                <w:sz w:val="14"/>
                <w:szCs w:val="14"/>
                <w:lang w:val="es-ES"/>
              </w:rPr>
              <w:t xml:space="preserve"> energética</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 xml:space="preserve"> d) Otro inmovilizado</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22.381.377,08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3.787.724,00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(2.426.078,93)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(30,27)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23.742.991,88 </w:t>
            </w:r>
          </w:p>
        </w:tc>
      </w:tr>
      <w:tr w:rsidR="003C5BA7" w:rsidRPr="003C5BA7" w:rsidTr="003C5BA7">
        <w:trPr>
          <w:trHeight w:val="210"/>
        </w:trPr>
        <w:tc>
          <w:tcPr>
            <w:tcW w:w="1131" w:type="pct"/>
            <w:tcBorders>
              <w:top w:val="nil"/>
              <w:left w:val="single" w:sz="4" w:space="0" w:color="auto"/>
              <w:bottom w:val="single" w:sz="4" w:space="0" w:color="auto"/>
              <w:right w:val="nil"/>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Mobiliario</w:t>
            </w:r>
          </w:p>
        </w:tc>
        <w:tc>
          <w:tcPr>
            <w:tcW w:w="64"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3.029.382,72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213.343,09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(140.001,47)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(3,34)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3.102.721,00 </w:t>
            </w: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Equipos para proceso de información</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4.290.247,52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1.805.881,83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(229.120,44)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(7,88)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5.867.001,03 </w:t>
            </w: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Elementos de transporte</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3.211.351,24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535.092,25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(1,93)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3.746.441,56 </w:t>
            </w:r>
          </w:p>
        </w:tc>
      </w:tr>
      <w:tr w:rsidR="003C5BA7" w:rsidRPr="003C5BA7" w:rsidTr="003C5BA7">
        <w:trPr>
          <w:trHeight w:val="210"/>
        </w:trPr>
        <w:tc>
          <w:tcPr>
            <w:tcW w:w="1131" w:type="pct"/>
            <w:tcBorders>
              <w:top w:val="nil"/>
              <w:left w:val="single" w:sz="4" w:space="0" w:color="auto"/>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Otro inmovilizado material</w:t>
            </w:r>
          </w:p>
        </w:tc>
        <w:tc>
          <w:tcPr>
            <w:tcW w:w="64"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11.850.395,60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1.233.406,83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(2.056.957,02)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(17,12)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color w:val="000000"/>
                <w:sz w:val="14"/>
                <w:szCs w:val="14"/>
                <w:lang w:val="es-ES"/>
              </w:rPr>
            </w:pPr>
            <w:r w:rsidRPr="003C5BA7">
              <w:rPr>
                <w:rFonts w:ascii="Lucida Bright" w:hAnsi="Lucida Bright" w:cs="Calibri"/>
                <w:color w:val="000000"/>
                <w:sz w:val="14"/>
                <w:szCs w:val="14"/>
                <w:lang w:val="es-ES"/>
              </w:rPr>
              <w:t xml:space="preserve">11.026.828,29 </w:t>
            </w: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TOTAL INMOVILIZADO MATERIAL</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715.830.075,98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37.271.966,17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(3.933.562,66)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774,67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(448.967,27)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748.720.286,89 </w:t>
            </w: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ANTICIPOS E INMOVILIZADO EN CURSO</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37.202.922,95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2.374.465,43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(237.041,42)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(2.661.644,27)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(223.707,51)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36.454.995,18 </w:t>
            </w:r>
          </w:p>
        </w:tc>
      </w:tr>
      <w:tr w:rsidR="003C5BA7" w:rsidRPr="003C5BA7" w:rsidTr="003C5BA7">
        <w:trPr>
          <w:trHeight w:val="210"/>
        </w:trPr>
        <w:tc>
          <w:tcPr>
            <w:tcW w:w="119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TOTAL</w:t>
            </w:r>
          </w:p>
        </w:tc>
        <w:tc>
          <w:tcPr>
            <w:tcW w:w="63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753.032.998,93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39.646.431,60 </w:t>
            </w:r>
          </w:p>
        </w:tc>
        <w:tc>
          <w:tcPr>
            <w:tcW w:w="480"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(4.170.604,08) </w:t>
            </w:r>
          </w:p>
        </w:tc>
        <w:tc>
          <w:tcPr>
            <w:tcW w:w="543"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(2.660.869,60) </w:t>
            </w:r>
          </w:p>
        </w:tc>
        <w:tc>
          <w:tcPr>
            <w:tcW w:w="459"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(672.674,78) </w:t>
            </w:r>
          </w:p>
        </w:tc>
        <w:tc>
          <w:tcPr>
            <w:tcW w:w="42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w:t>
            </w:r>
          </w:p>
        </w:tc>
        <w:tc>
          <w:tcPr>
            <w:tcW w:w="334"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w:t>
            </w:r>
          </w:p>
        </w:tc>
        <w:tc>
          <w:tcPr>
            <w:tcW w:w="452" w:type="pct"/>
            <w:tcBorders>
              <w:top w:val="nil"/>
              <w:left w:val="nil"/>
              <w:bottom w:val="single" w:sz="4" w:space="0" w:color="auto"/>
              <w:right w:val="single" w:sz="4" w:space="0" w:color="auto"/>
            </w:tcBorders>
            <w:shd w:val="clear" w:color="auto" w:fill="auto"/>
            <w:noWrap/>
            <w:vAlign w:val="bottom"/>
            <w:hideMark/>
          </w:tcPr>
          <w:p w:rsidR="003C5BA7" w:rsidRPr="003C5BA7" w:rsidRDefault="003C5BA7" w:rsidP="003C5BA7">
            <w:pPr>
              <w:jc w:val="right"/>
              <w:rPr>
                <w:rFonts w:ascii="Lucida Bright" w:hAnsi="Lucida Bright" w:cs="Calibri"/>
                <w:b/>
                <w:bCs/>
                <w:color w:val="000000"/>
                <w:sz w:val="14"/>
                <w:szCs w:val="14"/>
                <w:lang w:val="es-ES"/>
              </w:rPr>
            </w:pPr>
            <w:r w:rsidRPr="003C5BA7">
              <w:rPr>
                <w:rFonts w:ascii="Lucida Bright" w:hAnsi="Lucida Bright" w:cs="Calibri"/>
                <w:b/>
                <w:bCs/>
                <w:color w:val="000000"/>
                <w:sz w:val="14"/>
                <w:szCs w:val="14"/>
                <w:lang w:val="es-ES"/>
              </w:rPr>
              <w:t xml:space="preserve">785.175.282,07 </w:t>
            </w:r>
          </w:p>
        </w:tc>
      </w:tr>
    </w:tbl>
    <w:p w:rsidR="008D60E9" w:rsidRDefault="008D60E9" w:rsidP="008D60E9">
      <w:pPr>
        <w:pStyle w:val="Sangra3detindependiente"/>
        <w:tabs>
          <w:tab w:val="clear" w:pos="5671"/>
          <w:tab w:val="clear" w:pos="7797"/>
        </w:tabs>
        <w:ind w:firstLine="0"/>
        <w:rPr>
          <w:rFonts w:ascii="NewBaskerville" w:hAnsi="NewBaskerville"/>
          <w:sz w:val="20"/>
          <w:szCs w:val="20"/>
        </w:rPr>
      </w:pPr>
    </w:p>
    <w:p w:rsidR="008D60E9" w:rsidRDefault="008D60E9" w:rsidP="008D60E9">
      <w:pPr>
        <w:pStyle w:val="Sangra3detindependiente"/>
        <w:tabs>
          <w:tab w:val="clear" w:pos="5671"/>
          <w:tab w:val="clear" w:pos="7797"/>
        </w:tabs>
        <w:ind w:firstLine="0"/>
        <w:rPr>
          <w:rFonts w:ascii="NewBaskerville" w:hAnsi="NewBaskerville"/>
          <w:sz w:val="20"/>
          <w:szCs w:val="20"/>
        </w:rPr>
      </w:pPr>
    </w:p>
    <w:p w:rsidR="008D60E9" w:rsidRDefault="008D60E9" w:rsidP="008D60E9">
      <w:pPr>
        <w:pStyle w:val="Sangra3detindependiente"/>
        <w:tabs>
          <w:tab w:val="clear" w:pos="5671"/>
          <w:tab w:val="clear" w:pos="7797"/>
        </w:tabs>
        <w:ind w:firstLine="0"/>
        <w:rPr>
          <w:rFonts w:ascii="NewBaskerville" w:hAnsi="NewBaskerville"/>
          <w:sz w:val="20"/>
          <w:szCs w:val="20"/>
        </w:rPr>
      </w:pPr>
    </w:p>
    <w:p w:rsidR="00FE5DBD" w:rsidRDefault="00FE5DBD" w:rsidP="008D60E9">
      <w:pPr>
        <w:pStyle w:val="Sangra3detindependiente"/>
        <w:tabs>
          <w:tab w:val="clear" w:pos="5671"/>
          <w:tab w:val="clear" w:pos="7797"/>
        </w:tabs>
        <w:ind w:firstLine="0"/>
        <w:rPr>
          <w:rFonts w:ascii="NewBaskerville" w:hAnsi="NewBaskerville"/>
          <w:sz w:val="20"/>
          <w:szCs w:val="20"/>
        </w:rPr>
      </w:pPr>
    </w:p>
    <w:p w:rsidR="008D60E9" w:rsidRDefault="008D60E9" w:rsidP="008D60E9">
      <w:pPr>
        <w:pStyle w:val="Sangra3detindependiente"/>
        <w:tabs>
          <w:tab w:val="clear" w:pos="5671"/>
          <w:tab w:val="clear" w:pos="7797"/>
        </w:tabs>
        <w:ind w:firstLine="0"/>
        <w:rPr>
          <w:rFonts w:ascii="NewBaskerville" w:hAnsi="NewBaskerville"/>
          <w:sz w:val="20"/>
          <w:szCs w:val="20"/>
        </w:rPr>
      </w:pPr>
    </w:p>
    <w:tbl>
      <w:tblPr>
        <w:tblW w:w="5000" w:type="pct"/>
        <w:tblCellMar>
          <w:left w:w="70" w:type="dxa"/>
          <w:right w:w="70" w:type="dxa"/>
        </w:tblCellMar>
        <w:tblLook w:val="04A0" w:firstRow="1" w:lastRow="0" w:firstColumn="1" w:lastColumn="0" w:noHBand="0" w:noVBand="1"/>
      </w:tblPr>
      <w:tblGrid>
        <w:gridCol w:w="3187"/>
        <w:gridCol w:w="184"/>
        <w:gridCol w:w="1221"/>
        <w:gridCol w:w="1137"/>
        <w:gridCol w:w="1091"/>
        <w:gridCol w:w="1074"/>
        <w:gridCol w:w="1074"/>
        <w:gridCol w:w="1074"/>
        <w:gridCol w:w="1146"/>
        <w:gridCol w:w="1195"/>
        <w:gridCol w:w="1195"/>
      </w:tblGrid>
      <w:tr w:rsidR="003C5BA7" w:rsidRPr="003C5BA7" w:rsidTr="003C5BA7">
        <w:trPr>
          <w:trHeight w:val="300"/>
        </w:trPr>
        <w:tc>
          <w:tcPr>
            <w:tcW w:w="2112" w:type="pct"/>
            <w:gridSpan w:val="4"/>
            <w:tcBorders>
              <w:top w:val="nil"/>
              <w:left w:val="nil"/>
              <w:bottom w:val="single" w:sz="4" w:space="0" w:color="auto"/>
              <w:right w:val="nil"/>
            </w:tcBorders>
            <w:shd w:val="clear" w:color="000000" w:fill="FFFFFF"/>
            <w:noWrap/>
            <w:vAlign w:val="center"/>
            <w:hideMark/>
          </w:tcPr>
          <w:p w:rsidR="003C5BA7" w:rsidRPr="003C5BA7" w:rsidRDefault="003C5BA7" w:rsidP="003C5BA7">
            <w:pPr>
              <w:rPr>
                <w:rFonts w:ascii="Lucida Bright" w:hAnsi="Lucida Bright" w:cs="Calibri"/>
                <w:b/>
                <w:bCs/>
                <w:sz w:val="18"/>
                <w:szCs w:val="18"/>
                <w:lang w:val="es-ES"/>
              </w:rPr>
            </w:pPr>
            <w:r w:rsidRPr="003C5BA7">
              <w:rPr>
                <w:rFonts w:ascii="Lucida Bright" w:hAnsi="Lucida Bright" w:cs="Calibri"/>
                <w:b/>
                <w:bCs/>
                <w:sz w:val="18"/>
                <w:szCs w:val="18"/>
                <w:lang w:val="es-ES"/>
              </w:rPr>
              <w:lastRenderedPageBreak/>
              <w:t>CUADRO: ALTAS DE INMOVILIZADO MATERIAL 2023</w:t>
            </w:r>
          </w:p>
        </w:tc>
        <w:tc>
          <w:tcPr>
            <w:tcW w:w="397" w:type="pct"/>
            <w:tcBorders>
              <w:top w:val="nil"/>
              <w:left w:val="nil"/>
              <w:bottom w:val="nil"/>
              <w:right w:val="nil"/>
            </w:tcBorders>
            <w:shd w:val="clear" w:color="000000" w:fill="FFFFFF"/>
            <w:noWrap/>
            <w:vAlign w:val="center"/>
            <w:hideMark/>
          </w:tcPr>
          <w:p w:rsidR="003C5BA7" w:rsidRPr="003C5BA7" w:rsidRDefault="003C5BA7" w:rsidP="003C5BA7">
            <w:pPr>
              <w:rPr>
                <w:rFonts w:ascii="Arial" w:hAnsi="Arial" w:cs="Arial"/>
                <w:lang w:val="es-ES"/>
              </w:rPr>
            </w:pPr>
            <w:r w:rsidRPr="003C5BA7">
              <w:rPr>
                <w:rFonts w:ascii="Arial" w:hAnsi="Arial" w:cs="Arial"/>
                <w:lang w:val="es-ES"/>
              </w:rPr>
              <w:t> </w:t>
            </w:r>
          </w:p>
        </w:tc>
        <w:tc>
          <w:tcPr>
            <w:tcW w:w="397" w:type="pct"/>
            <w:tcBorders>
              <w:top w:val="nil"/>
              <w:left w:val="nil"/>
              <w:bottom w:val="nil"/>
              <w:right w:val="nil"/>
            </w:tcBorders>
            <w:shd w:val="clear" w:color="000000" w:fill="FFFFFF"/>
            <w:noWrap/>
            <w:vAlign w:val="center"/>
            <w:hideMark/>
          </w:tcPr>
          <w:p w:rsidR="003C5BA7" w:rsidRPr="003C5BA7" w:rsidRDefault="003C5BA7" w:rsidP="003C5BA7">
            <w:pPr>
              <w:rPr>
                <w:rFonts w:ascii="Arial" w:hAnsi="Arial" w:cs="Arial"/>
                <w:lang w:val="es-ES"/>
              </w:rPr>
            </w:pPr>
            <w:r w:rsidRPr="003C5BA7">
              <w:rPr>
                <w:rFonts w:ascii="Arial" w:hAnsi="Arial" w:cs="Arial"/>
                <w:lang w:val="es-ES"/>
              </w:rPr>
              <w:t> </w:t>
            </w:r>
          </w:p>
        </w:tc>
        <w:tc>
          <w:tcPr>
            <w:tcW w:w="397" w:type="pct"/>
            <w:tcBorders>
              <w:top w:val="nil"/>
              <w:left w:val="nil"/>
              <w:bottom w:val="nil"/>
              <w:right w:val="nil"/>
            </w:tcBorders>
            <w:shd w:val="clear" w:color="000000" w:fill="FFFFFF"/>
            <w:noWrap/>
            <w:vAlign w:val="center"/>
            <w:hideMark/>
          </w:tcPr>
          <w:p w:rsidR="003C5BA7" w:rsidRPr="003C5BA7" w:rsidRDefault="003C5BA7" w:rsidP="003C5BA7">
            <w:pPr>
              <w:rPr>
                <w:rFonts w:ascii="Arial" w:hAnsi="Arial" w:cs="Arial"/>
                <w:lang w:val="es-ES"/>
              </w:rPr>
            </w:pPr>
            <w:r w:rsidRPr="003C5BA7">
              <w:rPr>
                <w:rFonts w:ascii="Arial" w:hAnsi="Arial" w:cs="Arial"/>
                <w:lang w:val="es-ES"/>
              </w:rPr>
              <w:t> </w:t>
            </w:r>
          </w:p>
        </w:tc>
        <w:tc>
          <w:tcPr>
            <w:tcW w:w="397" w:type="pct"/>
            <w:tcBorders>
              <w:top w:val="nil"/>
              <w:left w:val="nil"/>
              <w:bottom w:val="nil"/>
              <w:right w:val="nil"/>
            </w:tcBorders>
            <w:shd w:val="clear" w:color="000000" w:fill="FFFFFF"/>
            <w:noWrap/>
            <w:vAlign w:val="center"/>
            <w:hideMark/>
          </w:tcPr>
          <w:p w:rsidR="003C5BA7" w:rsidRPr="003C5BA7" w:rsidRDefault="003C5BA7" w:rsidP="003C5BA7">
            <w:pPr>
              <w:rPr>
                <w:rFonts w:ascii="Arial" w:hAnsi="Arial" w:cs="Arial"/>
                <w:lang w:val="es-ES"/>
              </w:rPr>
            </w:pPr>
            <w:r w:rsidRPr="003C5BA7">
              <w:rPr>
                <w:rFonts w:ascii="Arial" w:hAnsi="Arial" w:cs="Arial"/>
                <w:lang w:val="es-ES"/>
              </w:rPr>
              <w:t> </w:t>
            </w:r>
          </w:p>
        </w:tc>
        <w:tc>
          <w:tcPr>
            <w:tcW w:w="416" w:type="pct"/>
            <w:tcBorders>
              <w:top w:val="nil"/>
              <w:left w:val="nil"/>
              <w:bottom w:val="nil"/>
              <w:right w:val="nil"/>
            </w:tcBorders>
            <w:shd w:val="clear" w:color="000000" w:fill="FFFFFF"/>
            <w:noWrap/>
            <w:vAlign w:val="center"/>
            <w:hideMark/>
          </w:tcPr>
          <w:p w:rsidR="003C5BA7" w:rsidRPr="003C5BA7" w:rsidRDefault="003C5BA7" w:rsidP="003C5BA7">
            <w:pPr>
              <w:rPr>
                <w:rFonts w:ascii="Arial" w:hAnsi="Arial" w:cs="Arial"/>
                <w:lang w:val="es-ES"/>
              </w:rPr>
            </w:pPr>
            <w:r w:rsidRPr="003C5BA7">
              <w:rPr>
                <w:rFonts w:ascii="Arial" w:hAnsi="Arial" w:cs="Arial"/>
                <w:lang w:val="es-ES"/>
              </w:rPr>
              <w:t> </w:t>
            </w:r>
          </w:p>
        </w:tc>
        <w:tc>
          <w:tcPr>
            <w:tcW w:w="441" w:type="pct"/>
            <w:tcBorders>
              <w:top w:val="nil"/>
              <w:left w:val="nil"/>
              <w:bottom w:val="nil"/>
              <w:right w:val="nil"/>
            </w:tcBorders>
            <w:shd w:val="clear" w:color="000000" w:fill="FFFFFF"/>
            <w:noWrap/>
            <w:vAlign w:val="center"/>
            <w:hideMark/>
          </w:tcPr>
          <w:p w:rsidR="003C5BA7" w:rsidRPr="003C5BA7" w:rsidRDefault="003C5BA7" w:rsidP="003C5BA7">
            <w:pPr>
              <w:rPr>
                <w:rFonts w:ascii="Arial" w:hAnsi="Arial" w:cs="Arial"/>
                <w:lang w:val="es-ES"/>
              </w:rPr>
            </w:pPr>
            <w:r w:rsidRPr="003C5BA7">
              <w:rPr>
                <w:rFonts w:ascii="Arial" w:hAnsi="Arial" w:cs="Arial"/>
                <w:lang w:val="es-ES"/>
              </w:rPr>
              <w:t> </w:t>
            </w:r>
          </w:p>
        </w:tc>
        <w:tc>
          <w:tcPr>
            <w:tcW w:w="441" w:type="pct"/>
            <w:tcBorders>
              <w:top w:val="nil"/>
              <w:left w:val="nil"/>
              <w:bottom w:val="nil"/>
              <w:right w:val="nil"/>
            </w:tcBorders>
            <w:shd w:val="clear" w:color="000000" w:fill="FFFFFF"/>
            <w:noWrap/>
            <w:vAlign w:val="bottom"/>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(en euros)</w:t>
            </w:r>
          </w:p>
        </w:tc>
      </w:tr>
      <w:tr w:rsidR="003C5BA7" w:rsidRPr="003C5BA7" w:rsidTr="003C5BA7">
        <w:trPr>
          <w:trHeight w:val="915"/>
        </w:trPr>
        <w:tc>
          <w:tcPr>
            <w:tcW w:w="1241" w:type="pct"/>
            <w:gridSpan w:val="2"/>
            <w:tcBorders>
              <w:top w:val="single" w:sz="4" w:space="0" w:color="auto"/>
              <w:left w:val="single" w:sz="4" w:space="0" w:color="auto"/>
              <w:bottom w:val="single" w:sz="4" w:space="0" w:color="auto"/>
              <w:right w:val="single" w:sz="4" w:space="0" w:color="000000"/>
            </w:tcBorders>
            <w:shd w:val="clear" w:color="000000" w:fill="CCFFCC"/>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CONCEPTO</w:t>
            </w:r>
          </w:p>
        </w:tc>
        <w:tc>
          <w:tcPr>
            <w:tcW w:w="451" w:type="pct"/>
            <w:tcBorders>
              <w:top w:val="nil"/>
              <w:left w:val="nil"/>
              <w:bottom w:val="single" w:sz="4" w:space="0" w:color="auto"/>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sz w:val="14"/>
                <w:szCs w:val="14"/>
                <w:lang w:val="es-ES"/>
              </w:rPr>
            </w:pPr>
            <w:r w:rsidRPr="003C5BA7">
              <w:rPr>
                <w:rFonts w:ascii="Lucida Bright" w:hAnsi="Lucida Bright" w:cs="Calibri"/>
                <w:sz w:val="14"/>
                <w:szCs w:val="14"/>
                <w:lang w:val="es-ES"/>
              </w:rPr>
              <w:t>Adquisiciones</w:t>
            </w:r>
            <w:r w:rsidRPr="003C5BA7">
              <w:rPr>
                <w:rFonts w:ascii="Lucida Bright" w:hAnsi="Lucida Bright" w:cs="Calibri"/>
                <w:sz w:val="14"/>
                <w:szCs w:val="14"/>
                <w:lang w:val="es-ES"/>
              </w:rPr>
              <w:br/>
              <w:t>a proveedores</w:t>
            </w:r>
            <w:r w:rsidRPr="003C5BA7">
              <w:rPr>
                <w:rFonts w:ascii="Lucida Bright" w:hAnsi="Lucida Bright" w:cs="Calibri"/>
                <w:sz w:val="14"/>
                <w:szCs w:val="14"/>
                <w:lang w:val="es-ES"/>
              </w:rPr>
              <w:br/>
              <w:t>externos</w:t>
            </w:r>
          </w:p>
        </w:tc>
        <w:tc>
          <w:tcPr>
            <w:tcW w:w="420" w:type="pct"/>
            <w:tcBorders>
              <w:top w:val="nil"/>
              <w:left w:val="nil"/>
              <w:bottom w:val="single" w:sz="4" w:space="0" w:color="auto"/>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sz w:val="14"/>
                <w:szCs w:val="14"/>
                <w:lang w:val="es-ES"/>
              </w:rPr>
            </w:pPr>
            <w:r w:rsidRPr="003C5BA7">
              <w:rPr>
                <w:rFonts w:ascii="Lucida Bright" w:hAnsi="Lucida Bright" w:cs="Calibri"/>
                <w:sz w:val="14"/>
                <w:szCs w:val="14"/>
                <w:lang w:val="es-ES"/>
              </w:rPr>
              <w:t>Adquisiciones</w:t>
            </w:r>
            <w:r w:rsidRPr="003C5BA7">
              <w:rPr>
                <w:rFonts w:ascii="Lucida Bright" w:hAnsi="Lucida Bright" w:cs="Calibri"/>
                <w:sz w:val="14"/>
                <w:szCs w:val="14"/>
                <w:lang w:val="es-ES"/>
              </w:rPr>
              <w:br/>
              <w:t>a otras AA.PP. y</w:t>
            </w:r>
            <w:r w:rsidRPr="003C5BA7">
              <w:rPr>
                <w:rFonts w:ascii="Lucida Bright" w:hAnsi="Lucida Bright" w:cs="Calibri"/>
                <w:sz w:val="14"/>
                <w:szCs w:val="14"/>
                <w:lang w:val="es-ES"/>
              </w:rPr>
              <w:br/>
              <w:t>Puertos del Estado</w:t>
            </w:r>
          </w:p>
        </w:tc>
        <w:tc>
          <w:tcPr>
            <w:tcW w:w="397" w:type="pct"/>
            <w:tcBorders>
              <w:top w:val="single" w:sz="4" w:space="0" w:color="auto"/>
              <w:left w:val="nil"/>
              <w:bottom w:val="single" w:sz="4" w:space="0" w:color="auto"/>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sz w:val="14"/>
                <w:szCs w:val="14"/>
                <w:lang w:val="es-ES"/>
              </w:rPr>
            </w:pPr>
            <w:r w:rsidRPr="003C5BA7">
              <w:rPr>
                <w:rFonts w:ascii="Lucida Bright" w:hAnsi="Lucida Bright" w:cs="Calibri"/>
                <w:sz w:val="14"/>
                <w:szCs w:val="14"/>
                <w:lang w:val="es-ES"/>
              </w:rPr>
              <w:t>Incorporación al activo de gastos financieros</w:t>
            </w:r>
          </w:p>
        </w:tc>
        <w:tc>
          <w:tcPr>
            <w:tcW w:w="397" w:type="pct"/>
            <w:tcBorders>
              <w:top w:val="single" w:sz="4" w:space="0" w:color="auto"/>
              <w:left w:val="nil"/>
              <w:bottom w:val="single" w:sz="4" w:space="0" w:color="auto"/>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sz w:val="14"/>
                <w:szCs w:val="14"/>
                <w:lang w:val="es-ES"/>
              </w:rPr>
            </w:pPr>
            <w:r w:rsidRPr="003C5BA7">
              <w:rPr>
                <w:rFonts w:ascii="Lucida Bright" w:hAnsi="Lucida Bright" w:cs="Calibri"/>
                <w:sz w:val="14"/>
                <w:szCs w:val="14"/>
                <w:lang w:val="es-ES"/>
              </w:rPr>
              <w:t>Activos</w:t>
            </w:r>
            <w:r w:rsidRPr="003C5BA7">
              <w:rPr>
                <w:rFonts w:ascii="Lucida Bright" w:hAnsi="Lucida Bright" w:cs="Calibri"/>
                <w:sz w:val="14"/>
                <w:szCs w:val="14"/>
                <w:lang w:val="es-ES"/>
              </w:rPr>
              <w:br/>
              <w:t>subsumidos</w:t>
            </w:r>
            <w:r w:rsidRPr="003C5BA7">
              <w:rPr>
                <w:rFonts w:ascii="Lucida Bright" w:hAnsi="Lucida Bright" w:cs="Calibri"/>
                <w:sz w:val="14"/>
                <w:szCs w:val="14"/>
                <w:lang w:val="es-ES"/>
              </w:rPr>
              <w:br/>
              <w:t>en otros</w:t>
            </w:r>
          </w:p>
        </w:tc>
        <w:tc>
          <w:tcPr>
            <w:tcW w:w="397" w:type="pct"/>
            <w:tcBorders>
              <w:top w:val="single" w:sz="4" w:space="0" w:color="auto"/>
              <w:left w:val="nil"/>
              <w:bottom w:val="nil"/>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sz w:val="14"/>
                <w:szCs w:val="14"/>
                <w:lang w:val="es-ES"/>
              </w:rPr>
            </w:pPr>
            <w:r w:rsidRPr="003C5BA7">
              <w:rPr>
                <w:rFonts w:ascii="Lucida Bright" w:hAnsi="Lucida Bright" w:cs="Calibri"/>
                <w:sz w:val="14"/>
                <w:szCs w:val="14"/>
                <w:lang w:val="es-ES"/>
              </w:rPr>
              <w:t>Concesiones</w:t>
            </w:r>
            <w:r w:rsidRPr="003C5BA7">
              <w:rPr>
                <w:rFonts w:ascii="Lucida Bright" w:hAnsi="Lucida Bright" w:cs="Calibri"/>
                <w:sz w:val="14"/>
                <w:szCs w:val="14"/>
                <w:lang w:val="es-ES"/>
              </w:rPr>
              <w:br/>
              <w:t>revertidas, donaciones y legados</w:t>
            </w:r>
          </w:p>
        </w:tc>
        <w:tc>
          <w:tcPr>
            <w:tcW w:w="397" w:type="pct"/>
            <w:tcBorders>
              <w:top w:val="single" w:sz="4" w:space="0" w:color="auto"/>
              <w:left w:val="nil"/>
              <w:bottom w:val="nil"/>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sz w:val="14"/>
                <w:szCs w:val="14"/>
                <w:lang w:val="es-ES"/>
              </w:rPr>
            </w:pPr>
            <w:r w:rsidRPr="003C5BA7">
              <w:rPr>
                <w:rFonts w:ascii="Lucida Bright" w:hAnsi="Lucida Bright" w:cs="Calibri"/>
                <w:sz w:val="14"/>
                <w:szCs w:val="14"/>
                <w:lang w:val="es-ES"/>
              </w:rPr>
              <w:t>Rescate</w:t>
            </w:r>
            <w:r w:rsidRPr="003C5BA7">
              <w:rPr>
                <w:rFonts w:ascii="Lucida Bright" w:hAnsi="Lucida Bright" w:cs="Calibri"/>
                <w:sz w:val="14"/>
                <w:szCs w:val="14"/>
                <w:lang w:val="es-ES"/>
              </w:rPr>
              <w:br/>
              <w:t>anticipado de</w:t>
            </w:r>
            <w:r w:rsidRPr="003C5BA7">
              <w:rPr>
                <w:rFonts w:ascii="Lucida Bright" w:hAnsi="Lucida Bright" w:cs="Calibri"/>
                <w:sz w:val="14"/>
                <w:szCs w:val="14"/>
                <w:lang w:val="es-ES"/>
              </w:rPr>
              <w:br/>
              <w:t>concesiones</w:t>
            </w:r>
          </w:p>
        </w:tc>
        <w:tc>
          <w:tcPr>
            <w:tcW w:w="416" w:type="pct"/>
            <w:tcBorders>
              <w:top w:val="single" w:sz="4" w:space="0" w:color="auto"/>
              <w:left w:val="nil"/>
              <w:bottom w:val="single" w:sz="4" w:space="0" w:color="auto"/>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sz w:val="14"/>
                <w:szCs w:val="14"/>
                <w:lang w:val="es-ES"/>
              </w:rPr>
            </w:pPr>
            <w:r w:rsidRPr="003C5BA7">
              <w:rPr>
                <w:rFonts w:ascii="Lucida Bright" w:hAnsi="Lucida Bright" w:cs="Calibri"/>
                <w:sz w:val="14"/>
                <w:szCs w:val="14"/>
                <w:lang w:val="es-ES"/>
              </w:rPr>
              <w:t>Transferencias</w:t>
            </w:r>
            <w:r w:rsidRPr="003C5BA7">
              <w:rPr>
                <w:rFonts w:ascii="Lucida Bright" w:hAnsi="Lucida Bright" w:cs="Calibri"/>
                <w:sz w:val="14"/>
                <w:szCs w:val="14"/>
                <w:lang w:val="es-ES"/>
              </w:rPr>
              <w:br/>
              <w:t>desde otros</w:t>
            </w:r>
            <w:r w:rsidRPr="003C5BA7">
              <w:rPr>
                <w:rFonts w:ascii="Lucida Bright" w:hAnsi="Lucida Bright" w:cs="Calibri"/>
                <w:sz w:val="14"/>
                <w:szCs w:val="14"/>
                <w:lang w:val="es-ES"/>
              </w:rPr>
              <w:br/>
              <w:t>org. públicos y otras altas</w:t>
            </w:r>
          </w:p>
        </w:tc>
        <w:tc>
          <w:tcPr>
            <w:tcW w:w="441" w:type="pct"/>
            <w:tcBorders>
              <w:top w:val="single" w:sz="4" w:space="0" w:color="auto"/>
              <w:left w:val="nil"/>
              <w:bottom w:val="single" w:sz="4" w:space="0" w:color="auto"/>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sz w:val="14"/>
                <w:szCs w:val="14"/>
                <w:lang w:val="es-ES"/>
              </w:rPr>
            </w:pPr>
            <w:r w:rsidRPr="003C5BA7">
              <w:rPr>
                <w:rFonts w:ascii="Lucida Bright" w:hAnsi="Lucida Bright" w:cs="Calibri"/>
                <w:sz w:val="14"/>
                <w:szCs w:val="14"/>
                <w:lang w:val="es-ES"/>
              </w:rPr>
              <w:t>Traspasos de inmovilizado</w:t>
            </w:r>
            <w:r w:rsidRPr="003C5BA7">
              <w:rPr>
                <w:rFonts w:ascii="Lucida Bright" w:hAnsi="Lucida Bright" w:cs="Calibri"/>
                <w:sz w:val="14"/>
                <w:szCs w:val="14"/>
                <w:lang w:val="es-ES"/>
              </w:rPr>
              <w:br/>
              <w:t>en curso</w:t>
            </w:r>
          </w:p>
        </w:tc>
        <w:tc>
          <w:tcPr>
            <w:tcW w:w="441" w:type="pct"/>
            <w:tcBorders>
              <w:top w:val="single" w:sz="4" w:space="0" w:color="auto"/>
              <w:left w:val="nil"/>
              <w:bottom w:val="single" w:sz="4" w:space="0" w:color="auto"/>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sz w:val="14"/>
                <w:szCs w:val="14"/>
                <w:lang w:val="es-ES"/>
              </w:rPr>
            </w:pPr>
            <w:r w:rsidRPr="003C5BA7">
              <w:rPr>
                <w:rFonts w:ascii="Lucida Bright" w:hAnsi="Lucida Bright" w:cs="Calibri"/>
                <w:sz w:val="14"/>
                <w:szCs w:val="14"/>
                <w:lang w:val="es-ES"/>
              </w:rPr>
              <w:t>Total altas</w:t>
            </w:r>
            <w:r w:rsidRPr="003C5BA7">
              <w:rPr>
                <w:rFonts w:ascii="Lucida Bright" w:hAnsi="Lucida Bright" w:cs="Calibri"/>
                <w:sz w:val="14"/>
                <w:szCs w:val="14"/>
                <w:lang w:val="es-ES"/>
              </w:rPr>
              <w:br/>
              <w:t>del ejercicio</w:t>
            </w:r>
            <w:r w:rsidRPr="003C5BA7">
              <w:rPr>
                <w:rFonts w:ascii="Lucida Bright" w:hAnsi="Lucida Bright" w:cs="Calibri"/>
                <w:sz w:val="14"/>
                <w:szCs w:val="14"/>
                <w:lang w:val="es-ES"/>
              </w:rPr>
              <w:br/>
              <w:t>2023</w:t>
            </w:r>
          </w:p>
        </w:tc>
      </w:tr>
      <w:tr w:rsidR="003C5BA7" w:rsidRPr="003C5BA7" w:rsidTr="003C5BA7">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 xml:space="preserve"> a) Terrenos y bienes naturales</w:t>
            </w:r>
          </w:p>
        </w:tc>
        <w:tc>
          <w:tcPr>
            <w:tcW w:w="4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840.789,37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840.789,37 </w:t>
            </w:r>
          </w:p>
        </w:tc>
      </w:tr>
      <w:tr w:rsidR="003C5BA7" w:rsidRPr="003C5BA7" w:rsidTr="003C5BA7">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 xml:space="preserve"> b) Construcciones</w:t>
            </w:r>
          </w:p>
        </w:tc>
        <w:tc>
          <w:tcPr>
            <w:tcW w:w="4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32.141.072,07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32.141.072,07 </w:t>
            </w:r>
          </w:p>
        </w:tc>
      </w:tr>
      <w:tr w:rsidR="003C5BA7" w:rsidRPr="003C5BA7" w:rsidTr="003C5BA7">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Accesos marítimos</w:t>
            </w:r>
          </w:p>
        </w:tc>
        <w:tc>
          <w:tcPr>
            <w:tcW w:w="4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r>
      <w:tr w:rsidR="003C5BA7" w:rsidRPr="003C5BA7" w:rsidTr="003C5BA7">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Obras de abrigo y defensa</w:t>
            </w:r>
          </w:p>
        </w:tc>
        <w:tc>
          <w:tcPr>
            <w:tcW w:w="4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r>
      <w:tr w:rsidR="003C5BA7" w:rsidRPr="003C5BA7" w:rsidTr="003C5BA7">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Obras de atraque</w:t>
            </w:r>
          </w:p>
        </w:tc>
        <w:tc>
          <w:tcPr>
            <w:tcW w:w="4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3.538.883,65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3.538.883,65 </w:t>
            </w:r>
          </w:p>
        </w:tc>
      </w:tr>
      <w:tr w:rsidR="003C5BA7" w:rsidRPr="003C5BA7" w:rsidTr="003C5BA7">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Instalaciones para reparación de barcos</w:t>
            </w:r>
          </w:p>
        </w:tc>
        <w:tc>
          <w:tcPr>
            <w:tcW w:w="4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r>
      <w:tr w:rsidR="003C5BA7" w:rsidRPr="003C5BA7" w:rsidTr="003C5BA7">
        <w:trPr>
          <w:trHeight w:val="210"/>
        </w:trPr>
        <w:tc>
          <w:tcPr>
            <w:tcW w:w="1175" w:type="pct"/>
            <w:tcBorders>
              <w:top w:val="nil"/>
              <w:left w:val="single" w:sz="4" w:space="0" w:color="auto"/>
              <w:bottom w:val="single" w:sz="4" w:space="0" w:color="auto"/>
              <w:right w:val="nil"/>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Edificaciones</w:t>
            </w:r>
          </w:p>
        </w:tc>
        <w:tc>
          <w:tcPr>
            <w:tcW w:w="6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14.726.203,40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14.726.203,40 </w:t>
            </w:r>
          </w:p>
        </w:tc>
      </w:tr>
      <w:tr w:rsidR="003C5BA7" w:rsidRPr="003C5BA7" w:rsidTr="003C5BA7">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Instalaciones generales</w:t>
            </w:r>
          </w:p>
        </w:tc>
        <w:tc>
          <w:tcPr>
            <w:tcW w:w="4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8.093.759,80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8.093.759,80 </w:t>
            </w:r>
          </w:p>
        </w:tc>
      </w:tr>
      <w:tr w:rsidR="003C5BA7" w:rsidRPr="003C5BA7" w:rsidTr="003C5BA7">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Pavimentos, calzadas y vías de circulación</w:t>
            </w:r>
          </w:p>
        </w:tc>
        <w:tc>
          <w:tcPr>
            <w:tcW w:w="451"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0"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16"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nil"/>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5.782.225,22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5.782.225,22 </w:t>
            </w:r>
          </w:p>
        </w:tc>
      </w:tr>
      <w:tr w:rsidR="003C5BA7" w:rsidRPr="003C5BA7" w:rsidTr="003C5BA7">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 xml:space="preserve"> c) Equipamientos e instalaciones técnicas</w:t>
            </w:r>
          </w:p>
        </w:tc>
        <w:tc>
          <w:tcPr>
            <w:tcW w:w="451"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420"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416"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441"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502.380,73 </w:t>
            </w:r>
          </w:p>
        </w:tc>
        <w:tc>
          <w:tcPr>
            <w:tcW w:w="441"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502.380,73 </w:t>
            </w:r>
          </w:p>
        </w:tc>
      </w:tr>
      <w:tr w:rsidR="003C5BA7" w:rsidRPr="003C5BA7" w:rsidTr="003C5BA7">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Instalaciones de ayuda a la navegación</w:t>
            </w:r>
          </w:p>
        </w:tc>
        <w:tc>
          <w:tcPr>
            <w:tcW w:w="4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313.383,08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313.383,08 </w:t>
            </w:r>
          </w:p>
        </w:tc>
      </w:tr>
      <w:tr w:rsidR="003C5BA7" w:rsidRPr="003C5BA7" w:rsidTr="003C5BA7">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Equipo de manipulación de </w:t>
            </w:r>
            <w:r w:rsidR="00416638" w:rsidRPr="003C5BA7">
              <w:rPr>
                <w:rFonts w:ascii="Lucida Bright" w:hAnsi="Lucida Bright" w:cs="Calibri"/>
                <w:sz w:val="14"/>
                <w:szCs w:val="14"/>
                <w:lang w:val="es-ES"/>
              </w:rPr>
              <w:t>mercancías</w:t>
            </w:r>
          </w:p>
        </w:tc>
        <w:tc>
          <w:tcPr>
            <w:tcW w:w="4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188.997,65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188.997,65 </w:t>
            </w:r>
          </w:p>
        </w:tc>
      </w:tr>
      <w:tr w:rsidR="003C5BA7" w:rsidRPr="003C5BA7" w:rsidTr="003C5BA7">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Material flotante</w:t>
            </w:r>
          </w:p>
        </w:tc>
        <w:tc>
          <w:tcPr>
            <w:tcW w:w="4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r>
      <w:tr w:rsidR="003C5BA7" w:rsidRPr="003C5BA7" w:rsidTr="003C5BA7">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Material ferroviario</w:t>
            </w:r>
          </w:p>
        </w:tc>
        <w:tc>
          <w:tcPr>
            <w:tcW w:w="4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r>
      <w:tr w:rsidR="003C5BA7" w:rsidRPr="003C5BA7" w:rsidTr="003C5BA7">
        <w:trPr>
          <w:trHeight w:val="210"/>
        </w:trPr>
        <w:tc>
          <w:tcPr>
            <w:tcW w:w="1175" w:type="pct"/>
            <w:tcBorders>
              <w:top w:val="nil"/>
              <w:left w:val="single" w:sz="4" w:space="0" w:color="auto"/>
              <w:bottom w:val="nil"/>
              <w:right w:val="nil"/>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Equipo de taller</w:t>
            </w:r>
          </w:p>
        </w:tc>
        <w:tc>
          <w:tcPr>
            <w:tcW w:w="67" w:type="pct"/>
            <w:tcBorders>
              <w:top w:val="nil"/>
              <w:left w:val="nil"/>
              <w:bottom w:val="nil"/>
              <w:right w:val="nil"/>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51" w:type="pct"/>
            <w:tcBorders>
              <w:top w:val="nil"/>
              <w:left w:val="single" w:sz="4" w:space="0" w:color="auto"/>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r>
      <w:tr w:rsidR="003C5BA7" w:rsidRPr="003C5BA7" w:rsidTr="003C5BA7">
        <w:trPr>
          <w:trHeight w:val="210"/>
        </w:trPr>
        <w:tc>
          <w:tcPr>
            <w:tcW w:w="1241"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Energías renovables y transición energética</w:t>
            </w:r>
          </w:p>
        </w:tc>
        <w:tc>
          <w:tcPr>
            <w:tcW w:w="451" w:type="pct"/>
            <w:tcBorders>
              <w:top w:val="nil"/>
              <w:left w:val="single" w:sz="4" w:space="0" w:color="auto"/>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r>
      <w:tr w:rsidR="003C5BA7" w:rsidRPr="003C5BA7" w:rsidTr="003C5BA7">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 xml:space="preserve"> d) Otro inmovilizado</w:t>
            </w:r>
          </w:p>
        </w:tc>
        <w:tc>
          <w:tcPr>
            <w:tcW w:w="4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3.787.724,00 </w:t>
            </w:r>
          </w:p>
        </w:tc>
        <w:tc>
          <w:tcPr>
            <w:tcW w:w="441"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3.787.724,00 </w:t>
            </w:r>
          </w:p>
        </w:tc>
      </w:tr>
      <w:tr w:rsidR="003C5BA7" w:rsidRPr="003C5BA7" w:rsidTr="003C5BA7">
        <w:trPr>
          <w:trHeight w:val="210"/>
        </w:trPr>
        <w:tc>
          <w:tcPr>
            <w:tcW w:w="1175" w:type="pct"/>
            <w:tcBorders>
              <w:top w:val="nil"/>
              <w:left w:val="single" w:sz="4" w:space="0" w:color="auto"/>
              <w:bottom w:val="single" w:sz="4" w:space="0" w:color="auto"/>
              <w:right w:val="nil"/>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Mobiliario</w:t>
            </w:r>
          </w:p>
        </w:tc>
        <w:tc>
          <w:tcPr>
            <w:tcW w:w="6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213.343,09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213.343,09 </w:t>
            </w:r>
          </w:p>
        </w:tc>
      </w:tr>
      <w:tr w:rsidR="003C5BA7" w:rsidRPr="003C5BA7" w:rsidTr="003C5BA7">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Equipos de proceso de información</w:t>
            </w:r>
          </w:p>
        </w:tc>
        <w:tc>
          <w:tcPr>
            <w:tcW w:w="4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1.805.881,83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1.805.881,83 </w:t>
            </w:r>
          </w:p>
        </w:tc>
      </w:tr>
      <w:tr w:rsidR="003C5BA7" w:rsidRPr="003C5BA7" w:rsidTr="003C5BA7">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Elementos de transporte</w:t>
            </w:r>
          </w:p>
        </w:tc>
        <w:tc>
          <w:tcPr>
            <w:tcW w:w="4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535.092,25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535.092,25 </w:t>
            </w:r>
          </w:p>
        </w:tc>
      </w:tr>
      <w:tr w:rsidR="003C5BA7" w:rsidRPr="003C5BA7" w:rsidTr="003C5BA7">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Otro inmovilizado material</w:t>
            </w:r>
          </w:p>
        </w:tc>
        <w:tc>
          <w:tcPr>
            <w:tcW w:w="451"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0"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16"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41" w:type="pct"/>
            <w:tcBorders>
              <w:top w:val="nil"/>
              <w:left w:val="nil"/>
              <w:bottom w:val="nil"/>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1.233.406,83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1.233.406,83 </w:t>
            </w:r>
          </w:p>
        </w:tc>
      </w:tr>
      <w:tr w:rsidR="003C5BA7" w:rsidRPr="003C5BA7" w:rsidTr="003C5BA7">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TOTAL INMOVILIZADO MATERIAL</w:t>
            </w:r>
          </w:p>
        </w:tc>
        <w:tc>
          <w:tcPr>
            <w:tcW w:w="451"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420"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416"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441"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37.271.966,17 </w:t>
            </w:r>
          </w:p>
        </w:tc>
        <w:tc>
          <w:tcPr>
            <w:tcW w:w="441"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37.271.966,17 </w:t>
            </w:r>
          </w:p>
        </w:tc>
      </w:tr>
      <w:tr w:rsidR="003C5BA7" w:rsidRPr="003C5BA7" w:rsidTr="003C5BA7">
        <w:trPr>
          <w:trHeight w:val="210"/>
        </w:trPr>
        <w:tc>
          <w:tcPr>
            <w:tcW w:w="1175" w:type="pct"/>
            <w:tcBorders>
              <w:top w:val="nil"/>
              <w:left w:val="single" w:sz="4" w:space="0" w:color="auto"/>
              <w:bottom w:val="single" w:sz="4" w:space="0" w:color="auto"/>
              <w:right w:val="nil"/>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ANTICIPOS E INMOVILIZADO EN CURSO</w:t>
            </w:r>
          </w:p>
        </w:tc>
        <w:tc>
          <w:tcPr>
            <w:tcW w:w="67" w:type="pct"/>
            <w:tcBorders>
              <w:top w:val="nil"/>
              <w:left w:val="nil"/>
              <w:bottom w:val="nil"/>
              <w:right w:val="nil"/>
            </w:tcBorders>
            <w:shd w:val="clear" w:color="auto" w:fill="auto"/>
            <w:noWrap/>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 </w:t>
            </w:r>
          </w:p>
        </w:tc>
        <w:tc>
          <w:tcPr>
            <w:tcW w:w="451" w:type="pct"/>
            <w:tcBorders>
              <w:top w:val="nil"/>
              <w:left w:val="single" w:sz="4" w:space="0" w:color="auto"/>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39.632.030,52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14.401,08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(37.271.966,17)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2.374.465,43 </w:t>
            </w:r>
          </w:p>
        </w:tc>
      </w:tr>
      <w:tr w:rsidR="003C5BA7" w:rsidRPr="003C5BA7" w:rsidTr="003C5BA7">
        <w:trPr>
          <w:trHeight w:val="210"/>
        </w:trPr>
        <w:tc>
          <w:tcPr>
            <w:tcW w:w="1175" w:type="pct"/>
            <w:tcBorders>
              <w:top w:val="nil"/>
              <w:left w:val="single" w:sz="4" w:space="0" w:color="auto"/>
              <w:bottom w:val="single" w:sz="4" w:space="0" w:color="auto"/>
              <w:right w:val="nil"/>
            </w:tcBorders>
            <w:shd w:val="clear" w:color="000000" w:fill="FFFFFF"/>
            <w:noWrap/>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TOTAL</w:t>
            </w:r>
          </w:p>
        </w:tc>
        <w:tc>
          <w:tcPr>
            <w:tcW w:w="67"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 </w:t>
            </w:r>
          </w:p>
        </w:tc>
        <w:tc>
          <w:tcPr>
            <w:tcW w:w="4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39.632.030,52 </w:t>
            </w:r>
          </w:p>
        </w:tc>
        <w:tc>
          <w:tcPr>
            <w:tcW w:w="42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41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14.401,08 </w:t>
            </w:r>
          </w:p>
        </w:tc>
        <w:tc>
          <w:tcPr>
            <w:tcW w:w="44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441"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39.646.431,60 </w:t>
            </w:r>
          </w:p>
        </w:tc>
      </w:tr>
    </w:tbl>
    <w:p w:rsidR="008D60E9" w:rsidRDefault="008D60E9" w:rsidP="008D60E9">
      <w:pPr>
        <w:pStyle w:val="Sangra3detindependiente"/>
        <w:tabs>
          <w:tab w:val="clear" w:pos="5671"/>
          <w:tab w:val="clear" w:pos="7797"/>
        </w:tabs>
        <w:ind w:firstLine="0"/>
        <w:rPr>
          <w:rFonts w:ascii="NewBaskerville" w:hAnsi="NewBaskerville"/>
          <w:sz w:val="20"/>
          <w:szCs w:val="20"/>
        </w:rPr>
      </w:pPr>
    </w:p>
    <w:p w:rsidR="008D60E9" w:rsidRDefault="008D60E9" w:rsidP="008D60E9">
      <w:pPr>
        <w:pStyle w:val="Sangra3detindependiente"/>
        <w:tabs>
          <w:tab w:val="clear" w:pos="5671"/>
          <w:tab w:val="clear" w:pos="7797"/>
        </w:tabs>
        <w:ind w:firstLine="0"/>
        <w:rPr>
          <w:rFonts w:ascii="NewBaskerville" w:hAnsi="NewBaskerville"/>
          <w:sz w:val="20"/>
          <w:szCs w:val="20"/>
        </w:rPr>
      </w:pPr>
    </w:p>
    <w:p w:rsidR="008D60E9" w:rsidRDefault="008D60E9" w:rsidP="008D60E9">
      <w:pPr>
        <w:pStyle w:val="Sangra3detindependiente"/>
        <w:tabs>
          <w:tab w:val="clear" w:pos="5671"/>
          <w:tab w:val="clear" w:pos="7797"/>
        </w:tabs>
        <w:ind w:firstLine="0"/>
        <w:rPr>
          <w:rFonts w:ascii="NewBaskerville" w:hAnsi="NewBaskerville"/>
          <w:sz w:val="20"/>
          <w:szCs w:val="20"/>
        </w:rPr>
      </w:pPr>
    </w:p>
    <w:p w:rsidR="008D60E9" w:rsidRDefault="008D60E9" w:rsidP="003F45CD">
      <w:pPr>
        <w:pStyle w:val="Sangra3detindependiente"/>
        <w:tabs>
          <w:tab w:val="clear" w:pos="5671"/>
          <w:tab w:val="clear" w:pos="7797"/>
        </w:tabs>
        <w:rPr>
          <w:rFonts w:ascii="NewBaskerville" w:hAnsi="NewBaskerville"/>
          <w:sz w:val="20"/>
          <w:szCs w:val="20"/>
        </w:rPr>
      </w:pPr>
    </w:p>
    <w:p w:rsidR="008D60E9" w:rsidRDefault="008D60E9" w:rsidP="003F45CD">
      <w:pPr>
        <w:pStyle w:val="Sangra3detindependiente"/>
        <w:tabs>
          <w:tab w:val="clear" w:pos="5671"/>
          <w:tab w:val="clear" w:pos="7797"/>
        </w:tabs>
        <w:rPr>
          <w:rFonts w:ascii="NewBaskerville" w:hAnsi="NewBaskerville"/>
          <w:sz w:val="20"/>
          <w:szCs w:val="20"/>
        </w:rPr>
      </w:pPr>
    </w:p>
    <w:p w:rsidR="008D60E9" w:rsidRDefault="008D60E9" w:rsidP="003F45CD">
      <w:pPr>
        <w:pStyle w:val="Sangra3detindependiente"/>
        <w:tabs>
          <w:tab w:val="clear" w:pos="5671"/>
          <w:tab w:val="clear" w:pos="7797"/>
        </w:tabs>
        <w:rPr>
          <w:rFonts w:ascii="NewBaskerville" w:hAnsi="NewBaskerville"/>
          <w:sz w:val="20"/>
          <w:szCs w:val="20"/>
        </w:rPr>
      </w:pPr>
    </w:p>
    <w:p w:rsidR="00FE5DBD" w:rsidRDefault="00FE5DBD" w:rsidP="003F45CD">
      <w:pPr>
        <w:pStyle w:val="Sangra3detindependiente"/>
        <w:tabs>
          <w:tab w:val="clear" w:pos="5671"/>
          <w:tab w:val="clear" w:pos="7797"/>
        </w:tabs>
        <w:rPr>
          <w:rFonts w:ascii="NewBaskerville" w:hAnsi="NewBaskerville"/>
          <w:sz w:val="20"/>
          <w:szCs w:val="20"/>
        </w:rPr>
      </w:pPr>
    </w:p>
    <w:tbl>
      <w:tblPr>
        <w:tblW w:w="5429" w:type="pct"/>
        <w:tblInd w:w="-639" w:type="dxa"/>
        <w:tblCellMar>
          <w:left w:w="70" w:type="dxa"/>
          <w:right w:w="70" w:type="dxa"/>
        </w:tblCellMar>
        <w:tblLook w:val="04A0" w:firstRow="1" w:lastRow="0" w:firstColumn="1" w:lastColumn="0" w:noHBand="0" w:noVBand="1"/>
      </w:tblPr>
      <w:tblGrid>
        <w:gridCol w:w="2887"/>
        <w:gridCol w:w="401"/>
        <w:gridCol w:w="1213"/>
        <w:gridCol w:w="1126"/>
        <w:gridCol w:w="1129"/>
        <w:gridCol w:w="992"/>
        <w:gridCol w:w="1192"/>
        <w:gridCol w:w="1069"/>
        <w:gridCol w:w="673"/>
        <w:gridCol w:w="673"/>
        <w:gridCol w:w="1065"/>
        <w:gridCol w:w="893"/>
        <w:gridCol w:w="920"/>
        <w:gridCol w:w="1212"/>
      </w:tblGrid>
      <w:tr w:rsidR="003C5BA7" w:rsidRPr="003C5BA7" w:rsidTr="00E04290">
        <w:trPr>
          <w:trHeight w:val="300"/>
        </w:trPr>
        <w:tc>
          <w:tcPr>
            <w:tcW w:w="2786" w:type="pct"/>
            <w:gridSpan w:val="7"/>
            <w:tcBorders>
              <w:top w:val="nil"/>
              <w:left w:val="nil"/>
              <w:bottom w:val="single" w:sz="4" w:space="0" w:color="auto"/>
              <w:right w:val="nil"/>
            </w:tcBorders>
            <w:shd w:val="clear" w:color="000000" w:fill="FFFFFF"/>
            <w:noWrap/>
            <w:vAlign w:val="center"/>
            <w:hideMark/>
          </w:tcPr>
          <w:p w:rsidR="003C5BA7" w:rsidRPr="003C5BA7" w:rsidRDefault="003C5BA7" w:rsidP="003C5BA7">
            <w:pPr>
              <w:rPr>
                <w:rFonts w:ascii="Lucida Bright" w:hAnsi="Lucida Bright" w:cs="Calibri"/>
                <w:b/>
                <w:bCs/>
                <w:sz w:val="18"/>
                <w:szCs w:val="18"/>
                <w:lang w:val="es-ES"/>
              </w:rPr>
            </w:pPr>
            <w:r w:rsidRPr="003C5BA7">
              <w:rPr>
                <w:rFonts w:ascii="Lucida Bright" w:hAnsi="Lucida Bright" w:cs="Calibri"/>
                <w:b/>
                <w:bCs/>
                <w:sz w:val="18"/>
                <w:szCs w:val="18"/>
                <w:lang w:val="es-ES"/>
              </w:rPr>
              <w:lastRenderedPageBreak/>
              <w:t>CUADRO: AMORTIZACIÓN ACUMULADA DEL INMOVILIZADO MATERIAL 2023</w:t>
            </w:r>
          </w:p>
        </w:tc>
        <w:tc>
          <w:tcPr>
            <w:tcW w:w="334" w:type="pct"/>
            <w:tcBorders>
              <w:top w:val="nil"/>
              <w:left w:val="nil"/>
              <w:bottom w:val="nil"/>
              <w:right w:val="nil"/>
            </w:tcBorders>
            <w:shd w:val="clear" w:color="000000" w:fill="FFFFFF"/>
            <w:noWrap/>
            <w:vAlign w:val="center"/>
            <w:hideMark/>
          </w:tcPr>
          <w:p w:rsidR="003C5BA7" w:rsidRPr="003C5BA7" w:rsidRDefault="003C5BA7" w:rsidP="003C5BA7">
            <w:pPr>
              <w:rPr>
                <w:rFonts w:ascii="Tahoma" w:hAnsi="Tahoma" w:cs="Tahoma"/>
                <w:lang w:val="es-ES"/>
              </w:rPr>
            </w:pPr>
            <w:r w:rsidRPr="003C5BA7">
              <w:rPr>
                <w:rFonts w:ascii="Tahoma" w:hAnsi="Tahoma" w:cs="Tahoma"/>
                <w:lang w:val="es-ES"/>
              </w:rPr>
              <w:t> </w:t>
            </w:r>
          </w:p>
        </w:tc>
        <w:tc>
          <w:tcPr>
            <w:tcW w:w="212" w:type="pct"/>
            <w:tcBorders>
              <w:top w:val="nil"/>
              <w:left w:val="nil"/>
              <w:bottom w:val="nil"/>
              <w:right w:val="nil"/>
            </w:tcBorders>
            <w:shd w:val="clear" w:color="000000" w:fill="FFFFFF"/>
            <w:noWrap/>
            <w:vAlign w:val="center"/>
            <w:hideMark/>
          </w:tcPr>
          <w:p w:rsidR="003C5BA7" w:rsidRPr="003C5BA7" w:rsidRDefault="003C5BA7" w:rsidP="003C5BA7">
            <w:pPr>
              <w:rPr>
                <w:rFonts w:ascii="Tahoma" w:hAnsi="Tahoma" w:cs="Tahoma"/>
                <w:lang w:val="es-ES"/>
              </w:rPr>
            </w:pPr>
            <w:r w:rsidRPr="003C5BA7">
              <w:rPr>
                <w:rFonts w:ascii="Tahoma" w:hAnsi="Tahoma" w:cs="Tahoma"/>
                <w:lang w:val="es-ES"/>
              </w:rPr>
              <w:t> </w:t>
            </w:r>
          </w:p>
        </w:tc>
        <w:tc>
          <w:tcPr>
            <w:tcW w:w="212" w:type="pct"/>
            <w:tcBorders>
              <w:top w:val="nil"/>
              <w:left w:val="nil"/>
              <w:bottom w:val="nil"/>
              <w:right w:val="nil"/>
            </w:tcBorders>
            <w:shd w:val="clear" w:color="000000" w:fill="FFFFFF"/>
            <w:noWrap/>
            <w:vAlign w:val="center"/>
            <w:hideMark/>
          </w:tcPr>
          <w:p w:rsidR="003C5BA7" w:rsidRPr="003C5BA7" w:rsidRDefault="003C5BA7" w:rsidP="003C5BA7">
            <w:pPr>
              <w:rPr>
                <w:rFonts w:ascii="Tahoma" w:hAnsi="Tahoma" w:cs="Tahoma"/>
                <w:lang w:val="es-ES"/>
              </w:rPr>
            </w:pPr>
            <w:r w:rsidRPr="003C5BA7">
              <w:rPr>
                <w:rFonts w:ascii="Tahoma" w:hAnsi="Tahoma" w:cs="Tahoma"/>
                <w:lang w:val="es-ES"/>
              </w:rPr>
              <w:t> </w:t>
            </w:r>
          </w:p>
        </w:tc>
        <w:tc>
          <w:tcPr>
            <w:tcW w:w="333" w:type="pct"/>
            <w:tcBorders>
              <w:top w:val="nil"/>
              <w:left w:val="nil"/>
              <w:bottom w:val="nil"/>
              <w:right w:val="nil"/>
            </w:tcBorders>
            <w:shd w:val="clear" w:color="000000" w:fill="FFFFFF"/>
            <w:noWrap/>
            <w:vAlign w:val="center"/>
            <w:hideMark/>
          </w:tcPr>
          <w:p w:rsidR="003C5BA7" w:rsidRPr="003C5BA7" w:rsidRDefault="003C5BA7" w:rsidP="003C5BA7">
            <w:pPr>
              <w:rPr>
                <w:rFonts w:ascii="Tahoma" w:hAnsi="Tahoma" w:cs="Tahoma"/>
                <w:lang w:val="es-ES"/>
              </w:rPr>
            </w:pPr>
            <w:r w:rsidRPr="003C5BA7">
              <w:rPr>
                <w:rFonts w:ascii="Tahoma" w:hAnsi="Tahoma" w:cs="Tahoma"/>
                <w:lang w:val="es-ES"/>
              </w:rPr>
              <w:t> </w:t>
            </w:r>
          </w:p>
        </w:tc>
        <w:tc>
          <w:tcPr>
            <w:tcW w:w="279" w:type="pct"/>
            <w:tcBorders>
              <w:top w:val="nil"/>
              <w:left w:val="nil"/>
              <w:bottom w:val="nil"/>
              <w:right w:val="nil"/>
            </w:tcBorders>
            <w:shd w:val="clear" w:color="000000" w:fill="FFFFFF"/>
            <w:noWrap/>
            <w:vAlign w:val="bottom"/>
            <w:hideMark/>
          </w:tcPr>
          <w:p w:rsidR="003C5BA7" w:rsidRPr="003C5BA7" w:rsidRDefault="003C5BA7" w:rsidP="003C5BA7">
            <w:pPr>
              <w:jc w:val="center"/>
              <w:rPr>
                <w:rFonts w:ascii="Lucida Bright" w:hAnsi="Lucida Bright" w:cs="Calibri"/>
                <w:sz w:val="14"/>
                <w:szCs w:val="14"/>
                <w:lang w:val="es-ES"/>
              </w:rPr>
            </w:pPr>
            <w:r w:rsidRPr="003C5BA7">
              <w:rPr>
                <w:rFonts w:ascii="Lucida Bright" w:hAnsi="Lucida Bright" w:cs="Calibri"/>
                <w:sz w:val="14"/>
                <w:szCs w:val="14"/>
                <w:lang w:val="es-ES"/>
              </w:rPr>
              <w:t>(en euros)</w:t>
            </w:r>
          </w:p>
        </w:tc>
        <w:tc>
          <w:tcPr>
            <w:tcW w:w="288" w:type="pct"/>
            <w:tcBorders>
              <w:top w:val="nil"/>
              <w:left w:val="nil"/>
              <w:bottom w:val="nil"/>
              <w:right w:val="nil"/>
            </w:tcBorders>
            <w:shd w:val="clear" w:color="000000" w:fill="FFFFFF"/>
            <w:noWrap/>
            <w:vAlign w:val="center"/>
            <w:hideMark/>
          </w:tcPr>
          <w:p w:rsidR="003C5BA7" w:rsidRPr="003C5BA7" w:rsidRDefault="003C5BA7" w:rsidP="003C5BA7">
            <w:pPr>
              <w:rPr>
                <w:rFonts w:ascii="Tahoma" w:hAnsi="Tahoma" w:cs="Tahoma"/>
                <w:lang w:val="es-ES"/>
              </w:rPr>
            </w:pPr>
            <w:r w:rsidRPr="003C5BA7">
              <w:rPr>
                <w:rFonts w:ascii="Tahoma" w:hAnsi="Tahoma" w:cs="Tahoma"/>
                <w:lang w:val="es-ES"/>
              </w:rPr>
              <w:t> </w:t>
            </w:r>
          </w:p>
        </w:tc>
        <w:tc>
          <w:tcPr>
            <w:tcW w:w="556" w:type="pct"/>
            <w:tcBorders>
              <w:top w:val="nil"/>
              <w:left w:val="nil"/>
              <w:bottom w:val="nil"/>
              <w:right w:val="nil"/>
            </w:tcBorders>
            <w:shd w:val="clear" w:color="000000" w:fill="FFFFFF"/>
            <w:noWrap/>
            <w:vAlign w:val="center"/>
            <w:hideMark/>
          </w:tcPr>
          <w:p w:rsidR="003C5BA7" w:rsidRPr="003C5BA7" w:rsidRDefault="003C5BA7" w:rsidP="003C5BA7">
            <w:pPr>
              <w:rPr>
                <w:rFonts w:ascii="Tahoma" w:hAnsi="Tahoma" w:cs="Tahoma"/>
                <w:lang w:val="es-ES"/>
              </w:rPr>
            </w:pPr>
            <w:r w:rsidRPr="003C5BA7">
              <w:rPr>
                <w:rFonts w:ascii="Tahoma" w:hAnsi="Tahoma" w:cs="Tahoma"/>
                <w:lang w:val="es-ES"/>
              </w:rPr>
              <w:t> </w:t>
            </w:r>
          </w:p>
        </w:tc>
      </w:tr>
      <w:tr w:rsidR="003C5BA7" w:rsidRPr="003C5BA7" w:rsidTr="00E04290">
        <w:trPr>
          <w:trHeight w:val="330"/>
        </w:trPr>
        <w:tc>
          <w:tcPr>
            <w:tcW w:w="1023" w:type="pct"/>
            <w:gridSpan w:val="2"/>
            <w:vMerge w:val="restart"/>
            <w:tcBorders>
              <w:top w:val="single" w:sz="4" w:space="0" w:color="auto"/>
              <w:left w:val="single" w:sz="4" w:space="0" w:color="auto"/>
              <w:bottom w:val="single" w:sz="4" w:space="0" w:color="000000"/>
              <w:right w:val="single" w:sz="4" w:space="0" w:color="000000"/>
            </w:tcBorders>
            <w:shd w:val="clear" w:color="000000" w:fill="CCFFCC"/>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CONCEPTO</w:t>
            </w:r>
          </w:p>
        </w:tc>
        <w:tc>
          <w:tcPr>
            <w:tcW w:w="378" w:type="pct"/>
            <w:vMerge w:val="restart"/>
            <w:tcBorders>
              <w:top w:val="nil"/>
              <w:left w:val="single" w:sz="4" w:space="0" w:color="auto"/>
              <w:bottom w:val="single" w:sz="4" w:space="0" w:color="000000"/>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Saldo a</w:t>
            </w:r>
            <w:r w:rsidRPr="003C5BA7">
              <w:rPr>
                <w:rFonts w:ascii="Lucida Bright" w:hAnsi="Lucida Bright" w:cs="Calibri"/>
                <w:b/>
                <w:bCs/>
                <w:sz w:val="14"/>
                <w:szCs w:val="14"/>
                <w:lang w:val="es-ES"/>
              </w:rPr>
              <w:br/>
              <w:t>31-12-22</w:t>
            </w:r>
          </w:p>
        </w:tc>
        <w:tc>
          <w:tcPr>
            <w:tcW w:w="351" w:type="pct"/>
            <w:vMerge w:val="restart"/>
            <w:tcBorders>
              <w:top w:val="nil"/>
              <w:left w:val="single" w:sz="4" w:space="0" w:color="auto"/>
              <w:bottom w:val="single" w:sz="4" w:space="0" w:color="000000"/>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Dotaciones</w:t>
            </w:r>
            <w:r w:rsidRPr="003C5BA7">
              <w:rPr>
                <w:rFonts w:ascii="Lucida Bright" w:hAnsi="Lucida Bright" w:cs="Calibri"/>
                <w:b/>
                <w:bCs/>
                <w:sz w:val="14"/>
                <w:szCs w:val="14"/>
                <w:lang w:val="es-ES"/>
              </w:rPr>
              <w:br/>
              <w:t>(+)</w:t>
            </w:r>
          </w:p>
        </w:tc>
        <w:tc>
          <w:tcPr>
            <w:tcW w:w="1368" w:type="pct"/>
            <w:gridSpan w:val="4"/>
            <w:tcBorders>
              <w:top w:val="single" w:sz="4" w:space="0" w:color="auto"/>
              <w:left w:val="nil"/>
              <w:bottom w:val="single" w:sz="4" w:space="0" w:color="auto"/>
              <w:right w:val="single" w:sz="4" w:space="0" w:color="000000"/>
            </w:tcBorders>
            <w:shd w:val="clear" w:color="000000" w:fill="CCFFCC"/>
            <w:noWrap/>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Bajas</w:t>
            </w:r>
          </w:p>
        </w:tc>
        <w:tc>
          <w:tcPr>
            <w:tcW w:w="424" w:type="pct"/>
            <w:gridSpan w:val="2"/>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Reclasificaciones</w:t>
            </w:r>
            <w:r w:rsidRPr="003C5BA7">
              <w:rPr>
                <w:rFonts w:ascii="Lucida Bright" w:hAnsi="Lucida Bright" w:cs="Calibri"/>
                <w:b/>
                <w:bCs/>
                <w:sz w:val="14"/>
                <w:szCs w:val="14"/>
                <w:lang w:val="es-ES"/>
              </w:rPr>
              <w:br/>
              <w:t>(+/-)</w:t>
            </w:r>
          </w:p>
        </w:tc>
        <w:tc>
          <w:tcPr>
            <w:tcW w:w="333" w:type="pct"/>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Traspaso a / de inversiones inmobiliarias</w:t>
            </w:r>
            <w:r w:rsidRPr="003C5BA7">
              <w:rPr>
                <w:rFonts w:ascii="Lucida Bright" w:hAnsi="Lucida Bright" w:cs="Calibri"/>
                <w:b/>
                <w:bCs/>
                <w:sz w:val="14"/>
                <w:szCs w:val="14"/>
                <w:lang w:val="es-ES"/>
              </w:rPr>
              <w:br/>
              <w:t>(-/+)</w:t>
            </w:r>
          </w:p>
        </w:tc>
        <w:tc>
          <w:tcPr>
            <w:tcW w:w="279" w:type="pct"/>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Traspaso a activo</w:t>
            </w:r>
            <w:r w:rsidRPr="003C5BA7">
              <w:rPr>
                <w:rFonts w:ascii="Lucida Bright" w:hAnsi="Lucida Bright" w:cs="Calibri"/>
                <w:b/>
                <w:bCs/>
                <w:sz w:val="14"/>
                <w:szCs w:val="14"/>
                <w:lang w:val="es-ES"/>
              </w:rPr>
              <w:br/>
              <w:t>no corriente mantenido</w:t>
            </w:r>
            <w:r w:rsidRPr="003C5BA7">
              <w:rPr>
                <w:rFonts w:ascii="Lucida Bright" w:hAnsi="Lucida Bright" w:cs="Calibri"/>
                <w:b/>
                <w:bCs/>
                <w:sz w:val="14"/>
                <w:szCs w:val="14"/>
                <w:lang w:val="es-ES"/>
              </w:rPr>
              <w:br/>
              <w:t>para la venta (-)</w:t>
            </w:r>
          </w:p>
        </w:tc>
        <w:tc>
          <w:tcPr>
            <w:tcW w:w="288" w:type="pct"/>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Ajustes</w:t>
            </w:r>
            <w:r w:rsidRPr="003C5BA7">
              <w:rPr>
                <w:rFonts w:ascii="Lucida Bright" w:hAnsi="Lucida Bright" w:cs="Calibri"/>
                <w:b/>
                <w:bCs/>
                <w:sz w:val="14"/>
                <w:szCs w:val="14"/>
                <w:lang w:val="es-ES"/>
              </w:rPr>
              <w:br/>
              <w:t>contra</w:t>
            </w:r>
            <w:r w:rsidRPr="003C5BA7">
              <w:rPr>
                <w:rFonts w:ascii="Lucida Bright" w:hAnsi="Lucida Bright" w:cs="Calibri"/>
                <w:b/>
                <w:bCs/>
                <w:sz w:val="14"/>
                <w:szCs w:val="14"/>
                <w:lang w:val="es-ES"/>
              </w:rPr>
              <w:br/>
              <w:t>patrimonio (+/-)</w:t>
            </w:r>
          </w:p>
        </w:tc>
        <w:tc>
          <w:tcPr>
            <w:tcW w:w="556" w:type="pct"/>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Saldo a</w:t>
            </w:r>
            <w:r w:rsidRPr="003C5BA7">
              <w:rPr>
                <w:rFonts w:ascii="Lucida Bright" w:hAnsi="Lucida Bright" w:cs="Calibri"/>
                <w:b/>
                <w:bCs/>
                <w:sz w:val="14"/>
                <w:szCs w:val="14"/>
                <w:lang w:val="es-ES"/>
              </w:rPr>
              <w:br/>
              <w:t>31-12-23</w:t>
            </w:r>
          </w:p>
        </w:tc>
      </w:tr>
      <w:tr w:rsidR="003C5BA7" w:rsidRPr="003C5BA7" w:rsidTr="00E04290">
        <w:trPr>
          <w:trHeight w:val="960"/>
        </w:trPr>
        <w:tc>
          <w:tcPr>
            <w:tcW w:w="1023" w:type="pct"/>
            <w:gridSpan w:val="2"/>
            <w:vMerge/>
            <w:tcBorders>
              <w:top w:val="single" w:sz="4" w:space="0" w:color="auto"/>
              <w:left w:val="single" w:sz="4" w:space="0" w:color="auto"/>
              <w:bottom w:val="single" w:sz="4" w:space="0" w:color="000000"/>
              <w:right w:val="single" w:sz="4" w:space="0" w:color="000000"/>
            </w:tcBorders>
            <w:vAlign w:val="center"/>
            <w:hideMark/>
          </w:tcPr>
          <w:p w:rsidR="003C5BA7" w:rsidRPr="003C5BA7" w:rsidRDefault="003C5BA7" w:rsidP="003C5BA7">
            <w:pPr>
              <w:rPr>
                <w:rFonts w:ascii="Lucida Bright" w:hAnsi="Lucida Bright" w:cs="Calibri"/>
                <w:b/>
                <w:bCs/>
                <w:sz w:val="14"/>
                <w:szCs w:val="14"/>
                <w:lang w:val="es-ES"/>
              </w:rPr>
            </w:pPr>
          </w:p>
        </w:tc>
        <w:tc>
          <w:tcPr>
            <w:tcW w:w="378" w:type="pct"/>
            <w:vMerge/>
            <w:tcBorders>
              <w:top w:val="nil"/>
              <w:left w:val="single" w:sz="4" w:space="0" w:color="auto"/>
              <w:bottom w:val="single" w:sz="4" w:space="0" w:color="000000"/>
              <w:right w:val="single" w:sz="4" w:space="0" w:color="auto"/>
            </w:tcBorders>
            <w:vAlign w:val="center"/>
            <w:hideMark/>
          </w:tcPr>
          <w:p w:rsidR="003C5BA7" w:rsidRPr="003C5BA7" w:rsidRDefault="003C5BA7" w:rsidP="003C5BA7">
            <w:pPr>
              <w:rPr>
                <w:rFonts w:ascii="Lucida Bright" w:hAnsi="Lucida Bright" w:cs="Calibri"/>
                <w:b/>
                <w:bCs/>
                <w:sz w:val="14"/>
                <w:szCs w:val="14"/>
                <w:lang w:val="es-ES"/>
              </w:rPr>
            </w:pPr>
          </w:p>
        </w:tc>
        <w:tc>
          <w:tcPr>
            <w:tcW w:w="351" w:type="pct"/>
            <w:vMerge/>
            <w:tcBorders>
              <w:top w:val="nil"/>
              <w:left w:val="single" w:sz="4" w:space="0" w:color="auto"/>
              <w:bottom w:val="single" w:sz="4" w:space="0" w:color="000000"/>
              <w:right w:val="single" w:sz="4" w:space="0" w:color="auto"/>
            </w:tcBorders>
            <w:vAlign w:val="center"/>
            <w:hideMark/>
          </w:tcPr>
          <w:p w:rsidR="003C5BA7" w:rsidRPr="003C5BA7" w:rsidRDefault="003C5BA7" w:rsidP="003C5BA7">
            <w:pPr>
              <w:rPr>
                <w:rFonts w:ascii="Lucida Bright" w:hAnsi="Lucida Bright" w:cs="Calibri"/>
                <w:b/>
                <w:bCs/>
                <w:sz w:val="14"/>
                <w:szCs w:val="14"/>
                <w:lang w:val="es-ES"/>
              </w:rPr>
            </w:pPr>
          </w:p>
        </w:tc>
        <w:tc>
          <w:tcPr>
            <w:tcW w:w="352" w:type="pct"/>
            <w:tcBorders>
              <w:top w:val="nil"/>
              <w:left w:val="nil"/>
              <w:bottom w:val="single" w:sz="4" w:space="0" w:color="auto"/>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Ventas,</w:t>
            </w:r>
            <w:r w:rsidRPr="003C5BA7">
              <w:rPr>
                <w:rFonts w:ascii="Lucida Bright" w:hAnsi="Lucida Bright" w:cs="Calibri"/>
                <w:b/>
                <w:bCs/>
                <w:sz w:val="14"/>
                <w:szCs w:val="14"/>
                <w:lang w:val="es-ES"/>
              </w:rPr>
              <w:br/>
              <w:t>Retiros</w:t>
            </w:r>
            <w:r w:rsidRPr="003C5BA7">
              <w:rPr>
                <w:rFonts w:ascii="Lucida Bright" w:hAnsi="Lucida Bright" w:cs="Calibri"/>
                <w:b/>
                <w:bCs/>
                <w:sz w:val="14"/>
                <w:szCs w:val="14"/>
                <w:lang w:val="es-ES"/>
              </w:rPr>
              <w:br/>
              <w:t>y otras bajas</w:t>
            </w:r>
            <w:r w:rsidRPr="003C5BA7">
              <w:rPr>
                <w:rFonts w:ascii="Lucida Bright" w:hAnsi="Lucida Bright" w:cs="Calibri"/>
                <w:b/>
                <w:bCs/>
                <w:sz w:val="14"/>
                <w:szCs w:val="14"/>
                <w:lang w:val="es-ES"/>
              </w:rPr>
              <w:br/>
              <w:t>(-)</w:t>
            </w:r>
          </w:p>
        </w:tc>
        <w:tc>
          <w:tcPr>
            <w:tcW w:w="310" w:type="pct"/>
            <w:tcBorders>
              <w:top w:val="nil"/>
              <w:left w:val="nil"/>
              <w:bottom w:val="nil"/>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Elementos</w:t>
            </w:r>
            <w:r w:rsidRPr="003C5BA7">
              <w:rPr>
                <w:rFonts w:ascii="Lucida Bright" w:hAnsi="Lucida Bright" w:cs="Calibri"/>
                <w:b/>
                <w:bCs/>
                <w:sz w:val="14"/>
                <w:szCs w:val="14"/>
                <w:lang w:val="es-ES"/>
              </w:rPr>
              <w:br/>
              <w:t>subsumidos</w:t>
            </w:r>
            <w:r w:rsidRPr="003C5BA7">
              <w:rPr>
                <w:rFonts w:ascii="Lucida Bright" w:hAnsi="Lucida Bright" w:cs="Calibri"/>
                <w:b/>
                <w:bCs/>
                <w:sz w:val="14"/>
                <w:szCs w:val="14"/>
                <w:lang w:val="es-ES"/>
              </w:rPr>
              <w:br/>
              <w:t>(-)</w:t>
            </w:r>
          </w:p>
        </w:tc>
        <w:tc>
          <w:tcPr>
            <w:tcW w:w="372" w:type="pct"/>
            <w:tcBorders>
              <w:top w:val="nil"/>
              <w:left w:val="nil"/>
              <w:bottom w:val="nil"/>
              <w:right w:val="single" w:sz="4" w:space="0" w:color="auto"/>
            </w:tcBorders>
            <w:shd w:val="clear" w:color="000000" w:fill="CCFFCC"/>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Transferencias</w:t>
            </w:r>
            <w:r w:rsidRPr="003C5BA7">
              <w:rPr>
                <w:rFonts w:ascii="Lucida Bright" w:hAnsi="Lucida Bright" w:cs="Calibri"/>
                <w:b/>
                <w:bCs/>
                <w:sz w:val="14"/>
                <w:szCs w:val="14"/>
                <w:lang w:val="es-ES"/>
              </w:rPr>
              <w:br/>
              <w:t>a otros</w:t>
            </w:r>
            <w:r w:rsidRPr="003C5BA7">
              <w:rPr>
                <w:rFonts w:ascii="Lucida Bright" w:hAnsi="Lucida Bright" w:cs="Calibri"/>
                <w:b/>
                <w:bCs/>
                <w:sz w:val="14"/>
                <w:szCs w:val="14"/>
                <w:lang w:val="es-ES"/>
              </w:rPr>
              <w:br/>
              <w:t>Organismos</w:t>
            </w:r>
            <w:r w:rsidRPr="003C5BA7">
              <w:rPr>
                <w:rFonts w:ascii="Lucida Bright" w:hAnsi="Lucida Bright" w:cs="Calibri"/>
                <w:b/>
                <w:bCs/>
                <w:sz w:val="14"/>
                <w:szCs w:val="14"/>
                <w:lang w:val="es-ES"/>
              </w:rPr>
              <w:br/>
              <w:t>Públicos (-)</w:t>
            </w:r>
          </w:p>
        </w:tc>
        <w:tc>
          <w:tcPr>
            <w:tcW w:w="334" w:type="pct"/>
            <w:tcBorders>
              <w:top w:val="nil"/>
              <w:left w:val="nil"/>
              <w:bottom w:val="nil"/>
              <w:right w:val="single" w:sz="4" w:space="0" w:color="auto"/>
            </w:tcBorders>
            <w:shd w:val="clear" w:color="000000" w:fill="CCFFCC"/>
            <w:vAlign w:val="center"/>
            <w:hideMark/>
          </w:tcPr>
          <w:p w:rsid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Inmovilizado</w:t>
            </w:r>
          </w:p>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abierto al</w:t>
            </w:r>
            <w:r w:rsidRPr="003C5BA7">
              <w:rPr>
                <w:rFonts w:ascii="Lucida Bright" w:hAnsi="Lucida Bright" w:cs="Calibri"/>
                <w:b/>
                <w:bCs/>
                <w:sz w:val="14"/>
                <w:szCs w:val="14"/>
                <w:lang w:val="es-ES"/>
              </w:rPr>
              <w:br/>
              <w:t>uso general (-)</w:t>
            </w:r>
          </w:p>
        </w:tc>
        <w:tc>
          <w:tcPr>
            <w:tcW w:w="424" w:type="pct"/>
            <w:gridSpan w:val="2"/>
            <w:vMerge/>
            <w:tcBorders>
              <w:top w:val="single" w:sz="4" w:space="0" w:color="auto"/>
              <w:left w:val="single" w:sz="4" w:space="0" w:color="auto"/>
              <w:bottom w:val="single" w:sz="4" w:space="0" w:color="000000"/>
              <w:right w:val="single" w:sz="4" w:space="0" w:color="auto"/>
            </w:tcBorders>
            <w:vAlign w:val="center"/>
            <w:hideMark/>
          </w:tcPr>
          <w:p w:rsidR="003C5BA7" w:rsidRPr="003C5BA7" w:rsidRDefault="003C5BA7" w:rsidP="003C5BA7">
            <w:pPr>
              <w:rPr>
                <w:rFonts w:ascii="Lucida Bright" w:hAnsi="Lucida Bright" w:cs="Calibri"/>
                <w:b/>
                <w:bCs/>
                <w:sz w:val="14"/>
                <w:szCs w:val="14"/>
                <w:lang w:val="es-ES"/>
              </w:rPr>
            </w:pPr>
          </w:p>
        </w:tc>
        <w:tc>
          <w:tcPr>
            <w:tcW w:w="333" w:type="pct"/>
            <w:vMerge/>
            <w:tcBorders>
              <w:top w:val="single" w:sz="4" w:space="0" w:color="auto"/>
              <w:left w:val="single" w:sz="4" w:space="0" w:color="auto"/>
              <w:bottom w:val="single" w:sz="4" w:space="0" w:color="000000"/>
              <w:right w:val="single" w:sz="4" w:space="0" w:color="auto"/>
            </w:tcBorders>
            <w:vAlign w:val="center"/>
            <w:hideMark/>
          </w:tcPr>
          <w:p w:rsidR="003C5BA7" w:rsidRPr="003C5BA7" w:rsidRDefault="003C5BA7" w:rsidP="003C5BA7">
            <w:pPr>
              <w:rPr>
                <w:rFonts w:ascii="Lucida Bright" w:hAnsi="Lucida Bright" w:cs="Calibri"/>
                <w:b/>
                <w:bCs/>
                <w:sz w:val="14"/>
                <w:szCs w:val="14"/>
                <w:lang w:val="es-ES"/>
              </w:rPr>
            </w:pPr>
          </w:p>
        </w:tc>
        <w:tc>
          <w:tcPr>
            <w:tcW w:w="279" w:type="pct"/>
            <w:vMerge/>
            <w:tcBorders>
              <w:top w:val="single" w:sz="4" w:space="0" w:color="auto"/>
              <w:left w:val="single" w:sz="4" w:space="0" w:color="auto"/>
              <w:bottom w:val="single" w:sz="4" w:space="0" w:color="000000"/>
              <w:right w:val="single" w:sz="4" w:space="0" w:color="auto"/>
            </w:tcBorders>
            <w:vAlign w:val="center"/>
            <w:hideMark/>
          </w:tcPr>
          <w:p w:rsidR="003C5BA7" w:rsidRPr="003C5BA7" w:rsidRDefault="003C5BA7" w:rsidP="003C5BA7">
            <w:pPr>
              <w:rPr>
                <w:rFonts w:ascii="Lucida Bright" w:hAnsi="Lucida Bright" w:cs="Calibri"/>
                <w:b/>
                <w:bCs/>
                <w:sz w:val="14"/>
                <w:szCs w:val="14"/>
                <w:lang w:val="es-ES"/>
              </w:rPr>
            </w:pPr>
          </w:p>
        </w:tc>
        <w:tc>
          <w:tcPr>
            <w:tcW w:w="288" w:type="pct"/>
            <w:vMerge/>
            <w:tcBorders>
              <w:top w:val="single" w:sz="4" w:space="0" w:color="auto"/>
              <w:left w:val="single" w:sz="4" w:space="0" w:color="auto"/>
              <w:bottom w:val="single" w:sz="4" w:space="0" w:color="000000"/>
              <w:right w:val="single" w:sz="4" w:space="0" w:color="auto"/>
            </w:tcBorders>
            <w:vAlign w:val="center"/>
            <w:hideMark/>
          </w:tcPr>
          <w:p w:rsidR="003C5BA7" w:rsidRPr="003C5BA7" w:rsidRDefault="003C5BA7" w:rsidP="003C5BA7">
            <w:pPr>
              <w:rPr>
                <w:rFonts w:ascii="Lucida Bright" w:hAnsi="Lucida Bright" w:cs="Calibri"/>
                <w:b/>
                <w:bCs/>
                <w:sz w:val="14"/>
                <w:szCs w:val="14"/>
                <w:lang w:val="es-ES"/>
              </w:rPr>
            </w:pPr>
          </w:p>
        </w:tc>
        <w:tc>
          <w:tcPr>
            <w:tcW w:w="556" w:type="pct"/>
            <w:vMerge/>
            <w:tcBorders>
              <w:top w:val="single" w:sz="4" w:space="0" w:color="auto"/>
              <w:left w:val="single" w:sz="4" w:space="0" w:color="auto"/>
              <w:bottom w:val="single" w:sz="4" w:space="0" w:color="000000"/>
              <w:right w:val="single" w:sz="4" w:space="0" w:color="auto"/>
            </w:tcBorders>
            <w:vAlign w:val="center"/>
            <w:hideMark/>
          </w:tcPr>
          <w:p w:rsidR="003C5BA7" w:rsidRPr="003C5BA7" w:rsidRDefault="003C5BA7" w:rsidP="003C5BA7">
            <w:pPr>
              <w:rPr>
                <w:rFonts w:ascii="Lucida Bright" w:hAnsi="Lucida Bright" w:cs="Calibri"/>
                <w:b/>
                <w:bCs/>
                <w:sz w:val="14"/>
                <w:szCs w:val="14"/>
                <w:lang w:val="es-ES"/>
              </w:rPr>
            </w:pPr>
          </w:p>
        </w:tc>
      </w:tr>
      <w:tr w:rsidR="003C5BA7" w:rsidRPr="003C5BA7" w:rsidTr="00E04290">
        <w:trPr>
          <w:trHeight w:val="210"/>
        </w:trPr>
        <w:tc>
          <w:tcPr>
            <w:tcW w:w="102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 xml:space="preserve"> a) Terrenos y bienes naturales</w:t>
            </w:r>
          </w:p>
        </w:tc>
        <w:tc>
          <w:tcPr>
            <w:tcW w:w="37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5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72"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34"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33"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279"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28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55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r>
      <w:tr w:rsidR="003C5BA7" w:rsidRPr="003C5BA7" w:rsidTr="00E04290">
        <w:trPr>
          <w:trHeight w:val="210"/>
        </w:trPr>
        <w:tc>
          <w:tcPr>
            <w:tcW w:w="102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 xml:space="preserve"> b) Construcciones</w:t>
            </w:r>
          </w:p>
        </w:tc>
        <w:tc>
          <w:tcPr>
            <w:tcW w:w="37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331.854.866,97 </w:t>
            </w:r>
          </w:p>
        </w:tc>
        <w:tc>
          <w:tcPr>
            <w:tcW w:w="3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16.778.513,39 </w:t>
            </w:r>
          </w:p>
        </w:tc>
        <w:tc>
          <w:tcPr>
            <w:tcW w:w="35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(693.680,26) </w:t>
            </w:r>
          </w:p>
        </w:tc>
        <w:tc>
          <w:tcPr>
            <w:tcW w:w="31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7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34"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(1.977,49) </w:t>
            </w:r>
          </w:p>
        </w:tc>
        <w:tc>
          <w:tcPr>
            <w:tcW w:w="333"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279"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28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55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347.937.722,61 </w:t>
            </w:r>
          </w:p>
        </w:tc>
      </w:tr>
      <w:tr w:rsidR="003C5BA7" w:rsidRPr="003C5BA7" w:rsidTr="00E04290">
        <w:trPr>
          <w:trHeight w:val="210"/>
        </w:trPr>
        <w:tc>
          <w:tcPr>
            <w:tcW w:w="102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Accesos marítimos</w:t>
            </w:r>
          </w:p>
        </w:tc>
        <w:tc>
          <w:tcPr>
            <w:tcW w:w="37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7.293.656,34 </w:t>
            </w:r>
          </w:p>
        </w:tc>
        <w:tc>
          <w:tcPr>
            <w:tcW w:w="3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380.982,23 </w:t>
            </w:r>
          </w:p>
        </w:tc>
        <w:tc>
          <w:tcPr>
            <w:tcW w:w="35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0,02 </w:t>
            </w:r>
          </w:p>
        </w:tc>
        <w:tc>
          <w:tcPr>
            <w:tcW w:w="333"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79"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55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7.674.638,59 </w:t>
            </w:r>
          </w:p>
        </w:tc>
      </w:tr>
      <w:tr w:rsidR="003C5BA7" w:rsidRPr="003C5BA7" w:rsidTr="00E04290">
        <w:trPr>
          <w:trHeight w:val="210"/>
        </w:trPr>
        <w:tc>
          <w:tcPr>
            <w:tcW w:w="102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Obras de abrigo y defensa</w:t>
            </w:r>
          </w:p>
        </w:tc>
        <w:tc>
          <w:tcPr>
            <w:tcW w:w="37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46.711.535,88 </w:t>
            </w:r>
          </w:p>
        </w:tc>
        <w:tc>
          <w:tcPr>
            <w:tcW w:w="3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796.803,02 </w:t>
            </w:r>
          </w:p>
        </w:tc>
        <w:tc>
          <w:tcPr>
            <w:tcW w:w="35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(0,02) </w:t>
            </w:r>
          </w:p>
        </w:tc>
        <w:tc>
          <w:tcPr>
            <w:tcW w:w="333"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79"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55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47.508.338,88 </w:t>
            </w:r>
          </w:p>
        </w:tc>
      </w:tr>
      <w:tr w:rsidR="003C5BA7" w:rsidRPr="003C5BA7" w:rsidTr="00E04290">
        <w:trPr>
          <w:trHeight w:val="210"/>
        </w:trPr>
        <w:tc>
          <w:tcPr>
            <w:tcW w:w="102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Obras de atraque</w:t>
            </w:r>
          </w:p>
        </w:tc>
        <w:tc>
          <w:tcPr>
            <w:tcW w:w="37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137.549.246,06 </w:t>
            </w:r>
          </w:p>
        </w:tc>
        <w:tc>
          <w:tcPr>
            <w:tcW w:w="3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7.310.441,67 </w:t>
            </w:r>
          </w:p>
        </w:tc>
        <w:tc>
          <w:tcPr>
            <w:tcW w:w="35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(82.967,57) </w:t>
            </w:r>
          </w:p>
        </w:tc>
        <w:tc>
          <w:tcPr>
            <w:tcW w:w="31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(1,34) </w:t>
            </w:r>
          </w:p>
        </w:tc>
        <w:tc>
          <w:tcPr>
            <w:tcW w:w="333"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79"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55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144.776.718,82 </w:t>
            </w:r>
          </w:p>
        </w:tc>
      </w:tr>
      <w:tr w:rsidR="003C5BA7" w:rsidRPr="003C5BA7" w:rsidTr="00E04290">
        <w:trPr>
          <w:trHeight w:val="210"/>
        </w:trPr>
        <w:tc>
          <w:tcPr>
            <w:tcW w:w="102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Instalaciones para reparación de barcos</w:t>
            </w:r>
          </w:p>
        </w:tc>
        <w:tc>
          <w:tcPr>
            <w:tcW w:w="37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5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79"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55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r>
      <w:tr w:rsidR="00E04290" w:rsidRPr="003C5BA7" w:rsidTr="00E04290">
        <w:trPr>
          <w:trHeight w:val="210"/>
        </w:trPr>
        <w:tc>
          <w:tcPr>
            <w:tcW w:w="898" w:type="pct"/>
            <w:tcBorders>
              <w:top w:val="nil"/>
              <w:left w:val="single" w:sz="4" w:space="0" w:color="auto"/>
              <w:bottom w:val="single" w:sz="4" w:space="0" w:color="auto"/>
              <w:right w:val="nil"/>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Edificaciones</w:t>
            </w:r>
          </w:p>
        </w:tc>
        <w:tc>
          <w:tcPr>
            <w:tcW w:w="125"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41.805.281,98 </w:t>
            </w:r>
          </w:p>
        </w:tc>
        <w:tc>
          <w:tcPr>
            <w:tcW w:w="3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2.690.504,75 </w:t>
            </w:r>
          </w:p>
        </w:tc>
        <w:tc>
          <w:tcPr>
            <w:tcW w:w="35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(189.513,83) </w:t>
            </w:r>
          </w:p>
        </w:tc>
        <w:tc>
          <w:tcPr>
            <w:tcW w:w="31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332,78 </w:t>
            </w:r>
          </w:p>
        </w:tc>
        <w:tc>
          <w:tcPr>
            <w:tcW w:w="333"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79"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55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44.306.605,68 </w:t>
            </w:r>
          </w:p>
        </w:tc>
      </w:tr>
      <w:tr w:rsidR="003C5BA7" w:rsidRPr="003C5BA7" w:rsidTr="00E04290">
        <w:trPr>
          <w:trHeight w:val="210"/>
        </w:trPr>
        <w:tc>
          <w:tcPr>
            <w:tcW w:w="102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Instalaciones generales</w:t>
            </w:r>
          </w:p>
        </w:tc>
        <w:tc>
          <w:tcPr>
            <w:tcW w:w="37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40.825.119,08 </w:t>
            </w:r>
          </w:p>
        </w:tc>
        <w:tc>
          <w:tcPr>
            <w:tcW w:w="3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2.713.549,97 </w:t>
            </w:r>
          </w:p>
        </w:tc>
        <w:tc>
          <w:tcPr>
            <w:tcW w:w="35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(361.894,69) </w:t>
            </w:r>
          </w:p>
        </w:tc>
        <w:tc>
          <w:tcPr>
            <w:tcW w:w="31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(2.990,02) </w:t>
            </w:r>
          </w:p>
        </w:tc>
        <w:tc>
          <w:tcPr>
            <w:tcW w:w="333"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79"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55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43.173.784,34 </w:t>
            </w:r>
          </w:p>
        </w:tc>
      </w:tr>
      <w:tr w:rsidR="003C5BA7" w:rsidRPr="003C5BA7" w:rsidTr="00E04290">
        <w:trPr>
          <w:trHeight w:val="210"/>
        </w:trPr>
        <w:tc>
          <w:tcPr>
            <w:tcW w:w="102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Pavimentos, calzadas y vías de circulación</w:t>
            </w:r>
          </w:p>
        </w:tc>
        <w:tc>
          <w:tcPr>
            <w:tcW w:w="378" w:type="pct"/>
            <w:tcBorders>
              <w:top w:val="nil"/>
              <w:left w:val="nil"/>
              <w:bottom w:val="nil"/>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57.670.027,63 </w:t>
            </w:r>
          </w:p>
        </w:tc>
        <w:tc>
          <w:tcPr>
            <w:tcW w:w="351" w:type="pct"/>
            <w:tcBorders>
              <w:top w:val="nil"/>
              <w:left w:val="nil"/>
              <w:bottom w:val="nil"/>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2.886.231,75 </w:t>
            </w:r>
          </w:p>
        </w:tc>
        <w:tc>
          <w:tcPr>
            <w:tcW w:w="352" w:type="pct"/>
            <w:tcBorders>
              <w:top w:val="nil"/>
              <w:left w:val="nil"/>
              <w:bottom w:val="nil"/>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(59.304,17) </w:t>
            </w:r>
          </w:p>
        </w:tc>
        <w:tc>
          <w:tcPr>
            <w:tcW w:w="310"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2"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4"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4" w:type="pct"/>
            <w:gridSpan w:val="2"/>
            <w:tcBorders>
              <w:top w:val="nil"/>
              <w:left w:val="nil"/>
              <w:bottom w:val="nil"/>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681,09 </w:t>
            </w:r>
          </w:p>
        </w:tc>
        <w:tc>
          <w:tcPr>
            <w:tcW w:w="333"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79"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88"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55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60.497.636,30 </w:t>
            </w:r>
          </w:p>
        </w:tc>
      </w:tr>
      <w:tr w:rsidR="003C5BA7" w:rsidRPr="003C5BA7" w:rsidTr="00E04290">
        <w:trPr>
          <w:trHeight w:val="210"/>
        </w:trPr>
        <w:tc>
          <w:tcPr>
            <w:tcW w:w="102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 xml:space="preserve"> c) Equipamientos e instalaciones técnicas</w:t>
            </w:r>
          </w:p>
        </w:tc>
        <w:tc>
          <w:tcPr>
            <w:tcW w:w="378"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20.990.785,17 </w:t>
            </w:r>
          </w:p>
        </w:tc>
        <w:tc>
          <w:tcPr>
            <w:tcW w:w="351"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1.200.325,92 </w:t>
            </w:r>
          </w:p>
        </w:tc>
        <w:tc>
          <w:tcPr>
            <w:tcW w:w="352"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(703.161,12) </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72"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34"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42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886,73 </w:t>
            </w:r>
          </w:p>
        </w:tc>
        <w:tc>
          <w:tcPr>
            <w:tcW w:w="333"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279"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288"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556"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21.488.836,70 </w:t>
            </w:r>
          </w:p>
        </w:tc>
      </w:tr>
      <w:tr w:rsidR="003C5BA7" w:rsidRPr="003C5BA7" w:rsidTr="00E04290">
        <w:trPr>
          <w:trHeight w:val="210"/>
        </w:trPr>
        <w:tc>
          <w:tcPr>
            <w:tcW w:w="102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Instalaciones de ayuda a la navegación</w:t>
            </w:r>
          </w:p>
        </w:tc>
        <w:tc>
          <w:tcPr>
            <w:tcW w:w="37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5.719.023,19 </w:t>
            </w:r>
          </w:p>
        </w:tc>
        <w:tc>
          <w:tcPr>
            <w:tcW w:w="3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168.136,59 </w:t>
            </w:r>
          </w:p>
        </w:tc>
        <w:tc>
          <w:tcPr>
            <w:tcW w:w="35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(490.141,59) </w:t>
            </w:r>
          </w:p>
        </w:tc>
        <w:tc>
          <w:tcPr>
            <w:tcW w:w="31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891,35 </w:t>
            </w:r>
          </w:p>
        </w:tc>
        <w:tc>
          <w:tcPr>
            <w:tcW w:w="333"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79"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55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5.397.909,54 </w:t>
            </w:r>
          </w:p>
        </w:tc>
      </w:tr>
      <w:tr w:rsidR="003C5BA7" w:rsidRPr="003C5BA7" w:rsidTr="00E04290">
        <w:trPr>
          <w:trHeight w:val="210"/>
        </w:trPr>
        <w:tc>
          <w:tcPr>
            <w:tcW w:w="102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Equipo de manipulación de </w:t>
            </w:r>
            <w:r w:rsidR="00416638" w:rsidRPr="003C5BA7">
              <w:rPr>
                <w:rFonts w:ascii="Lucida Bright" w:hAnsi="Lucida Bright" w:cs="Calibri"/>
                <w:sz w:val="14"/>
                <w:szCs w:val="14"/>
                <w:lang w:val="es-ES"/>
              </w:rPr>
              <w:t>mercancías</w:t>
            </w:r>
          </w:p>
        </w:tc>
        <w:tc>
          <w:tcPr>
            <w:tcW w:w="37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13.934.723,24 </w:t>
            </w:r>
          </w:p>
        </w:tc>
        <w:tc>
          <w:tcPr>
            <w:tcW w:w="3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1.003.805,42 </w:t>
            </w:r>
          </w:p>
        </w:tc>
        <w:tc>
          <w:tcPr>
            <w:tcW w:w="35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(48.539,64) </w:t>
            </w:r>
          </w:p>
        </w:tc>
        <w:tc>
          <w:tcPr>
            <w:tcW w:w="31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(0,16) </w:t>
            </w:r>
          </w:p>
        </w:tc>
        <w:tc>
          <w:tcPr>
            <w:tcW w:w="333"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79"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55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14.889.988,86 </w:t>
            </w:r>
          </w:p>
        </w:tc>
      </w:tr>
      <w:tr w:rsidR="003C5BA7" w:rsidRPr="003C5BA7" w:rsidTr="00E04290">
        <w:trPr>
          <w:trHeight w:val="210"/>
        </w:trPr>
        <w:tc>
          <w:tcPr>
            <w:tcW w:w="102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Material flotante</w:t>
            </w:r>
          </w:p>
        </w:tc>
        <w:tc>
          <w:tcPr>
            <w:tcW w:w="37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1.156.092,20 </w:t>
            </w:r>
          </w:p>
        </w:tc>
        <w:tc>
          <w:tcPr>
            <w:tcW w:w="3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28.277,11 </w:t>
            </w:r>
          </w:p>
        </w:tc>
        <w:tc>
          <w:tcPr>
            <w:tcW w:w="35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(150.464,94) </w:t>
            </w:r>
          </w:p>
        </w:tc>
        <w:tc>
          <w:tcPr>
            <w:tcW w:w="31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(4,52) </w:t>
            </w:r>
          </w:p>
        </w:tc>
        <w:tc>
          <w:tcPr>
            <w:tcW w:w="333"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79"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55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1.033.899,85 </w:t>
            </w:r>
          </w:p>
        </w:tc>
      </w:tr>
      <w:tr w:rsidR="003C5BA7" w:rsidRPr="003C5BA7" w:rsidTr="00E04290">
        <w:trPr>
          <w:trHeight w:val="210"/>
        </w:trPr>
        <w:tc>
          <w:tcPr>
            <w:tcW w:w="102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Material ferroviario</w:t>
            </w:r>
          </w:p>
        </w:tc>
        <w:tc>
          <w:tcPr>
            <w:tcW w:w="37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5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79"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55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r>
      <w:tr w:rsidR="00E04290" w:rsidRPr="003C5BA7" w:rsidTr="00E04290">
        <w:trPr>
          <w:trHeight w:val="210"/>
        </w:trPr>
        <w:tc>
          <w:tcPr>
            <w:tcW w:w="898" w:type="pct"/>
            <w:tcBorders>
              <w:top w:val="nil"/>
              <w:left w:val="single" w:sz="4" w:space="0" w:color="auto"/>
              <w:bottom w:val="nil"/>
              <w:right w:val="nil"/>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Equipo de taller</w:t>
            </w:r>
          </w:p>
        </w:tc>
        <w:tc>
          <w:tcPr>
            <w:tcW w:w="125"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8" w:type="pct"/>
            <w:tcBorders>
              <w:top w:val="nil"/>
              <w:left w:val="nil"/>
              <w:bottom w:val="nil"/>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180.946,54 </w:t>
            </w:r>
          </w:p>
        </w:tc>
        <w:tc>
          <w:tcPr>
            <w:tcW w:w="351" w:type="pct"/>
            <w:tcBorders>
              <w:top w:val="nil"/>
              <w:left w:val="nil"/>
              <w:bottom w:val="nil"/>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106,80 </w:t>
            </w:r>
          </w:p>
        </w:tc>
        <w:tc>
          <w:tcPr>
            <w:tcW w:w="352" w:type="pct"/>
            <w:tcBorders>
              <w:top w:val="nil"/>
              <w:left w:val="nil"/>
              <w:bottom w:val="nil"/>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(14.014,95) </w:t>
            </w:r>
          </w:p>
        </w:tc>
        <w:tc>
          <w:tcPr>
            <w:tcW w:w="310"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2"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4"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4" w:type="pct"/>
            <w:gridSpan w:val="2"/>
            <w:tcBorders>
              <w:top w:val="nil"/>
              <w:left w:val="nil"/>
              <w:bottom w:val="nil"/>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0,06 </w:t>
            </w:r>
          </w:p>
        </w:tc>
        <w:tc>
          <w:tcPr>
            <w:tcW w:w="333"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79"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88"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556" w:type="pct"/>
            <w:tcBorders>
              <w:top w:val="nil"/>
              <w:left w:val="nil"/>
              <w:bottom w:val="nil"/>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167.038,45 </w:t>
            </w:r>
          </w:p>
        </w:tc>
      </w:tr>
      <w:tr w:rsidR="003C5BA7" w:rsidRPr="003C5BA7" w:rsidTr="00E04290">
        <w:trPr>
          <w:trHeight w:val="210"/>
        </w:trPr>
        <w:tc>
          <w:tcPr>
            <w:tcW w:w="102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Energías renovables y transición energética</w:t>
            </w:r>
          </w:p>
        </w:tc>
        <w:tc>
          <w:tcPr>
            <w:tcW w:w="378"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51"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52"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2"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4"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3"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79"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88"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556"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r>
      <w:tr w:rsidR="003C5BA7" w:rsidRPr="003C5BA7" w:rsidTr="00E04290">
        <w:trPr>
          <w:trHeight w:val="210"/>
        </w:trPr>
        <w:tc>
          <w:tcPr>
            <w:tcW w:w="102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b/>
                <w:bCs/>
                <w:sz w:val="14"/>
                <w:szCs w:val="14"/>
                <w:lang w:val="es-ES"/>
              </w:rPr>
            </w:pPr>
            <w:r w:rsidRPr="003C5BA7">
              <w:rPr>
                <w:rFonts w:ascii="Lucida Bright" w:hAnsi="Lucida Bright" w:cs="Calibri"/>
                <w:b/>
                <w:bCs/>
                <w:sz w:val="14"/>
                <w:szCs w:val="14"/>
                <w:lang w:val="es-ES"/>
              </w:rPr>
              <w:t xml:space="preserve"> d) Otro inmovilizado</w:t>
            </w:r>
          </w:p>
        </w:tc>
        <w:tc>
          <w:tcPr>
            <w:tcW w:w="37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18.507.695,19 </w:t>
            </w:r>
          </w:p>
        </w:tc>
        <w:tc>
          <w:tcPr>
            <w:tcW w:w="3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1.657.260,55 </w:t>
            </w:r>
          </w:p>
        </w:tc>
        <w:tc>
          <w:tcPr>
            <w:tcW w:w="35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(2.426.078,93) </w:t>
            </w:r>
          </w:p>
        </w:tc>
        <w:tc>
          <w:tcPr>
            <w:tcW w:w="31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7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34"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(3,04) </w:t>
            </w:r>
          </w:p>
        </w:tc>
        <w:tc>
          <w:tcPr>
            <w:tcW w:w="333"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279"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28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55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17.738.873,77 </w:t>
            </w:r>
          </w:p>
        </w:tc>
      </w:tr>
      <w:tr w:rsidR="00E04290" w:rsidRPr="003C5BA7" w:rsidTr="00E04290">
        <w:trPr>
          <w:trHeight w:val="210"/>
        </w:trPr>
        <w:tc>
          <w:tcPr>
            <w:tcW w:w="898" w:type="pct"/>
            <w:tcBorders>
              <w:top w:val="nil"/>
              <w:left w:val="single" w:sz="4" w:space="0" w:color="auto"/>
              <w:bottom w:val="single" w:sz="4" w:space="0" w:color="auto"/>
              <w:right w:val="nil"/>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Mobiliario</w:t>
            </w:r>
          </w:p>
        </w:tc>
        <w:tc>
          <w:tcPr>
            <w:tcW w:w="125"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2.752.025,59 </w:t>
            </w:r>
          </w:p>
        </w:tc>
        <w:tc>
          <w:tcPr>
            <w:tcW w:w="3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57.829,38 </w:t>
            </w:r>
          </w:p>
        </w:tc>
        <w:tc>
          <w:tcPr>
            <w:tcW w:w="35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(140.001,47) </w:t>
            </w:r>
          </w:p>
        </w:tc>
        <w:tc>
          <w:tcPr>
            <w:tcW w:w="31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(0,07) </w:t>
            </w:r>
          </w:p>
        </w:tc>
        <w:tc>
          <w:tcPr>
            <w:tcW w:w="333"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79"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55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2.669.853,43 </w:t>
            </w:r>
          </w:p>
        </w:tc>
      </w:tr>
      <w:tr w:rsidR="003C5BA7" w:rsidRPr="003C5BA7" w:rsidTr="00E04290">
        <w:trPr>
          <w:trHeight w:val="210"/>
        </w:trPr>
        <w:tc>
          <w:tcPr>
            <w:tcW w:w="102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Equipos de proceso de información</w:t>
            </w:r>
          </w:p>
        </w:tc>
        <w:tc>
          <w:tcPr>
            <w:tcW w:w="37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2.954.009,52 </w:t>
            </w:r>
          </w:p>
        </w:tc>
        <w:tc>
          <w:tcPr>
            <w:tcW w:w="3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573.969,48 </w:t>
            </w:r>
          </w:p>
        </w:tc>
        <w:tc>
          <w:tcPr>
            <w:tcW w:w="35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(229.120,44) </w:t>
            </w:r>
          </w:p>
        </w:tc>
        <w:tc>
          <w:tcPr>
            <w:tcW w:w="31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(1,02) </w:t>
            </w:r>
          </w:p>
        </w:tc>
        <w:tc>
          <w:tcPr>
            <w:tcW w:w="333"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79"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55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3.298.857,54 </w:t>
            </w:r>
          </w:p>
        </w:tc>
      </w:tr>
      <w:tr w:rsidR="003C5BA7" w:rsidRPr="003C5BA7" w:rsidTr="00E04290">
        <w:trPr>
          <w:trHeight w:val="210"/>
        </w:trPr>
        <w:tc>
          <w:tcPr>
            <w:tcW w:w="102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Elementos de transporte</w:t>
            </w:r>
          </w:p>
        </w:tc>
        <w:tc>
          <w:tcPr>
            <w:tcW w:w="37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2.635.435,22 </w:t>
            </w:r>
          </w:p>
        </w:tc>
        <w:tc>
          <w:tcPr>
            <w:tcW w:w="351"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318.449,99 </w:t>
            </w:r>
          </w:p>
        </w:tc>
        <w:tc>
          <w:tcPr>
            <w:tcW w:w="35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(0,72) </w:t>
            </w:r>
          </w:p>
        </w:tc>
        <w:tc>
          <w:tcPr>
            <w:tcW w:w="333"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79"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55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2.953.884,49 </w:t>
            </w:r>
          </w:p>
        </w:tc>
      </w:tr>
      <w:tr w:rsidR="003C5BA7" w:rsidRPr="003C5BA7" w:rsidTr="00E04290">
        <w:trPr>
          <w:trHeight w:val="210"/>
        </w:trPr>
        <w:tc>
          <w:tcPr>
            <w:tcW w:w="102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xml:space="preserve">     Otro inmovilizado material</w:t>
            </w:r>
          </w:p>
        </w:tc>
        <w:tc>
          <w:tcPr>
            <w:tcW w:w="378" w:type="pct"/>
            <w:tcBorders>
              <w:top w:val="nil"/>
              <w:left w:val="nil"/>
              <w:bottom w:val="nil"/>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10.166.224,86 </w:t>
            </w:r>
          </w:p>
        </w:tc>
        <w:tc>
          <w:tcPr>
            <w:tcW w:w="351" w:type="pct"/>
            <w:tcBorders>
              <w:top w:val="nil"/>
              <w:left w:val="nil"/>
              <w:bottom w:val="nil"/>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707.011,70 </w:t>
            </w:r>
          </w:p>
        </w:tc>
        <w:tc>
          <w:tcPr>
            <w:tcW w:w="352" w:type="pct"/>
            <w:tcBorders>
              <w:top w:val="nil"/>
              <w:left w:val="nil"/>
              <w:bottom w:val="nil"/>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(2.056.957,02) </w:t>
            </w:r>
          </w:p>
        </w:tc>
        <w:tc>
          <w:tcPr>
            <w:tcW w:w="310"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72"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334"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424" w:type="pct"/>
            <w:gridSpan w:val="2"/>
            <w:tcBorders>
              <w:top w:val="nil"/>
              <w:left w:val="nil"/>
              <w:bottom w:val="nil"/>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(1,23) </w:t>
            </w:r>
          </w:p>
        </w:tc>
        <w:tc>
          <w:tcPr>
            <w:tcW w:w="333"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79"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288" w:type="pct"/>
            <w:tcBorders>
              <w:top w:val="nil"/>
              <w:left w:val="nil"/>
              <w:bottom w:val="nil"/>
              <w:right w:val="single" w:sz="4" w:space="0" w:color="auto"/>
            </w:tcBorders>
            <w:shd w:val="clear" w:color="000000" w:fill="FFFFFF"/>
            <w:noWrap/>
            <w:vAlign w:val="center"/>
            <w:hideMark/>
          </w:tcPr>
          <w:p w:rsidR="003C5BA7" w:rsidRPr="003C5BA7" w:rsidRDefault="003C5BA7" w:rsidP="003C5BA7">
            <w:pPr>
              <w:rPr>
                <w:rFonts w:ascii="Lucida Bright" w:hAnsi="Lucida Bright" w:cs="Calibri"/>
                <w:sz w:val="14"/>
                <w:szCs w:val="14"/>
                <w:lang w:val="es-ES"/>
              </w:rPr>
            </w:pPr>
            <w:r w:rsidRPr="003C5BA7">
              <w:rPr>
                <w:rFonts w:ascii="Lucida Bright" w:hAnsi="Lucida Bright" w:cs="Calibri"/>
                <w:sz w:val="14"/>
                <w:szCs w:val="14"/>
                <w:lang w:val="es-ES"/>
              </w:rPr>
              <w:t> </w:t>
            </w:r>
          </w:p>
        </w:tc>
        <w:tc>
          <w:tcPr>
            <w:tcW w:w="556"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sz w:val="14"/>
                <w:szCs w:val="14"/>
                <w:lang w:val="es-ES"/>
              </w:rPr>
            </w:pPr>
            <w:r w:rsidRPr="003C5BA7">
              <w:rPr>
                <w:rFonts w:ascii="Lucida Bright" w:hAnsi="Lucida Bright" w:cs="Calibri"/>
                <w:sz w:val="14"/>
                <w:szCs w:val="14"/>
                <w:lang w:val="es-ES"/>
              </w:rPr>
              <w:t xml:space="preserve">8.816.278,31 </w:t>
            </w:r>
          </w:p>
        </w:tc>
      </w:tr>
      <w:tr w:rsidR="00E04290" w:rsidRPr="003C5BA7" w:rsidTr="00E04290">
        <w:trPr>
          <w:trHeight w:val="210"/>
        </w:trPr>
        <w:tc>
          <w:tcPr>
            <w:tcW w:w="898" w:type="pct"/>
            <w:tcBorders>
              <w:top w:val="nil"/>
              <w:left w:val="single" w:sz="4" w:space="0" w:color="auto"/>
              <w:bottom w:val="single" w:sz="4" w:space="0" w:color="auto"/>
              <w:right w:val="nil"/>
            </w:tcBorders>
            <w:shd w:val="clear" w:color="000000" w:fill="FFFFFF"/>
            <w:noWrap/>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TOTAL</w:t>
            </w:r>
          </w:p>
        </w:tc>
        <w:tc>
          <w:tcPr>
            <w:tcW w:w="125" w:type="pct"/>
            <w:tcBorders>
              <w:top w:val="nil"/>
              <w:left w:val="nil"/>
              <w:bottom w:val="single" w:sz="4" w:space="0" w:color="auto"/>
              <w:right w:val="single" w:sz="4" w:space="0" w:color="auto"/>
            </w:tcBorders>
            <w:shd w:val="clear" w:color="000000" w:fill="FFFFFF"/>
            <w:noWrap/>
            <w:vAlign w:val="center"/>
            <w:hideMark/>
          </w:tcPr>
          <w:p w:rsidR="003C5BA7" w:rsidRPr="003C5BA7" w:rsidRDefault="003C5BA7" w:rsidP="003C5BA7">
            <w:pPr>
              <w:jc w:val="center"/>
              <w:rPr>
                <w:rFonts w:ascii="Lucida Bright" w:hAnsi="Lucida Bright" w:cs="Calibri"/>
                <w:b/>
                <w:bCs/>
                <w:sz w:val="14"/>
                <w:szCs w:val="14"/>
                <w:lang w:val="es-ES"/>
              </w:rPr>
            </w:pPr>
            <w:r w:rsidRPr="003C5BA7">
              <w:rPr>
                <w:rFonts w:ascii="Lucida Bright" w:hAnsi="Lucida Bright" w:cs="Calibri"/>
                <w:b/>
                <w:bCs/>
                <w:sz w:val="14"/>
                <w:szCs w:val="14"/>
                <w:lang w:val="es-ES"/>
              </w:rPr>
              <w:t> </w:t>
            </w:r>
          </w:p>
        </w:tc>
        <w:tc>
          <w:tcPr>
            <w:tcW w:w="378"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371.353.347,33 </w:t>
            </w:r>
          </w:p>
        </w:tc>
        <w:tc>
          <w:tcPr>
            <w:tcW w:w="351"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19.636.099,86 </w:t>
            </w:r>
          </w:p>
        </w:tc>
        <w:tc>
          <w:tcPr>
            <w:tcW w:w="352"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(3.822.920,31) </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72"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334"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42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(1.093,80) </w:t>
            </w:r>
          </w:p>
        </w:tc>
        <w:tc>
          <w:tcPr>
            <w:tcW w:w="333"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279"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288"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 </w:t>
            </w:r>
          </w:p>
        </w:tc>
        <w:tc>
          <w:tcPr>
            <w:tcW w:w="556" w:type="pct"/>
            <w:tcBorders>
              <w:top w:val="single" w:sz="4" w:space="0" w:color="auto"/>
              <w:left w:val="nil"/>
              <w:bottom w:val="single" w:sz="4" w:space="0" w:color="auto"/>
              <w:right w:val="single" w:sz="4" w:space="0" w:color="auto"/>
            </w:tcBorders>
            <w:shd w:val="clear" w:color="000000" w:fill="FFFFFF"/>
            <w:noWrap/>
            <w:vAlign w:val="center"/>
            <w:hideMark/>
          </w:tcPr>
          <w:p w:rsidR="003C5BA7" w:rsidRPr="003C5BA7" w:rsidRDefault="003C5BA7" w:rsidP="003C5BA7">
            <w:pPr>
              <w:jc w:val="right"/>
              <w:rPr>
                <w:rFonts w:ascii="Lucida Bright" w:hAnsi="Lucida Bright" w:cs="Calibri"/>
                <w:b/>
                <w:bCs/>
                <w:sz w:val="14"/>
                <w:szCs w:val="14"/>
                <w:lang w:val="es-ES"/>
              </w:rPr>
            </w:pPr>
            <w:r w:rsidRPr="003C5BA7">
              <w:rPr>
                <w:rFonts w:ascii="Lucida Bright" w:hAnsi="Lucida Bright" w:cs="Calibri"/>
                <w:b/>
                <w:bCs/>
                <w:sz w:val="14"/>
                <w:szCs w:val="14"/>
                <w:lang w:val="es-ES"/>
              </w:rPr>
              <w:t xml:space="preserve">387.165.433,08 </w:t>
            </w:r>
          </w:p>
        </w:tc>
      </w:tr>
    </w:tbl>
    <w:p w:rsidR="00FE5DBD" w:rsidRDefault="00FE5DBD" w:rsidP="003F45CD">
      <w:pPr>
        <w:pStyle w:val="Sangra3detindependiente"/>
        <w:tabs>
          <w:tab w:val="clear" w:pos="5671"/>
          <w:tab w:val="clear" w:pos="7797"/>
        </w:tabs>
        <w:rPr>
          <w:rFonts w:ascii="NewBaskerville" w:hAnsi="NewBaskerville"/>
          <w:sz w:val="20"/>
          <w:szCs w:val="20"/>
        </w:rPr>
      </w:pPr>
    </w:p>
    <w:p w:rsidR="0034275A" w:rsidRDefault="0034275A" w:rsidP="003F45CD">
      <w:pPr>
        <w:pStyle w:val="Sangra3detindependiente"/>
        <w:tabs>
          <w:tab w:val="clear" w:pos="5671"/>
          <w:tab w:val="clear" w:pos="7797"/>
        </w:tabs>
        <w:rPr>
          <w:rFonts w:ascii="NewBaskerville" w:hAnsi="NewBaskerville"/>
          <w:sz w:val="20"/>
          <w:szCs w:val="20"/>
        </w:rPr>
      </w:pPr>
    </w:p>
    <w:p w:rsidR="008D60E9" w:rsidRDefault="008D60E9" w:rsidP="003F45CD">
      <w:pPr>
        <w:pStyle w:val="Sangra3detindependiente"/>
        <w:tabs>
          <w:tab w:val="clear" w:pos="5671"/>
          <w:tab w:val="clear" w:pos="7797"/>
        </w:tabs>
        <w:rPr>
          <w:rFonts w:ascii="NewBaskerville" w:hAnsi="NewBaskerville"/>
          <w:sz w:val="20"/>
          <w:szCs w:val="20"/>
        </w:rPr>
      </w:pPr>
    </w:p>
    <w:p w:rsidR="008D60E9" w:rsidRDefault="008D60E9" w:rsidP="008D60E9">
      <w:pPr>
        <w:pStyle w:val="Sangra3detindependiente"/>
        <w:tabs>
          <w:tab w:val="clear" w:pos="5671"/>
          <w:tab w:val="clear" w:pos="7797"/>
        </w:tabs>
        <w:ind w:firstLine="0"/>
        <w:rPr>
          <w:rFonts w:ascii="NewBaskerville" w:hAnsi="NewBaskerville"/>
          <w:sz w:val="20"/>
          <w:szCs w:val="20"/>
        </w:rPr>
      </w:pPr>
    </w:p>
    <w:p w:rsidR="008D60E9" w:rsidRDefault="008D60E9" w:rsidP="003F45CD">
      <w:pPr>
        <w:pStyle w:val="Sangra3detindependiente"/>
        <w:tabs>
          <w:tab w:val="clear" w:pos="5671"/>
          <w:tab w:val="clear" w:pos="7797"/>
        </w:tabs>
        <w:rPr>
          <w:rFonts w:ascii="NewBaskerville" w:hAnsi="NewBaskerville"/>
          <w:sz w:val="20"/>
          <w:szCs w:val="20"/>
        </w:rPr>
      </w:pPr>
    </w:p>
    <w:p w:rsidR="008D60E9" w:rsidRDefault="008D60E9" w:rsidP="003F45CD">
      <w:pPr>
        <w:pStyle w:val="Sangra3detindependiente"/>
        <w:tabs>
          <w:tab w:val="clear" w:pos="5671"/>
          <w:tab w:val="clear" w:pos="7797"/>
        </w:tabs>
        <w:rPr>
          <w:rFonts w:ascii="NewBaskerville" w:hAnsi="NewBaskerville"/>
          <w:sz w:val="20"/>
          <w:szCs w:val="20"/>
        </w:rPr>
      </w:pPr>
    </w:p>
    <w:p w:rsidR="008D60E9" w:rsidRDefault="008D60E9" w:rsidP="003F45CD">
      <w:pPr>
        <w:pStyle w:val="Sangra3detindependiente"/>
        <w:tabs>
          <w:tab w:val="clear" w:pos="5671"/>
          <w:tab w:val="clear" w:pos="7797"/>
        </w:tabs>
        <w:rPr>
          <w:rFonts w:ascii="NewBaskerville" w:hAnsi="NewBaskerville"/>
          <w:sz w:val="20"/>
          <w:szCs w:val="20"/>
        </w:rPr>
      </w:pPr>
    </w:p>
    <w:p w:rsidR="008D60E9" w:rsidRDefault="008D60E9" w:rsidP="003F45CD">
      <w:pPr>
        <w:pStyle w:val="Sangra3detindependiente"/>
        <w:tabs>
          <w:tab w:val="clear" w:pos="5671"/>
          <w:tab w:val="clear" w:pos="7797"/>
        </w:tabs>
        <w:rPr>
          <w:rFonts w:ascii="NewBaskerville" w:hAnsi="NewBaskerville"/>
          <w:sz w:val="20"/>
          <w:szCs w:val="20"/>
        </w:rPr>
        <w:sectPr w:rsidR="008D60E9" w:rsidSect="00EC2B03">
          <w:headerReference w:type="default" r:id="rId18"/>
          <w:footerReference w:type="even" r:id="rId19"/>
          <w:footerReference w:type="default" r:id="rId20"/>
          <w:pgSz w:w="16840" w:h="11907" w:orient="landscape" w:code="9"/>
          <w:pgMar w:top="1276" w:right="1701" w:bottom="1418" w:left="1701" w:header="567" w:footer="720" w:gutter="0"/>
          <w:cols w:space="720"/>
          <w:docGrid w:linePitch="272"/>
        </w:sectPr>
      </w:pPr>
    </w:p>
    <w:p w:rsidR="008D60E9" w:rsidRDefault="008D60E9" w:rsidP="003F45CD">
      <w:pPr>
        <w:pStyle w:val="Sangra3detindependiente"/>
        <w:tabs>
          <w:tab w:val="clear" w:pos="5671"/>
          <w:tab w:val="clear" w:pos="7797"/>
        </w:tabs>
        <w:rPr>
          <w:rFonts w:ascii="NewBaskerville" w:hAnsi="NewBaskerville"/>
          <w:sz w:val="20"/>
          <w:szCs w:val="20"/>
        </w:rPr>
      </w:pPr>
    </w:p>
    <w:p w:rsidR="002578A1" w:rsidRPr="002757E2" w:rsidRDefault="002C4355" w:rsidP="003F45CD">
      <w:pPr>
        <w:pStyle w:val="Sangra3detindependiente"/>
        <w:tabs>
          <w:tab w:val="clear" w:pos="5671"/>
          <w:tab w:val="clear" w:pos="7797"/>
        </w:tabs>
        <w:rPr>
          <w:rFonts w:ascii="NewBaskerville" w:hAnsi="NewBaskerville"/>
          <w:sz w:val="20"/>
          <w:szCs w:val="20"/>
        </w:rPr>
      </w:pPr>
      <w:r w:rsidRPr="002757E2">
        <w:rPr>
          <w:rFonts w:ascii="NewBaskerville" w:hAnsi="NewBaskerville"/>
          <w:sz w:val="20"/>
          <w:szCs w:val="20"/>
        </w:rPr>
        <w:t>Se han traspasado activos del epígrafe del inmovilizado en curso a distintos epígrafes del inmoviliza</w:t>
      </w:r>
      <w:r w:rsidR="009338EA" w:rsidRPr="002757E2">
        <w:rPr>
          <w:rFonts w:ascii="NewBaskerville" w:hAnsi="NewBaskerville"/>
          <w:sz w:val="20"/>
          <w:szCs w:val="20"/>
        </w:rPr>
        <w:t>d</w:t>
      </w:r>
      <w:r w:rsidRPr="002757E2">
        <w:rPr>
          <w:rFonts w:ascii="NewBaskerville" w:hAnsi="NewBaskerville"/>
          <w:sz w:val="20"/>
          <w:szCs w:val="20"/>
        </w:rPr>
        <w:t xml:space="preserve">o material por importe de </w:t>
      </w:r>
      <w:r w:rsidR="00FC323F">
        <w:rPr>
          <w:rFonts w:ascii="NewBaskerville" w:hAnsi="NewBaskerville"/>
          <w:sz w:val="20"/>
          <w:szCs w:val="20"/>
        </w:rPr>
        <w:t>2</w:t>
      </w:r>
      <w:r w:rsidR="00DA75AB">
        <w:rPr>
          <w:rFonts w:ascii="NewBaskerville" w:hAnsi="NewBaskerville"/>
          <w:sz w:val="20"/>
          <w:szCs w:val="20"/>
        </w:rPr>
        <w:t>9</w:t>
      </w:r>
      <w:r w:rsidR="00312D68" w:rsidRPr="002757E2">
        <w:rPr>
          <w:rFonts w:ascii="NewBaskerville" w:hAnsi="NewBaskerville"/>
          <w:sz w:val="20"/>
          <w:szCs w:val="20"/>
        </w:rPr>
        <w:t>.</w:t>
      </w:r>
      <w:r w:rsidR="00DA75AB">
        <w:rPr>
          <w:rFonts w:ascii="NewBaskerville" w:hAnsi="NewBaskerville"/>
          <w:sz w:val="20"/>
          <w:szCs w:val="20"/>
        </w:rPr>
        <w:t>341</w:t>
      </w:r>
      <w:r w:rsidR="00312D68" w:rsidRPr="002757E2">
        <w:rPr>
          <w:rFonts w:ascii="NewBaskerville" w:hAnsi="NewBaskerville"/>
          <w:sz w:val="20"/>
          <w:szCs w:val="20"/>
        </w:rPr>
        <w:t>.</w:t>
      </w:r>
      <w:r w:rsidR="00DA75AB">
        <w:rPr>
          <w:rFonts w:ascii="NewBaskerville" w:hAnsi="NewBaskerville"/>
          <w:sz w:val="20"/>
          <w:szCs w:val="20"/>
        </w:rPr>
        <w:t>891</w:t>
      </w:r>
      <w:r w:rsidR="002757E2">
        <w:rPr>
          <w:rFonts w:ascii="NewBaskerville" w:hAnsi="NewBaskerville"/>
          <w:sz w:val="20"/>
          <w:szCs w:val="20"/>
        </w:rPr>
        <w:t>,</w:t>
      </w:r>
      <w:r w:rsidR="00DA75AB">
        <w:rPr>
          <w:rFonts w:ascii="NewBaskerville" w:hAnsi="NewBaskerville"/>
          <w:sz w:val="20"/>
          <w:szCs w:val="20"/>
        </w:rPr>
        <w:t>91</w:t>
      </w:r>
      <w:r w:rsidR="00631BEA" w:rsidRPr="002757E2">
        <w:rPr>
          <w:rFonts w:ascii="NewBaskerville" w:hAnsi="NewBaskerville"/>
          <w:sz w:val="20"/>
          <w:szCs w:val="20"/>
        </w:rPr>
        <w:t xml:space="preserve"> </w:t>
      </w:r>
      <w:r w:rsidRPr="002757E2">
        <w:rPr>
          <w:rFonts w:ascii="NewBaskerville" w:hAnsi="NewBaskerville"/>
          <w:sz w:val="20"/>
          <w:szCs w:val="20"/>
        </w:rPr>
        <w:t>euros. En el ejercicio 20</w:t>
      </w:r>
      <w:r w:rsidR="00312D68" w:rsidRPr="002757E2">
        <w:rPr>
          <w:rFonts w:ascii="NewBaskerville" w:hAnsi="NewBaskerville"/>
          <w:sz w:val="20"/>
          <w:szCs w:val="20"/>
        </w:rPr>
        <w:t>2</w:t>
      </w:r>
      <w:r w:rsidR="005E7B81">
        <w:rPr>
          <w:rFonts w:ascii="NewBaskerville" w:hAnsi="NewBaskerville"/>
          <w:sz w:val="20"/>
          <w:szCs w:val="20"/>
        </w:rPr>
        <w:t>3</w:t>
      </w:r>
      <w:r w:rsidRPr="002757E2">
        <w:rPr>
          <w:rFonts w:ascii="NewBaskerville" w:hAnsi="NewBaskerville"/>
          <w:sz w:val="20"/>
          <w:szCs w:val="20"/>
        </w:rPr>
        <w:t xml:space="preserve"> este traspaso ascendió a </w:t>
      </w:r>
      <w:r w:rsidR="00DA75AB">
        <w:rPr>
          <w:rFonts w:ascii="NewBaskerville" w:hAnsi="NewBaskerville"/>
          <w:sz w:val="20"/>
          <w:szCs w:val="20"/>
        </w:rPr>
        <w:t>37</w:t>
      </w:r>
      <w:r w:rsidR="002757E2">
        <w:rPr>
          <w:rFonts w:ascii="NewBaskerville" w:hAnsi="NewBaskerville"/>
          <w:sz w:val="20"/>
          <w:szCs w:val="20"/>
        </w:rPr>
        <w:t>.</w:t>
      </w:r>
      <w:r w:rsidR="00DA75AB">
        <w:rPr>
          <w:rFonts w:ascii="NewBaskerville" w:hAnsi="NewBaskerville"/>
          <w:sz w:val="20"/>
          <w:szCs w:val="20"/>
        </w:rPr>
        <w:t>271</w:t>
      </w:r>
      <w:r w:rsidR="002757E2">
        <w:rPr>
          <w:rFonts w:ascii="NewBaskerville" w:hAnsi="NewBaskerville"/>
          <w:sz w:val="20"/>
          <w:szCs w:val="20"/>
        </w:rPr>
        <w:t>.</w:t>
      </w:r>
      <w:r w:rsidR="00DA75AB">
        <w:rPr>
          <w:rFonts w:ascii="NewBaskerville" w:hAnsi="NewBaskerville"/>
          <w:sz w:val="20"/>
          <w:szCs w:val="20"/>
        </w:rPr>
        <w:t>966</w:t>
      </w:r>
      <w:r w:rsidR="002757E2">
        <w:rPr>
          <w:rFonts w:ascii="NewBaskerville" w:hAnsi="NewBaskerville"/>
          <w:sz w:val="20"/>
          <w:szCs w:val="20"/>
        </w:rPr>
        <w:t>,</w:t>
      </w:r>
      <w:r w:rsidR="00DA75AB">
        <w:rPr>
          <w:rFonts w:ascii="NewBaskerville" w:hAnsi="NewBaskerville"/>
          <w:sz w:val="20"/>
          <w:szCs w:val="20"/>
        </w:rPr>
        <w:t>17</w:t>
      </w:r>
      <w:r w:rsidR="002C6870" w:rsidRPr="002757E2">
        <w:rPr>
          <w:rFonts w:ascii="NewBaskerville" w:hAnsi="NewBaskerville"/>
          <w:sz w:val="20"/>
          <w:szCs w:val="20"/>
        </w:rPr>
        <w:t xml:space="preserve"> </w:t>
      </w:r>
      <w:r w:rsidR="001357FE" w:rsidRPr="002757E2">
        <w:rPr>
          <w:rFonts w:ascii="NewBaskerville" w:hAnsi="NewBaskerville"/>
          <w:sz w:val="20"/>
          <w:szCs w:val="20"/>
        </w:rPr>
        <w:t>euros.</w:t>
      </w:r>
    </w:p>
    <w:p w:rsidR="002578A1" w:rsidRPr="002757E2" w:rsidRDefault="00312D68">
      <w:pPr>
        <w:tabs>
          <w:tab w:val="right" w:pos="8364"/>
        </w:tabs>
        <w:ind w:firstLine="540"/>
        <w:jc w:val="both"/>
        <w:rPr>
          <w:rFonts w:ascii="NewBaskerville" w:hAnsi="NewBaskerville"/>
          <w:bCs/>
        </w:rPr>
      </w:pPr>
      <w:r w:rsidRPr="002757E2">
        <w:rPr>
          <w:rFonts w:ascii="NewBaskerville" w:hAnsi="NewBaskerville"/>
          <w:bCs/>
        </w:rPr>
        <w:t xml:space="preserve">Además se han traspasado activos del epígrafe del inmovilizado en curso a inversiones inmobiliarias por un total de </w:t>
      </w:r>
      <w:r w:rsidR="00DA75AB">
        <w:rPr>
          <w:rFonts w:ascii="NewBaskerville" w:hAnsi="NewBaskerville"/>
          <w:bCs/>
        </w:rPr>
        <w:t>1.532</w:t>
      </w:r>
      <w:r w:rsidRPr="002757E2">
        <w:rPr>
          <w:rFonts w:ascii="NewBaskerville" w:hAnsi="NewBaskerville"/>
          <w:bCs/>
        </w:rPr>
        <w:t>.</w:t>
      </w:r>
      <w:r w:rsidR="00DA75AB">
        <w:rPr>
          <w:rFonts w:ascii="NewBaskerville" w:hAnsi="NewBaskerville"/>
          <w:bCs/>
        </w:rPr>
        <w:t>491</w:t>
      </w:r>
      <w:r w:rsidRPr="002757E2">
        <w:rPr>
          <w:rFonts w:ascii="NewBaskerville" w:hAnsi="NewBaskerville"/>
          <w:bCs/>
        </w:rPr>
        <w:t>,</w:t>
      </w:r>
      <w:r w:rsidR="00DA75AB">
        <w:rPr>
          <w:rFonts w:ascii="NewBaskerville" w:hAnsi="NewBaskerville"/>
          <w:bCs/>
        </w:rPr>
        <w:t>58</w:t>
      </w:r>
      <w:r w:rsidR="003A5532" w:rsidRPr="002757E2">
        <w:rPr>
          <w:rFonts w:ascii="NewBaskerville" w:hAnsi="NewBaskerville"/>
          <w:bCs/>
        </w:rPr>
        <w:t xml:space="preserve"> euros.</w:t>
      </w:r>
    </w:p>
    <w:p w:rsidR="003A5532" w:rsidRDefault="003A5532">
      <w:pPr>
        <w:tabs>
          <w:tab w:val="right" w:pos="8364"/>
        </w:tabs>
        <w:ind w:firstLine="540"/>
        <w:jc w:val="both"/>
        <w:rPr>
          <w:bCs/>
        </w:rPr>
      </w:pPr>
    </w:p>
    <w:p w:rsidR="003A5532" w:rsidRPr="002F3984" w:rsidRDefault="003A5532">
      <w:pPr>
        <w:tabs>
          <w:tab w:val="right" w:pos="8364"/>
        </w:tabs>
        <w:ind w:firstLine="540"/>
        <w:jc w:val="both"/>
        <w:rPr>
          <w:bCs/>
          <w:lang w:val="es-ES"/>
        </w:rPr>
      </w:pPr>
    </w:p>
    <w:p w:rsidR="002C4355" w:rsidRDefault="002C4355">
      <w:pPr>
        <w:tabs>
          <w:tab w:val="right" w:pos="8364"/>
        </w:tabs>
        <w:ind w:firstLine="540"/>
        <w:jc w:val="both"/>
        <w:rPr>
          <w:rFonts w:ascii="NewBaskerville" w:hAnsi="NewBaskerville"/>
          <w:bCs/>
        </w:rPr>
      </w:pPr>
      <w:r w:rsidRPr="00CD156E">
        <w:rPr>
          <w:rFonts w:ascii="NewBaskerville" w:hAnsi="NewBaskerville"/>
          <w:bCs/>
        </w:rPr>
        <w:t>Los elementos del activo</w:t>
      </w:r>
      <w:r w:rsidR="00C67F18">
        <w:rPr>
          <w:rFonts w:ascii="NewBaskerville" w:hAnsi="NewBaskerville"/>
          <w:bCs/>
        </w:rPr>
        <w:t xml:space="preserve"> en uso</w:t>
      </w:r>
      <w:r w:rsidRPr="00CD156E">
        <w:rPr>
          <w:rFonts w:ascii="NewBaskerville" w:hAnsi="NewBaskerville"/>
          <w:bCs/>
        </w:rPr>
        <w:t xml:space="preserve"> totalmente amortizados por epígrafes son:</w:t>
      </w:r>
    </w:p>
    <w:p w:rsidR="007C1EAE" w:rsidRPr="00CD156E" w:rsidRDefault="007C1EAE">
      <w:pPr>
        <w:tabs>
          <w:tab w:val="right" w:pos="8364"/>
        </w:tabs>
        <w:ind w:firstLine="540"/>
        <w:jc w:val="both"/>
        <w:rPr>
          <w:rFonts w:ascii="NewBaskerville" w:hAnsi="NewBaskerville"/>
          <w:bCs/>
        </w:rPr>
      </w:pPr>
    </w:p>
    <w:tbl>
      <w:tblPr>
        <w:tblW w:w="7400" w:type="dxa"/>
        <w:tblInd w:w="60" w:type="dxa"/>
        <w:tblCellMar>
          <w:left w:w="70" w:type="dxa"/>
          <w:right w:w="70" w:type="dxa"/>
        </w:tblCellMar>
        <w:tblLook w:val="04A0" w:firstRow="1" w:lastRow="0" w:firstColumn="1" w:lastColumn="0" w:noHBand="0" w:noVBand="1"/>
      </w:tblPr>
      <w:tblGrid>
        <w:gridCol w:w="3940"/>
        <w:gridCol w:w="1700"/>
        <w:gridCol w:w="1760"/>
      </w:tblGrid>
      <w:tr w:rsidR="005C1CD6" w:rsidRPr="005C1CD6" w:rsidTr="005C1CD6">
        <w:trPr>
          <w:trHeight w:val="300"/>
        </w:trPr>
        <w:tc>
          <w:tcPr>
            <w:tcW w:w="3940" w:type="dxa"/>
            <w:tcBorders>
              <w:top w:val="single" w:sz="8" w:space="0" w:color="000000"/>
              <w:left w:val="single" w:sz="8" w:space="0" w:color="000000"/>
              <w:bottom w:val="single" w:sz="8" w:space="0" w:color="000000"/>
              <w:right w:val="single" w:sz="8" w:space="0" w:color="000000"/>
            </w:tcBorders>
            <w:shd w:val="clear" w:color="000000" w:fill="CCFFCC"/>
            <w:vAlign w:val="center"/>
            <w:hideMark/>
          </w:tcPr>
          <w:p w:rsidR="005C1CD6" w:rsidRPr="005C1CD6" w:rsidRDefault="005C1CD6" w:rsidP="005C1CD6">
            <w:pPr>
              <w:jc w:val="center"/>
              <w:rPr>
                <w:rFonts w:ascii="Lucida Bright" w:hAnsi="Lucida Bright" w:cs="Calibri"/>
                <w:b/>
                <w:bCs/>
                <w:color w:val="000000"/>
                <w:sz w:val="18"/>
                <w:szCs w:val="18"/>
                <w:lang w:val="es-ES"/>
              </w:rPr>
            </w:pPr>
            <w:r w:rsidRPr="005C1CD6">
              <w:rPr>
                <w:rFonts w:ascii="Lucida Bright" w:hAnsi="Lucida Bright" w:cs="Calibri"/>
                <w:b/>
                <w:bCs/>
                <w:color w:val="000000"/>
                <w:sz w:val="18"/>
                <w:szCs w:val="18"/>
                <w:lang w:val="es-ES"/>
              </w:rPr>
              <w:t>Epígrafe</w:t>
            </w:r>
          </w:p>
        </w:tc>
        <w:tc>
          <w:tcPr>
            <w:tcW w:w="1700" w:type="dxa"/>
            <w:tcBorders>
              <w:top w:val="single" w:sz="8" w:space="0" w:color="000000"/>
              <w:left w:val="nil"/>
              <w:bottom w:val="single" w:sz="8" w:space="0" w:color="000000"/>
              <w:right w:val="single" w:sz="8" w:space="0" w:color="000000"/>
            </w:tcBorders>
            <w:shd w:val="clear" w:color="000000" w:fill="CCFFCC"/>
            <w:noWrap/>
            <w:vAlign w:val="center"/>
            <w:hideMark/>
          </w:tcPr>
          <w:p w:rsidR="005C1CD6" w:rsidRPr="005C1CD6" w:rsidRDefault="005C1CD6" w:rsidP="005C1CD6">
            <w:pPr>
              <w:jc w:val="center"/>
              <w:rPr>
                <w:rFonts w:ascii="Lucida Bright" w:hAnsi="Lucida Bright" w:cs="Calibri"/>
                <w:b/>
                <w:bCs/>
                <w:color w:val="000000"/>
                <w:sz w:val="18"/>
                <w:szCs w:val="18"/>
                <w:lang w:val="es-ES"/>
              </w:rPr>
            </w:pPr>
            <w:r w:rsidRPr="005C1CD6">
              <w:rPr>
                <w:rFonts w:ascii="Lucida Bright" w:hAnsi="Lucida Bright" w:cs="Calibri"/>
                <w:b/>
                <w:bCs/>
                <w:color w:val="000000"/>
                <w:sz w:val="18"/>
                <w:szCs w:val="18"/>
                <w:lang w:val="es-ES"/>
              </w:rPr>
              <w:t>2024</w:t>
            </w:r>
          </w:p>
        </w:tc>
        <w:tc>
          <w:tcPr>
            <w:tcW w:w="1760" w:type="dxa"/>
            <w:tcBorders>
              <w:top w:val="single" w:sz="8" w:space="0" w:color="000000"/>
              <w:left w:val="nil"/>
              <w:bottom w:val="single" w:sz="8" w:space="0" w:color="000000"/>
              <w:right w:val="single" w:sz="8" w:space="0" w:color="000000"/>
            </w:tcBorders>
            <w:shd w:val="clear" w:color="000000" w:fill="CCFFCC"/>
            <w:noWrap/>
            <w:vAlign w:val="center"/>
            <w:hideMark/>
          </w:tcPr>
          <w:p w:rsidR="005C1CD6" w:rsidRPr="005C1CD6" w:rsidRDefault="005C1CD6" w:rsidP="005C1CD6">
            <w:pPr>
              <w:jc w:val="center"/>
              <w:rPr>
                <w:rFonts w:ascii="Lucida Bright" w:hAnsi="Lucida Bright" w:cs="Calibri"/>
                <w:b/>
                <w:bCs/>
                <w:color w:val="000000"/>
                <w:sz w:val="18"/>
                <w:szCs w:val="18"/>
                <w:lang w:val="es-ES"/>
              </w:rPr>
            </w:pPr>
            <w:r w:rsidRPr="005C1CD6">
              <w:rPr>
                <w:rFonts w:ascii="Lucida Bright" w:hAnsi="Lucida Bright" w:cs="Calibri"/>
                <w:b/>
                <w:bCs/>
                <w:color w:val="000000"/>
                <w:sz w:val="18"/>
                <w:szCs w:val="18"/>
                <w:lang w:val="es-ES"/>
              </w:rPr>
              <w:t>2023</w:t>
            </w:r>
          </w:p>
        </w:tc>
      </w:tr>
      <w:tr w:rsidR="005C1CD6" w:rsidRPr="005C1CD6" w:rsidTr="005C1CD6">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5C1CD6" w:rsidRPr="005C1CD6" w:rsidRDefault="005C1CD6" w:rsidP="005C1CD6">
            <w:pPr>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Instalaciones de ayudas a la navegación</w:t>
            </w:r>
          </w:p>
        </w:tc>
        <w:tc>
          <w:tcPr>
            <w:tcW w:w="1700" w:type="dxa"/>
            <w:tcBorders>
              <w:top w:val="nil"/>
              <w:left w:val="nil"/>
              <w:bottom w:val="single" w:sz="8" w:space="0" w:color="000000"/>
              <w:right w:val="single" w:sz="8" w:space="0" w:color="000000"/>
            </w:tcBorders>
            <w:shd w:val="clear" w:color="auto" w:fill="auto"/>
            <w:noWrap/>
            <w:vAlign w:val="bottom"/>
            <w:hideMark/>
          </w:tcPr>
          <w:p w:rsidR="005C1CD6" w:rsidRPr="005C1CD6" w:rsidRDefault="005C1CD6" w:rsidP="005C1CD6">
            <w:pPr>
              <w:jc w:val="right"/>
              <w:rPr>
                <w:rFonts w:ascii="Lucida Bright" w:hAnsi="Lucida Bright" w:cs="Calibri"/>
                <w:sz w:val="18"/>
                <w:szCs w:val="18"/>
                <w:lang w:val="es-ES"/>
              </w:rPr>
            </w:pPr>
            <w:r w:rsidRPr="005C1CD6">
              <w:rPr>
                <w:rFonts w:ascii="Lucida Bright" w:hAnsi="Lucida Bright" w:cs="Calibri"/>
                <w:sz w:val="18"/>
                <w:szCs w:val="18"/>
                <w:lang w:val="es-ES"/>
              </w:rPr>
              <w:t>4.917.915,12</w:t>
            </w:r>
          </w:p>
        </w:tc>
        <w:tc>
          <w:tcPr>
            <w:tcW w:w="1760" w:type="dxa"/>
            <w:tcBorders>
              <w:top w:val="nil"/>
              <w:left w:val="nil"/>
              <w:bottom w:val="single" w:sz="8" w:space="0" w:color="000000"/>
              <w:right w:val="single" w:sz="8" w:space="0" w:color="000000"/>
            </w:tcBorders>
            <w:shd w:val="clear" w:color="auto" w:fill="auto"/>
            <w:noWrap/>
            <w:vAlign w:val="bottom"/>
            <w:hideMark/>
          </w:tcPr>
          <w:p w:rsidR="005C1CD6" w:rsidRPr="005C1CD6" w:rsidRDefault="005C1CD6" w:rsidP="005C1CD6">
            <w:pPr>
              <w:jc w:val="right"/>
              <w:rPr>
                <w:rFonts w:ascii="Lucida Bright" w:hAnsi="Lucida Bright" w:cs="Calibri"/>
                <w:sz w:val="18"/>
                <w:szCs w:val="18"/>
                <w:lang w:val="es-ES"/>
              </w:rPr>
            </w:pPr>
            <w:r w:rsidRPr="005C1CD6">
              <w:rPr>
                <w:rFonts w:ascii="Lucida Bright" w:hAnsi="Lucida Bright" w:cs="Calibri"/>
                <w:sz w:val="18"/>
                <w:szCs w:val="18"/>
                <w:lang w:val="es-ES"/>
              </w:rPr>
              <w:t>4.907.814,04</w:t>
            </w:r>
          </w:p>
        </w:tc>
      </w:tr>
      <w:tr w:rsidR="005C1CD6" w:rsidRPr="005C1CD6" w:rsidTr="005C1CD6">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5C1CD6" w:rsidRPr="005C1CD6" w:rsidRDefault="005C1CD6" w:rsidP="005C1CD6">
            <w:pPr>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Accesos marítimos</w:t>
            </w:r>
          </w:p>
        </w:tc>
        <w:tc>
          <w:tcPr>
            <w:tcW w:w="1700" w:type="dxa"/>
            <w:tcBorders>
              <w:top w:val="nil"/>
              <w:left w:val="nil"/>
              <w:bottom w:val="single" w:sz="8" w:space="0" w:color="000000"/>
              <w:right w:val="single" w:sz="8" w:space="0" w:color="000000"/>
            </w:tcBorders>
            <w:shd w:val="clear" w:color="auto" w:fill="auto"/>
            <w:noWrap/>
            <w:vAlign w:val="bottom"/>
            <w:hideMark/>
          </w:tcPr>
          <w:p w:rsidR="005C1CD6" w:rsidRPr="005C1CD6" w:rsidRDefault="005C1CD6" w:rsidP="005C1CD6">
            <w:pPr>
              <w:jc w:val="right"/>
              <w:rPr>
                <w:rFonts w:ascii="Lucida Bright" w:hAnsi="Lucida Bright" w:cs="Calibri"/>
                <w:sz w:val="18"/>
                <w:szCs w:val="18"/>
                <w:lang w:val="es-ES"/>
              </w:rPr>
            </w:pPr>
            <w:r w:rsidRPr="005C1CD6">
              <w:rPr>
                <w:rFonts w:ascii="Lucida Bright" w:hAnsi="Lucida Bright" w:cs="Calibri"/>
                <w:sz w:val="18"/>
                <w:szCs w:val="18"/>
                <w:lang w:val="es-ES"/>
              </w:rPr>
              <w:t>1.393.386,46</w:t>
            </w:r>
          </w:p>
        </w:tc>
        <w:tc>
          <w:tcPr>
            <w:tcW w:w="1760" w:type="dxa"/>
            <w:tcBorders>
              <w:top w:val="nil"/>
              <w:left w:val="nil"/>
              <w:bottom w:val="single" w:sz="8" w:space="0" w:color="000000"/>
              <w:right w:val="single" w:sz="8" w:space="0" w:color="000000"/>
            </w:tcBorders>
            <w:shd w:val="clear" w:color="auto" w:fill="auto"/>
            <w:noWrap/>
            <w:vAlign w:val="bottom"/>
            <w:hideMark/>
          </w:tcPr>
          <w:p w:rsidR="005C1CD6" w:rsidRPr="005C1CD6" w:rsidRDefault="005C1CD6" w:rsidP="005C1CD6">
            <w:pPr>
              <w:jc w:val="right"/>
              <w:rPr>
                <w:rFonts w:ascii="Lucida Bright" w:hAnsi="Lucida Bright" w:cs="Calibri"/>
                <w:sz w:val="18"/>
                <w:szCs w:val="18"/>
                <w:lang w:val="es-ES"/>
              </w:rPr>
            </w:pPr>
            <w:r w:rsidRPr="005C1CD6">
              <w:rPr>
                <w:rFonts w:ascii="Lucida Bright" w:hAnsi="Lucida Bright" w:cs="Calibri"/>
                <w:sz w:val="18"/>
                <w:szCs w:val="18"/>
                <w:lang w:val="es-ES"/>
              </w:rPr>
              <w:t>1.393.386,46</w:t>
            </w:r>
          </w:p>
        </w:tc>
      </w:tr>
      <w:tr w:rsidR="005C1CD6" w:rsidRPr="005C1CD6" w:rsidTr="005C1CD6">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5C1CD6" w:rsidRPr="005C1CD6" w:rsidRDefault="005C1CD6" w:rsidP="005C1CD6">
            <w:pPr>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Obras de abrigo y defensa</w:t>
            </w:r>
          </w:p>
        </w:tc>
        <w:tc>
          <w:tcPr>
            <w:tcW w:w="170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30.752.286,84</w:t>
            </w:r>
          </w:p>
        </w:tc>
        <w:tc>
          <w:tcPr>
            <w:tcW w:w="176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30.269.914,53</w:t>
            </w:r>
          </w:p>
        </w:tc>
      </w:tr>
      <w:tr w:rsidR="005C1CD6" w:rsidRPr="005C1CD6" w:rsidTr="005C1CD6">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5C1CD6" w:rsidRPr="005C1CD6" w:rsidRDefault="005C1CD6" w:rsidP="005C1CD6">
            <w:pPr>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Obras de atraque</w:t>
            </w:r>
          </w:p>
        </w:tc>
        <w:tc>
          <w:tcPr>
            <w:tcW w:w="170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65.001.177,10</w:t>
            </w:r>
          </w:p>
        </w:tc>
        <w:tc>
          <w:tcPr>
            <w:tcW w:w="176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63.815.148,24</w:t>
            </w:r>
          </w:p>
        </w:tc>
      </w:tr>
      <w:tr w:rsidR="005C1CD6" w:rsidRPr="005C1CD6" w:rsidTr="005C1CD6">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5C1CD6" w:rsidRPr="005C1CD6" w:rsidRDefault="005C1CD6" w:rsidP="005C1CD6">
            <w:pPr>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Edificaciones</w:t>
            </w:r>
          </w:p>
        </w:tc>
        <w:tc>
          <w:tcPr>
            <w:tcW w:w="170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12.601.266,11</w:t>
            </w:r>
          </w:p>
        </w:tc>
        <w:tc>
          <w:tcPr>
            <w:tcW w:w="176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12.203.821,58</w:t>
            </w:r>
          </w:p>
        </w:tc>
      </w:tr>
      <w:tr w:rsidR="005C1CD6" w:rsidRPr="005C1CD6" w:rsidTr="005C1CD6">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5C1CD6" w:rsidRPr="005C1CD6" w:rsidRDefault="005C1CD6" w:rsidP="005C1CD6">
            <w:pPr>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Instalaciones generales</w:t>
            </w:r>
          </w:p>
        </w:tc>
        <w:tc>
          <w:tcPr>
            <w:tcW w:w="170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26.851.727,99</w:t>
            </w:r>
          </w:p>
        </w:tc>
        <w:tc>
          <w:tcPr>
            <w:tcW w:w="176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21.580.395,14</w:t>
            </w:r>
          </w:p>
        </w:tc>
      </w:tr>
      <w:tr w:rsidR="005C1CD6" w:rsidRPr="005C1CD6" w:rsidTr="005C1CD6">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5C1CD6" w:rsidRPr="005C1CD6" w:rsidRDefault="005C1CD6" w:rsidP="005C1CD6">
            <w:pPr>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Pavimentos, calzadas y vías de circulación</w:t>
            </w:r>
          </w:p>
        </w:tc>
        <w:tc>
          <w:tcPr>
            <w:tcW w:w="170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44.264.889,58</w:t>
            </w:r>
          </w:p>
        </w:tc>
        <w:tc>
          <w:tcPr>
            <w:tcW w:w="176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43.653.265,74</w:t>
            </w:r>
          </w:p>
        </w:tc>
      </w:tr>
      <w:tr w:rsidR="005C1CD6" w:rsidRPr="005C1CD6" w:rsidTr="005C1CD6">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5C1CD6" w:rsidRPr="005C1CD6" w:rsidRDefault="005C1CD6" w:rsidP="005C1CD6">
            <w:pPr>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Equipos de manipulación de mercancías</w:t>
            </w:r>
          </w:p>
        </w:tc>
        <w:tc>
          <w:tcPr>
            <w:tcW w:w="170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6.269.014,77</w:t>
            </w:r>
          </w:p>
        </w:tc>
        <w:tc>
          <w:tcPr>
            <w:tcW w:w="176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3.605.358,10</w:t>
            </w:r>
          </w:p>
        </w:tc>
      </w:tr>
      <w:tr w:rsidR="005C1CD6" w:rsidRPr="005C1CD6" w:rsidTr="005C1CD6">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5C1CD6" w:rsidRPr="005C1CD6" w:rsidRDefault="005C1CD6" w:rsidP="005C1CD6">
            <w:pPr>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Material flotante</w:t>
            </w:r>
          </w:p>
        </w:tc>
        <w:tc>
          <w:tcPr>
            <w:tcW w:w="170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885.410,73</w:t>
            </w:r>
          </w:p>
        </w:tc>
        <w:tc>
          <w:tcPr>
            <w:tcW w:w="176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774.348,73</w:t>
            </w:r>
          </w:p>
        </w:tc>
      </w:tr>
      <w:tr w:rsidR="005C1CD6" w:rsidRPr="005C1CD6" w:rsidTr="005C1CD6">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5C1CD6" w:rsidRPr="005C1CD6" w:rsidRDefault="005C1CD6" w:rsidP="005C1CD6">
            <w:pPr>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Elementos de transporte</w:t>
            </w:r>
          </w:p>
        </w:tc>
        <w:tc>
          <w:tcPr>
            <w:tcW w:w="170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2.405.958,71</w:t>
            </w:r>
          </w:p>
        </w:tc>
        <w:tc>
          <w:tcPr>
            <w:tcW w:w="176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2.185.372,71</w:t>
            </w:r>
          </w:p>
        </w:tc>
      </w:tr>
      <w:tr w:rsidR="005C1CD6" w:rsidRPr="005C1CD6" w:rsidTr="005C1CD6">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5C1CD6" w:rsidRPr="005C1CD6" w:rsidRDefault="005C1CD6" w:rsidP="005C1CD6">
            <w:pPr>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Equipo de taller</w:t>
            </w:r>
          </w:p>
        </w:tc>
        <w:tc>
          <w:tcPr>
            <w:tcW w:w="170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167.038,45</w:t>
            </w:r>
          </w:p>
        </w:tc>
        <w:tc>
          <w:tcPr>
            <w:tcW w:w="176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167.038,45</w:t>
            </w:r>
          </w:p>
        </w:tc>
      </w:tr>
      <w:tr w:rsidR="005C1CD6" w:rsidRPr="005C1CD6" w:rsidTr="005C1CD6">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5C1CD6" w:rsidRPr="005C1CD6" w:rsidRDefault="005C1CD6" w:rsidP="005C1CD6">
            <w:pPr>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Mobiliario</w:t>
            </w:r>
          </w:p>
        </w:tc>
        <w:tc>
          <w:tcPr>
            <w:tcW w:w="170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2.546.570,21</w:t>
            </w:r>
          </w:p>
        </w:tc>
        <w:tc>
          <w:tcPr>
            <w:tcW w:w="176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2.518.682,20</w:t>
            </w:r>
          </w:p>
        </w:tc>
      </w:tr>
      <w:tr w:rsidR="005C1CD6" w:rsidRPr="005C1CD6" w:rsidTr="005C1CD6">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5C1CD6" w:rsidRPr="005C1CD6" w:rsidRDefault="005C1CD6" w:rsidP="005C1CD6">
            <w:pPr>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Material diverso</w:t>
            </w:r>
          </w:p>
        </w:tc>
        <w:tc>
          <w:tcPr>
            <w:tcW w:w="170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7.466.037,53</w:t>
            </w:r>
          </w:p>
        </w:tc>
        <w:tc>
          <w:tcPr>
            <w:tcW w:w="176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7.388.282,17</w:t>
            </w:r>
          </w:p>
        </w:tc>
      </w:tr>
      <w:tr w:rsidR="005C1CD6" w:rsidRPr="005C1CD6" w:rsidTr="005C1CD6">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5C1CD6" w:rsidRPr="005C1CD6" w:rsidRDefault="005C1CD6" w:rsidP="005C1CD6">
            <w:pPr>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Equipos para procesos de información</w:t>
            </w:r>
          </w:p>
        </w:tc>
        <w:tc>
          <w:tcPr>
            <w:tcW w:w="170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2.386.572,46</w:t>
            </w:r>
          </w:p>
        </w:tc>
        <w:tc>
          <w:tcPr>
            <w:tcW w:w="1760" w:type="dxa"/>
            <w:tcBorders>
              <w:top w:val="nil"/>
              <w:left w:val="nil"/>
              <w:bottom w:val="single" w:sz="8" w:space="0" w:color="000000"/>
              <w:right w:val="single" w:sz="8" w:space="0" w:color="000000"/>
            </w:tcBorders>
            <w:shd w:val="clear" w:color="000000" w:fill="FFFFFF"/>
            <w:noWrap/>
            <w:vAlign w:val="center"/>
            <w:hideMark/>
          </w:tcPr>
          <w:p w:rsidR="005C1CD6" w:rsidRPr="005C1CD6" w:rsidRDefault="005C1CD6" w:rsidP="005C1CD6">
            <w:pPr>
              <w:jc w:val="right"/>
              <w:rPr>
                <w:rFonts w:ascii="Lucida Bright" w:hAnsi="Lucida Bright" w:cs="Calibri"/>
                <w:color w:val="000000"/>
                <w:sz w:val="18"/>
                <w:szCs w:val="18"/>
                <w:lang w:val="es-ES"/>
              </w:rPr>
            </w:pPr>
            <w:r w:rsidRPr="005C1CD6">
              <w:rPr>
                <w:rFonts w:ascii="Lucida Bright" w:hAnsi="Lucida Bright" w:cs="Calibri"/>
                <w:color w:val="000000"/>
                <w:sz w:val="18"/>
                <w:szCs w:val="18"/>
                <w:lang w:val="es-ES"/>
              </w:rPr>
              <w:t>1.948.139,86</w:t>
            </w:r>
          </w:p>
        </w:tc>
      </w:tr>
      <w:tr w:rsidR="005C1CD6" w:rsidRPr="005C1CD6" w:rsidTr="005C1CD6">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5C1CD6" w:rsidRPr="005C1CD6" w:rsidRDefault="005C1CD6" w:rsidP="005C1CD6">
            <w:pPr>
              <w:ind w:firstLineChars="200" w:firstLine="361"/>
              <w:jc w:val="right"/>
              <w:rPr>
                <w:rFonts w:ascii="Lucida Bright" w:hAnsi="Lucida Bright" w:cs="Calibri"/>
                <w:b/>
                <w:bCs/>
                <w:color w:val="000000"/>
                <w:sz w:val="18"/>
                <w:szCs w:val="18"/>
                <w:lang w:val="es-ES"/>
              </w:rPr>
            </w:pPr>
            <w:r w:rsidRPr="005C1CD6">
              <w:rPr>
                <w:rFonts w:ascii="Lucida Bright" w:hAnsi="Lucida Bright" w:cs="Calibri"/>
                <w:b/>
                <w:bCs/>
                <w:color w:val="000000"/>
                <w:sz w:val="18"/>
                <w:szCs w:val="18"/>
                <w:lang w:val="es-ES"/>
              </w:rPr>
              <w:t>TOTAL</w:t>
            </w:r>
          </w:p>
        </w:tc>
        <w:tc>
          <w:tcPr>
            <w:tcW w:w="1700" w:type="dxa"/>
            <w:tcBorders>
              <w:top w:val="nil"/>
              <w:left w:val="nil"/>
              <w:bottom w:val="single" w:sz="8" w:space="0" w:color="000000"/>
              <w:right w:val="single" w:sz="8" w:space="0" w:color="000000"/>
            </w:tcBorders>
            <w:shd w:val="clear" w:color="auto" w:fill="auto"/>
            <w:noWrap/>
            <w:vAlign w:val="center"/>
            <w:hideMark/>
          </w:tcPr>
          <w:p w:rsidR="005C1CD6" w:rsidRPr="005C1CD6" w:rsidRDefault="005C1CD6" w:rsidP="005C1CD6">
            <w:pPr>
              <w:jc w:val="right"/>
              <w:rPr>
                <w:rFonts w:ascii="Lucida Bright" w:hAnsi="Lucida Bright" w:cs="Calibri"/>
                <w:b/>
                <w:bCs/>
                <w:color w:val="000000"/>
                <w:sz w:val="18"/>
                <w:szCs w:val="18"/>
                <w:lang w:val="es-ES"/>
              </w:rPr>
            </w:pPr>
            <w:r w:rsidRPr="005C1CD6">
              <w:rPr>
                <w:rFonts w:ascii="Lucida Bright" w:hAnsi="Lucida Bright" w:cs="Calibri"/>
                <w:b/>
                <w:bCs/>
                <w:color w:val="000000"/>
                <w:sz w:val="18"/>
                <w:szCs w:val="18"/>
                <w:lang w:val="es-ES"/>
              </w:rPr>
              <w:t>207.909.252,06</w:t>
            </w:r>
          </w:p>
        </w:tc>
        <w:tc>
          <w:tcPr>
            <w:tcW w:w="1760" w:type="dxa"/>
            <w:tcBorders>
              <w:top w:val="nil"/>
              <w:left w:val="nil"/>
              <w:bottom w:val="single" w:sz="8" w:space="0" w:color="000000"/>
              <w:right w:val="single" w:sz="8" w:space="0" w:color="000000"/>
            </w:tcBorders>
            <w:shd w:val="clear" w:color="auto" w:fill="auto"/>
            <w:noWrap/>
            <w:vAlign w:val="center"/>
            <w:hideMark/>
          </w:tcPr>
          <w:p w:rsidR="005C1CD6" w:rsidRPr="005C1CD6" w:rsidRDefault="005C1CD6" w:rsidP="005C1CD6">
            <w:pPr>
              <w:jc w:val="right"/>
              <w:rPr>
                <w:rFonts w:ascii="Lucida Bright" w:hAnsi="Lucida Bright" w:cs="Calibri"/>
                <w:b/>
                <w:bCs/>
                <w:color w:val="000000"/>
                <w:sz w:val="18"/>
                <w:szCs w:val="18"/>
                <w:lang w:val="es-ES"/>
              </w:rPr>
            </w:pPr>
            <w:r w:rsidRPr="005C1CD6">
              <w:rPr>
                <w:rFonts w:ascii="Lucida Bright" w:hAnsi="Lucida Bright" w:cs="Calibri"/>
                <w:b/>
                <w:bCs/>
                <w:color w:val="000000"/>
                <w:sz w:val="18"/>
                <w:szCs w:val="18"/>
                <w:lang w:val="es-ES"/>
              </w:rPr>
              <w:t>196.410.967,95</w:t>
            </w:r>
          </w:p>
        </w:tc>
      </w:tr>
    </w:tbl>
    <w:p w:rsidR="006A5C88" w:rsidRDefault="006A5C88">
      <w:pPr>
        <w:tabs>
          <w:tab w:val="right" w:pos="8364"/>
        </w:tabs>
        <w:ind w:firstLine="540"/>
        <w:jc w:val="both"/>
        <w:rPr>
          <w:bCs/>
        </w:rPr>
      </w:pPr>
    </w:p>
    <w:p w:rsidR="006A5C88" w:rsidRDefault="006A5C88">
      <w:pPr>
        <w:tabs>
          <w:tab w:val="right" w:pos="8364"/>
        </w:tabs>
        <w:ind w:firstLine="540"/>
        <w:jc w:val="both"/>
        <w:rPr>
          <w:lang w:val="es-ES"/>
        </w:rPr>
      </w:pPr>
      <w:r>
        <w:fldChar w:fldCharType="begin"/>
      </w:r>
      <w:r>
        <w:instrText xml:space="preserve"> LINK </w:instrText>
      </w:r>
      <w:r w:rsidR="00396608">
        <w:instrText xml:space="preserve">Excel.Sheet.12 Libro14 Hoja1!F5C4:F20C8 </w:instrText>
      </w:r>
      <w:r>
        <w:instrText xml:space="preserve">\a \f 4 \h </w:instrText>
      </w:r>
      <w:r>
        <w:fldChar w:fldCharType="separate"/>
      </w:r>
    </w:p>
    <w:p w:rsidR="00094C6A" w:rsidRPr="007C1EAE" w:rsidRDefault="006A5C88" w:rsidP="007C1EAE">
      <w:pPr>
        <w:tabs>
          <w:tab w:val="right" w:pos="8364"/>
        </w:tabs>
        <w:ind w:firstLine="540"/>
        <w:jc w:val="both"/>
        <w:rPr>
          <w:rFonts w:ascii="NewBaskerville" w:hAnsi="NewBaskerville"/>
          <w:bCs/>
        </w:rPr>
      </w:pPr>
      <w:r>
        <w:rPr>
          <w:bCs/>
        </w:rPr>
        <w:fldChar w:fldCharType="end"/>
      </w:r>
      <w:r w:rsidR="001B7235" w:rsidRPr="007C1EAE">
        <w:rPr>
          <w:rFonts w:ascii="NewBaskerville" w:hAnsi="NewBaskerville"/>
          <w:bCs/>
        </w:rPr>
        <w:t>A 31 de diciembre de 202</w:t>
      </w:r>
      <w:r w:rsidR="008350BB">
        <w:rPr>
          <w:rFonts w:ascii="NewBaskerville" w:hAnsi="NewBaskerville"/>
          <w:bCs/>
        </w:rPr>
        <w:t>4</w:t>
      </w:r>
      <w:r w:rsidR="001B7235" w:rsidRPr="007C1EAE">
        <w:rPr>
          <w:rFonts w:ascii="NewBaskerville" w:hAnsi="NewBaskerville"/>
          <w:bCs/>
        </w:rPr>
        <w:t xml:space="preserve"> y 202</w:t>
      </w:r>
      <w:r w:rsidR="008350BB">
        <w:rPr>
          <w:rFonts w:ascii="NewBaskerville" w:hAnsi="NewBaskerville"/>
          <w:bCs/>
        </w:rPr>
        <w:t>3</w:t>
      </w:r>
      <w:r w:rsidR="00094C6A" w:rsidRPr="007C1EAE">
        <w:rPr>
          <w:rFonts w:ascii="NewBaskerville" w:hAnsi="NewBaskerville"/>
          <w:bCs/>
        </w:rPr>
        <w:t xml:space="preserve"> no existen indicios de deterioro de inmovilizado material.</w:t>
      </w:r>
    </w:p>
    <w:p w:rsidR="002578A1" w:rsidRDefault="002578A1">
      <w:pPr>
        <w:tabs>
          <w:tab w:val="right" w:pos="8364"/>
        </w:tabs>
        <w:jc w:val="both"/>
        <w:rPr>
          <w:bCs/>
          <w:sz w:val="24"/>
        </w:rPr>
      </w:pPr>
    </w:p>
    <w:p w:rsidR="002C4355" w:rsidRDefault="002C4355">
      <w:pPr>
        <w:tabs>
          <w:tab w:val="right" w:pos="8364"/>
        </w:tabs>
        <w:ind w:firstLine="540"/>
        <w:jc w:val="both"/>
        <w:rPr>
          <w:rFonts w:ascii="NewBaskerville" w:hAnsi="NewBaskerville"/>
          <w:bCs/>
        </w:rPr>
      </w:pPr>
      <w:r w:rsidRPr="00075A9A">
        <w:rPr>
          <w:rFonts w:ascii="NewBaskerville" w:hAnsi="NewBaskerville"/>
          <w:bCs/>
        </w:rPr>
        <w:t>Los</w:t>
      </w:r>
      <w:r w:rsidR="00E17D79" w:rsidRPr="00075A9A">
        <w:rPr>
          <w:rFonts w:ascii="NewBaskerville" w:hAnsi="NewBaskerville"/>
          <w:bCs/>
        </w:rPr>
        <w:t xml:space="preserve"> elementos del activo financiados</w:t>
      </w:r>
      <w:r w:rsidRPr="00075A9A">
        <w:rPr>
          <w:rFonts w:ascii="NewBaskerville" w:hAnsi="NewBaskerville"/>
          <w:bCs/>
        </w:rPr>
        <w:t xml:space="preserve"> mediante subvenciones:</w:t>
      </w:r>
    </w:p>
    <w:p w:rsidR="007E1479" w:rsidRDefault="007E1479">
      <w:pPr>
        <w:tabs>
          <w:tab w:val="right" w:pos="8364"/>
        </w:tabs>
        <w:ind w:firstLine="540"/>
        <w:jc w:val="both"/>
        <w:rPr>
          <w:rFonts w:ascii="NewBaskerville" w:hAnsi="NewBaskerville"/>
          <w:bCs/>
        </w:rPr>
      </w:pPr>
    </w:p>
    <w:tbl>
      <w:tblPr>
        <w:tblW w:w="8940" w:type="dxa"/>
        <w:tblInd w:w="-65" w:type="dxa"/>
        <w:tblCellMar>
          <w:left w:w="70" w:type="dxa"/>
          <w:right w:w="70" w:type="dxa"/>
        </w:tblCellMar>
        <w:tblLook w:val="04A0" w:firstRow="1" w:lastRow="0" w:firstColumn="1" w:lastColumn="0" w:noHBand="0" w:noVBand="1"/>
      </w:tblPr>
      <w:tblGrid>
        <w:gridCol w:w="986"/>
        <w:gridCol w:w="4314"/>
        <w:gridCol w:w="1560"/>
        <w:gridCol w:w="2080"/>
      </w:tblGrid>
      <w:tr w:rsidR="005A28F6" w:rsidRPr="005A28F6" w:rsidTr="0092726E">
        <w:trPr>
          <w:trHeight w:val="300"/>
        </w:trPr>
        <w:tc>
          <w:tcPr>
            <w:tcW w:w="986" w:type="dxa"/>
            <w:tcBorders>
              <w:top w:val="single" w:sz="4" w:space="0" w:color="000000"/>
              <w:left w:val="single" w:sz="4" w:space="0" w:color="000000"/>
              <w:bottom w:val="single" w:sz="4" w:space="0" w:color="000000"/>
              <w:right w:val="single" w:sz="4" w:space="0" w:color="000000"/>
            </w:tcBorders>
            <w:shd w:val="clear" w:color="000000" w:fill="CCFFCC"/>
            <w:vAlign w:val="center"/>
            <w:hideMark/>
          </w:tcPr>
          <w:p w:rsidR="005A28F6" w:rsidRPr="005A28F6" w:rsidRDefault="005A28F6" w:rsidP="005A28F6">
            <w:pPr>
              <w:ind w:firstLineChars="100" w:firstLine="181"/>
              <w:rPr>
                <w:rFonts w:ascii="Lucida Bright" w:hAnsi="Lucida Bright" w:cs="Calibri"/>
                <w:b/>
                <w:bCs/>
                <w:sz w:val="18"/>
                <w:szCs w:val="18"/>
                <w:lang w:val="es-ES"/>
              </w:rPr>
            </w:pPr>
            <w:r w:rsidRPr="005A28F6">
              <w:rPr>
                <w:rFonts w:ascii="Lucida Bright" w:hAnsi="Lucida Bright" w:cs="Calibri"/>
                <w:b/>
                <w:bCs/>
                <w:sz w:val="18"/>
                <w:szCs w:val="18"/>
                <w:lang w:val="es-ES"/>
              </w:rPr>
              <w:t>Puerto</w:t>
            </w:r>
          </w:p>
        </w:tc>
        <w:tc>
          <w:tcPr>
            <w:tcW w:w="4314" w:type="dxa"/>
            <w:tcBorders>
              <w:top w:val="single" w:sz="4" w:space="0" w:color="000000"/>
              <w:left w:val="nil"/>
              <w:bottom w:val="single" w:sz="4" w:space="0" w:color="000000"/>
              <w:right w:val="single" w:sz="4" w:space="0" w:color="000000"/>
            </w:tcBorders>
            <w:shd w:val="clear" w:color="000000" w:fill="CCFFCC"/>
            <w:vAlign w:val="center"/>
            <w:hideMark/>
          </w:tcPr>
          <w:p w:rsidR="005A28F6" w:rsidRPr="005A28F6" w:rsidRDefault="005A28F6" w:rsidP="005A28F6">
            <w:pPr>
              <w:jc w:val="center"/>
              <w:rPr>
                <w:rFonts w:ascii="Lucida Bright" w:hAnsi="Lucida Bright" w:cs="Calibri"/>
                <w:b/>
                <w:bCs/>
                <w:sz w:val="18"/>
                <w:szCs w:val="18"/>
                <w:lang w:val="es-ES"/>
              </w:rPr>
            </w:pPr>
            <w:r w:rsidRPr="005A28F6">
              <w:rPr>
                <w:rFonts w:ascii="Lucida Bright" w:hAnsi="Lucida Bright" w:cs="Calibri"/>
                <w:b/>
                <w:bCs/>
                <w:sz w:val="18"/>
                <w:szCs w:val="18"/>
                <w:lang w:val="es-ES"/>
              </w:rPr>
              <w:t>Descripción</w:t>
            </w:r>
          </w:p>
        </w:tc>
        <w:tc>
          <w:tcPr>
            <w:tcW w:w="1560" w:type="dxa"/>
            <w:tcBorders>
              <w:top w:val="single" w:sz="4" w:space="0" w:color="000000"/>
              <w:left w:val="nil"/>
              <w:bottom w:val="single" w:sz="4" w:space="0" w:color="000000"/>
              <w:right w:val="nil"/>
            </w:tcBorders>
            <w:shd w:val="clear" w:color="000000" w:fill="CCFFCC"/>
            <w:noWrap/>
            <w:vAlign w:val="center"/>
            <w:hideMark/>
          </w:tcPr>
          <w:p w:rsidR="005A28F6" w:rsidRPr="005A28F6" w:rsidRDefault="005A28F6" w:rsidP="005A28F6">
            <w:pPr>
              <w:rPr>
                <w:rFonts w:ascii="Lucida Bright" w:hAnsi="Lucida Bright" w:cs="Calibri"/>
                <w:b/>
                <w:bCs/>
                <w:sz w:val="18"/>
                <w:szCs w:val="18"/>
                <w:lang w:val="es-ES"/>
              </w:rPr>
            </w:pPr>
            <w:r w:rsidRPr="005A28F6">
              <w:rPr>
                <w:rFonts w:ascii="Lucida Bright" w:hAnsi="Lucida Bright" w:cs="Calibri"/>
                <w:b/>
                <w:bCs/>
                <w:sz w:val="18"/>
                <w:szCs w:val="18"/>
                <w:lang w:val="es-ES"/>
              </w:rPr>
              <w:t>Importe activo</w:t>
            </w:r>
          </w:p>
        </w:tc>
        <w:tc>
          <w:tcPr>
            <w:tcW w:w="208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5A28F6" w:rsidRPr="005A28F6" w:rsidRDefault="005A28F6" w:rsidP="005A28F6">
            <w:pPr>
              <w:rPr>
                <w:rFonts w:ascii="Lucida Bright" w:hAnsi="Lucida Bright" w:cs="Calibri"/>
                <w:b/>
                <w:bCs/>
                <w:sz w:val="18"/>
                <w:szCs w:val="18"/>
                <w:lang w:val="es-ES"/>
              </w:rPr>
            </w:pPr>
            <w:r w:rsidRPr="005A28F6">
              <w:rPr>
                <w:rFonts w:ascii="Lucida Bright" w:hAnsi="Lucida Bright" w:cs="Calibri"/>
                <w:b/>
                <w:bCs/>
                <w:sz w:val="18"/>
                <w:szCs w:val="18"/>
                <w:lang w:val="es-ES"/>
              </w:rPr>
              <w:t>Importe subvención</w:t>
            </w:r>
          </w:p>
        </w:tc>
      </w:tr>
      <w:tr w:rsidR="005A28F6" w:rsidRPr="005A28F6" w:rsidTr="0092726E">
        <w:trPr>
          <w:trHeight w:val="300"/>
        </w:trPr>
        <w:tc>
          <w:tcPr>
            <w:tcW w:w="986" w:type="dxa"/>
            <w:tcBorders>
              <w:top w:val="nil"/>
              <w:left w:val="single" w:sz="4" w:space="0" w:color="000000"/>
              <w:bottom w:val="single" w:sz="4" w:space="0" w:color="000000"/>
              <w:right w:val="single" w:sz="4" w:space="0" w:color="000000"/>
            </w:tcBorders>
            <w:shd w:val="clear" w:color="auto" w:fill="auto"/>
            <w:vAlign w:val="center"/>
            <w:hideMark/>
          </w:tcPr>
          <w:p w:rsidR="005A28F6" w:rsidRPr="005A28F6" w:rsidRDefault="005A28F6" w:rsidP="005A28F6">
            <w:pPr>
              <w:rPr>
                <w:rFonts w:ascii="Lucida Bright" w:hAnsi="Lucida Bright" w:cs="Calibri"/>
                <w:sz w:val="18"/>
                <w:szCs w:val="18"/>
                <w:lang w:val="es-ES"/>
              </w:rPr>
            </w:pPr>
            <w:r w:rsidRPr="005A28F6">
              <w:rPr>
                <w:rFonts w:ascii="Lucida Bright" w:hAnsi="Lucida Bright" w:cs="Calibri"/>
                <w:sz w:val="18"/>
                <w:szCs w:val="18"/>
                <w:lang w:val="es-ES"/>
              </w:rPr>
              <w:t>Palma</w:t>
            </w:r>
          </w:p>
        </w:tc>
        <w:tc>
          <w:tcPr>
            <w:tcW w:w="4314" w:type="dxa"/>
            <w:tcBorders>
              <w:top w:val="nil"/>
              <w:left w:val="nil"/>
              <w:bottom w:val="single" w:sz="4" w:space="0" w:color="000000"/>
              <w:right w:val="single" w:sz="4" w:space="0" w:color="000000"/>
            </w:tcBorders>
            <w:shd w:val="clear" w:color="auto" w:fill="auto"/>
            <w:noWrap/>
            <w:vAlign w:val="center"/>
            <w:hideMark/>
          </w:tcPr>
          <w:p w:rsidR="005A28F6" w:rsidRPr="005A28F6" w:rsidRDefault="005A28F6" w:rsidP="005A28F6">
            <w:pPr>
              <w:rPr>
                <w:rFonts w:ascii="Lucida Bright" w:hAnsi="Lucida Bright" w:cs="Calibri"/>
                <w:sz w:val="18"/>
                <w:szCs w:val="18"/>
                <w:lang w:val="es-ES"/>
              </w:rPr>
            </w:pPr>
            <w:r w:rsidRPr="005A28F6">
              <w:rPr>
                <w:rFonts w:ascii="Lucida Bright" w:hAnsi="Lucida Bright" w:cs="Calibri"/>
                <w:sz w:val="18"/>
                <w:szCs w:val="18"/>
                <w:lang w:val="es-ES"/>
              </w:rPr>
              <w:t>Ampl. explanada sur MMCC</w:t>
            </w:r>
          </w:p>
        </w:tc>
        <w:tc>
          <w:tcPr>
            <w:tcW w:w="1560" w:type="dxa"/>
            <w:tcBorders>
              <w:top w:val="nil"/>
              <w:left w:val="nil"/>
              <w:bottom w:val="single" w:sz="4" w:space="0" w:color="000000"/>
              <w:right w:val="nil"/>
            </w:tcBorders>
            <w:shd w:val="clear" w:color="000000" w:fill="FFFFFF"/>
            <w:noWrap/>
            <w:vAlign w:val="center"/>
            <w:hideMark/>
          </w:tcPr>
          <w:p w:rsidR="005A28F6" w:rsidRPr="005A28F6" w:rsidRDefault="005A28F6" w:rsidP="005A28F6">
            <w:pPr>
              <w:jc w:val="right"/>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18.568.475,79</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rsidR="005A28F6" w:rsidRPr="005A28F6" w:rsidRDefault="005A28F6" w:rsidP="005A28F6">
            <w:pPr>
              <w:jc w:val="right"/>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14.563.951,00</w:t>
            </w:r>
          </w:p>
        </w:tc>
      </w:tr>
      <w:tr w:rsidR="005A28F6" w:rsidRPr="005A28F6" w:rsidTr="0092726E">
        <w:trPr>
          <w:trHeight w:val="300"/>
        </w:trPr>
        <w:tc>
          <w:tcPr>
            <w:tcW w:w="986" w:type="dxa"/>
            <w:tcBorders>
              <w:top w:val="nil"/>
              <w:left w:val="single" w:sz="4" w:space="0" w:color="000000"/>
              <w:bottom w:val="single" w:sz="4" w:space="0" w:color="000000"/>
              <w:right w:val="single" w:sz="4" w:space="0" w:color="000000"/>
            </w:tcBorders>
            <w:shd w:val="clear" w:color="auto" w:fill="auto"/>
            <w:vAlign w:val="center"/>
            <w:hideMark/>
          </w:tcPr>
          <w:p w:rsidR="005A28F6" w:rsidRPr="005A28F6" w:rsidRDefault="005A28F6" w:rsidP="005A28F6">
            <w:pPr>
              <w:rPr>
                <w:rFonts w:ascii="Lucida Bright" w:hAnsi="Lucida Bright" w:cs="Calibri"/>
                <w:sz w:val="18"/>
                <w:szCs w:val="18"/>
                <w:lang w:val="es-ES"/>
              </w:rPr>
            </w:pPr>
            <w:r w:rsidRPr="005A28F6">
              <w:rPr>
                <w:rFonts w:ascii="Lucida Bright" w:hAnsi="Lucida Bright" w:cs="Calibri"/>
                <w:sz w:val="18"/>
                <w:szCs w:val="18"/>
                <w:lang w:val="es-ES"/>
              </w:rPr>
              <w:t> </w:t>
            </w:r>
          </w:p>
        </w:tc>
        <w:tc>
          <w:tcPr>
            <w:tcW w:w="4314" w:type="dxa"/>
            <w:tcBorders>
              <w:top w:val="nil"/>
              <w:left w:val="nil"/>
              <w:bottom w:val="single" w:sz="4" w:space="0" w:color="000000"/>
              <w:right w:val="single" w:sz="4" w:space="0" w:color="000000"/>
            </w:tcBorders>
            <w:shd w:val="clear" w:color="auto" w:fill="auto"/>
            <w:noWrap/>
            <w:vAlign w:val="center"/>
            <w:hideMark/>
          </w:tcPr>
          <w:p w:rsidR="005A28F6" w:rsidRPr="005A28F6" w:rsidRDefault="005A28F6" w:rsidP="005A28F6">
            <w:pPr>
              <w:rPr>
                <w:rFonts w:ascii="Lucida Bright" w:hAnsi="Lucida Bright" w:cs="Calibri"/>
                <w:sz w:val="18"/>
                <w:szCs w:val="18"/>
                <w:lang w:val="es-ES"/>
              </w:rPr>
            </w:pPr>
            <w:r w:rsidRPr="005A28F6">
              <w:rPr>
                <w:rFonts w:ascii="Lucida Bright" w:hAnsi="Lucida Bright" w:cs="Calibri"/>
                <w:sz w:val="18"/>
                <w:szCs w:val="18"/>
                <w:lang w:val="es-ES"/>
              </w:rPr>
              <w:t>Inst. suministro eléctrico a Ferrys MLL Paraires</w:t>
            </w:r>
          </w:p>
        </w:tc>
        <w:tc>
          <w:tcPr>
            <w:tcW w:w="1560" w:type="dxa"/>
            <w:tcBorders>
              <w:top w:val="nil"/>
              <w:left w:val="nil"/>
              <w:bottom w:val="single" w:sz="4" w:space="0" w:color="000000"/>
              <w:right w:val="nil"/>
            </w:tcBorders>
            <w:shd w:val="clear" w:color="000000" w:fill="FFFFFF"/>
            <w:noWrap/>
            <w:vAlign w:val="center"/>
            <w:hideMark/>
          </w:tcPr>
          <w:p w:rsidR="005A28F6" w:rsidRPr="005A28F6" w:rsidRDefault="005A28F6" w:rsidP="005A28F6">
            <w:pPr>
              <w:jc w:val="right"/>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1.168.232,98</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rsidR="005A28F6" w:rsidRPr="005A28F6" w:rsidRDefault="005A28F6" w:rsidP="005A28F6">
            <w:pPr>
              <w:jc w:val="right"/>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156.470,98</w:t>
            </w:r>
          </w:p>
        </w:tc>
      </w:tr>
      <w:tr w:rsidR="005A28F6" w:rsidRPr="005A28F6" w:rsidTr="0092726E">
        <w:trPr>
          <w:trHeight w:val="300"/>
        </w:trPr>
        <w:tc>
          <w:tcPr>
            <w:tcW w:w="986" w:type="dxa"/>
            <w:tcBorders>
              <w:top w:val="nil"/>
              <w:left w:val="single" w:sz="4" w:space="0" w:color="000000"/>
              <w:bottom w:val="single" w:sz="4" w:space="0" w:color="000000"/>
              <w:right w:val="single" w:sz="4" w:space="0" w:color="000000"/>
            </w:tcBorders>
            <w:shd w:val="clear" w:color="auto" w:fill="auto"/>
            <w:vAlign w:val="center"/>
            <w:hideMark/>
          </w:tcPr>
          <w:p w:rsidR="005A28F6" w:rsidRPr="005A28F6" w:rsidRDefault="005A28F6" w:rsidP="005A28F6">
            <w:pPr>
              <w:rPr>
                <w:rFonts w:ascii="Lucida Bright" w:hAnsi="Lucida Bright" w:cs="Calibri"/>
                <w:sz w:val="18"/>
                <w:szCs w:val="18"/>
                <w:lang w:val="es-ES"/>
              </w:rPr>
            </w:pPr>
            <w:r w:rsidRPr="005A28F6">
              <w:rPr>
                <w:rFonts w:ascii="Lucida Bright" w:hAnsi="Lucida Bright" w:cs="Calibri"/>
                <w:sz w:val="18"/>
                <w:szCs w:val="18"/>
                <w:lang w:val="es-ES"/>
              </w:rPr>
              <w:t>Alcudia</w:t>
            </w:r>
          </w:p>
        </w:tc>
        <w:tc>
          <w:tcPr>
            <w:tcW w:w="4314" w:type="dxa"/>
            <w:tcBorders>
              <w:top w:val="nil"/>
              <w:left w:val="nil"/>
              <w:bottom w:val="single" w:sz="4" w:space="0" w:color="000000"/>
              <w:right w:val="single" w:sz="4" w:space="0" w:color="000000"/>
            </w:tcBorders>
            <w:shd w:val="clear" w:color="auto" w:fill="auto"/>
            <w:vAlign w:val="center"/>
            <w:hideMark/>
          </w:tcPr>
          <w:p w:rsidR="005A28F6" w:rsidRPr="005A28F6" w:rsidRDefault="005A28F6" w:rsidP="005A28F6">
            <w:pPr>
              <w:rPr>
                <w:rFonts w:ascii="Lucida Bright" w:hAnsi="Lucida Bright" w:cs="Calibri"/>
                <w:sz w:val="18"/>
                <w:szCs w:val="18"/>
                <w:lang w:val="es-ES"/>
              </w:rPr>
            </w:pPr>
            <w:r w:rsidRPr="005A28F6">
              <w:rPr>
                <w:rFonts w:ascii="Lucida Bright" w:hAnsi="Lucida Bright" w:cs="Calibri"/>
                <w:sz w:val="18"/>
                <w:szCs w:val="18"/>
                <w:lang w:val="es-ES"/>
              </w:rPr>
              <w:t>Mejora edificio en L</w:t>
            </w:r>
          </w:p>
        </w:tc>
        <w:tc>
          <w:tcPr>
            <w:tcW w:w="1560" w:type="dxa"/>
            <w:tcBorders>
              <w:top w:val="nil"/>
              <w:left w:val="nil"/>
              <w:bottom w:val="single" w:sz="4" w:space="0" w:color="000000"/>
              <w:right w:val="nil"/>
            </w:tcBorders>
            <w:shd w:val="clear" w:color="000000" w:fill="FFFFFF"/>
            <w:noWrap/>
            <w:vAlign w:val="center"/>
            <w:hideMark/>
          </w:tcPr>
          <w:p w:rsidR="005A28F6" w:rsidRPr="005A28F6" w:rsidRDefault="005A28F6" w:rsidP="005A28F6">
            <w:pPr>
              <w:jc w:val="right"/>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709.479,87</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rsidR="005A28F6" w:rsidRPr="005A28F6" w:rsidRDefault="005A28F6" w:rsidP="005A28F6">
            <w:pPr>
              <w:jc w:val="right"/>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352.072,11</w:t>
            </w:r>
          </w:p>
        </w:tc>
      </w:tr>
      <w:tr w:rsidR="005A28F6" w:rsidRPr="005A28F6" w:rsidTr="0092726E">
        <w:trPr>
          <w:trHeight w:val="300"/>
        </w:trPr>
        <w:tc>
          <w:tcPr>
            <w:tcW w:w="986" w:type="dxa"/>
            <w:tcBorders>
              <w:top w:val="nil"/>
              <w:left w:val="single" w:sz="4" w:space="0" w:color="000000"/>
              <w:bottom w:val="single" w:sz="4" w:space="0" w:color="000000"/>
              <w:right w:val="single" w:sz="4" w:space="0" w:color="000000"/>
            </w:tcBorders>
            <w:shd w:val="clear" w:color="auto" w:fill="auto"/>
            <w:vAlign w:val="bottom"/>
            <w:hideMark/>
          </w:tcPr>
          <w:p w:rsidR="005A28F6" w:rsidRPr="005A28F6" w:rsidRDefault="005A28F6" w:rsidP="005A28F6">
            <w:pPr>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 </w:t>
            </w:r>
          </w:p>
        </w:tc>
        <w:tc>
          <w:tcPr>
            <w:tcW w:w="4314" w:type="dxa"/>
            <w:tcBorders>
              <w:top w:val="nil"/>
              <w:left w:val="nil"/>
              <w:bottom w:val="single" w:sz="4" w:space="0" w:color="000000"/>
              <w:right w:val="single" w:sz="4" w:space="0" w:color="000000"/>
            </w:tcBorders>
            <w:shd w:val="clear" w:color="auto" w:fill="auto"/>
            <w:vAlign w:val="center"/>
            <w:hideMark/>
          </w:tcPr>
          <w:p w:rsidR="005A28F6" w:rsidRPr="005A28F6" w:rsidRDefault="005A28F6" w:rsidP="005A28F6">
            <w:pPr>
              <w:rPr>
                <w:rFonts w:ascii="Lucida Bright" w:hAnsi="Lucida Bright" w:cs="Calibri"/>
                <w:sz w:val="18"/>
                <w:szCs w:val="18"/>
                <w:lang w:val="es-ES"/>
              </w:rPr>
            </w:pPr>
            <w:r w:rsidRPr="005A28F6">
              <w:rPr>
                <w:rFonts w:ascii="Lucida Bright" w:hAnsi="Lucida Bright" w:cs="Calibri"/>
                <w:sz w:val="18"/>
                <w:szCs w:val="18"/>
                <w:lang w:val="es-ES"/>
              </w:rPr>
              <w:t>Ordenación frente marítimo</w:t>
            </w:r>
          </w:p>
        </w:tc>
        <w:tc>
          <w:tcPr>
            <w:tcW w:w="1560" w:type="dxa"/>
            <w:tcBorders>
              <w:top w:val="nil"/>
              <w:left w:val="nil"/>
              <w:bottom w:val="single" w:sz="4" w:space="0" w:color="000000"/>
              <w:right w:val="nil"/>
            </w:tcBorders>
            <w:shd w:val="clear" w:color="000000" w:fill="FFFFFF"/>
            <w:noWrap/>
            <w:vAlign w:val="center"/>
            <w:hideMark/>
          </w:tcPr>
          <w:p w:rsidR="005A28F6" w:rsidRPr="005A28F6" w:rsidRDefault="005A28F6" w:rsidP="005A28F6">
            <w:pPr>
              <w:jc w:val="right"/>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2.414.124,77</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rsidR="005A28F6" w:rsidRPr="005A28F6" w:rsidRDefault="005A28F6" w:rsidP="005A28F6">
            <w:pPr>
              <w:jc w:val="right"/>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2.053.517,51</w:t>
            </w:r>
          </w:p>
        </w:tc>
      </w:tr>
      <w:tr w:rsidR="005A28F6" w:rsidRPr="005A28F6" w:rsidTr="0092726E">
        <w:trPr>
          <w:trHeight w:val="300"/>
        </w:trPr>
        <w:tc>
          <w:tcPr>
            <w:tcW w:w="986" w:type="dxa"/>
            <w:tcBorders>
              <w:top w:val="nil"/>
              <w:left w:val="single" w:sz="4" w:space="0" w:color="000000"/>
              <w:bottom w:val="single" w:sz="4" w:space="0" w:color="000000"/>
              <w:right w:val="single" w:sz="4" w:space="0" w:color="000000"/>
            </w:tcBorders>
            <w:shd w:val="clear" w:color="auto" w:fill="auto"/>
            <w:vAlign w:val="bottom"/>
            <w:hideMark/>
          </w:tcPr>
          <w:p w:rsidR="005A28F6" w:rsidRPr="005A28F6" w:rsidRDefault="005A28F6" w:rsidP="005A28F6">
            <w:pPr>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 </w:t>
            </w:r>
          </w:p>
        </w:tc>
        <w:tc>
          <w:tcPr>
            <w:tcW w:w="4314" w:type="dxa"/>
            <w:tcBorders>
              <w:top w:val="nil"/>
              <w:left w:val="nil"/>
              <w:bottom w:val="single" w:sz="4" w:space="0" w:color="000000"/>
              <w:right w:val="single" w:sz="4" w:space="0" w:color="000000"/>
            </w:tcBorders>
            <w:shd w:val="clear" w:color="auto" w:fill="auto"/>
            <w:vAlign w:val="center"/>
            <w:hideMark/>
          </w:tcPr>
          <w:p w:rsidR="005A28F6" w:rsidRPr="005A28F6" w:rsidRDefault="005A28F6" w:rsidP="005A28F6">
            <w:pPr>
              <w:rPr>
                <w:rFonts w:ascii="Lucida Bright" w:hAnsi="Lucida Bright" w:cs="Calibri"/>
                <w:sz w:val="18"/>
                <w:szCs w:val="18"/>
                <w:lang w:val="es-ES"/>
              </w:rPr>
            </w:pPr>
            <w:r w:rsidRPr="005A28F6">
              <w:rPr>
                <w:rFonts w:ascii="Lucida Bright" w:hAnsi="Lucida Bright" w:cs="Calibri"/>
                <w:sz w:val="18"/>
                <w:szCs w:val="18"/>
                <w:lang w:val="es-ES"/>
              </w:rPr>
              <w:t xml:space="preserve">Mejora eficiencia </w:t>
            </w:r>
            <w:r w:rsidR="00416638" w:rsidRPr="005A28F6">
              <w:rPr>
                <w:rFonts w:ascii="Lucida Bright" w:hAnsi="Lucida Bright" w:cs="Calibri"/>
                <w:sz w:val="18"/>
                <w:szCs w:val="18"/>
                <w:lang w:val="es-ES"/>
              </w:rPr>
              <w:t>energética</w:t>
            </w:r>
            <w:r w:rsidRPr="005A28F6">
              <w:rPr>
                <w:rFonts w:ascii="Lucida Bright" w:hAnsi="Lucida Bright" w:cs="Calibri"/>
                <w:sz w:val="18"/>
                <w:szCs w:val="18"/>
                <w:lang w:val="es-ES"/>
              </w:rPr>
              <w:t xml:space="preserve"> alumbrado</w:t>
            </w:r>
          </w:p>
        </w:tc>
        <w:tc>
          <w:tcPr>
            <w:tcW w:w="1560" w:type="dxa"/>
            <w:tcBorders>
              <w:top w:val="nil"/>
              <w:left w:val="nil"/>
              <w:bottom w:val="single" w:sz="4" w:space="0" w:color="000000"/>
              <w:right w:val="nil"/>
            </w:tcBorders>
            <w:shd w:val="clear" w:color="000000" w:fill="FFFFFF"/>
            <w:noWrap/>
            <w:vAlign w:val="center"/>
            <w:hideMark/>
          </w:tcPr>
          <w:p w:rsidR="005A28F6" w:rsidRPr="005A28F6" w:rsidRDefault="005A28F6" w:rsidP="005A28F6">
            <w:pPr>
              <w:jc w:val="right"/>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1.047.086,77</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rsidR="005A28F6" w:rsidRPr="005A28F6" w:rsidRDefault="005A28F6" w:rsidP="005A28F6">
            <w:pPr>
              <w:jc w:val="right"/>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1.047.086,77</w:t>
            </w:r>
          </w:p>
        </w:tc>
      </w:tr>
      <w:tr w:rsidR="005A28F6" w:rsidRPr="005A28F6" w:rsidTr="0092726E">
        <w:trPr>
          <w:trHeight w:val="300"/>
        </w:trPr>
        <w:tc>
          <w:tcPr>
            <w:tcW w:w="986" w:type="dxa"/>
            <w:tcBorders>
              <w:top w:val="nil"/>
              <w:left w:val="single" w:sz="4" w:space="0" w:color="000000"/>
              <w:bottom w:val="single" w:sz="4" w:space="0" w:color="000000"/>
              <w:right w:val="single" w:sz="4" w:space="0" w:color="000000"/>
            </w:tcBorders>
            <w:shd w:val="clear" w:color="auto" w:fill="auto"/>
            <w:vAlign w:val="center"/>
            <w:hideMark/>
          </w:tcPr>
          <w:p w:rsidR="005A28F6" w:rsidRPr="005A28F6" w:rsidRDefault="005A28F6" w:rsidP="005A28F6">
            <w:pPr>
              <w:rPr>
                <w:rFonts w:ascii="Lucida Bright" w:hAnsi="Lucida Bright" w:cs="Calibri"/>
                <w:sz w:val="18"/>
                <w:szCs w:val="18"/>
                <w:lang w:val="es-ES"/>
              </w:rPr>
            </w:pPr>
            <w:r w:rsidRPr="005A28F6">
              <w:rPr>
                <w:rFonts w:ascii="Lucida Bright" w:hAnsi="Lucida Bright" w:cs="Calibri"/>
                <w:sz w:val="18"/>
                <w:szCs w:val="18"/>
                <w:lang w:val="es-ES"/>
              </w:rPr>
              <w:t>Ibiza</w:t>
            </w:r>
          </w:p>
        </w:tc>
        <w:tc>
          <w:tcPr>
            <w:tcW w:w="4314" w:type="dxa"/>
            <w:tcBorders>
              <w:top w:val="nil"/>
              <w:left w:val="nil"/>
              <w:bottom w:val="single" w:sz="4" w:space="0" w:color="000000"/>
              <w:right w:val="single" w:sz="4" w:space="0" w:color="000000"/>
            </w:tcBorders>
            <w:shd w:val="clear" w:color="auto" w:fill="auto"/>
            <w:vAlign w:val="center"/>
            <w:hideMark/>
          </w:tcPr>
          <w:p w:rsidR="005A28F6" w:rsidRPr="005A28F6" w:rsidRDefault="005A28F6" w:rsidP="005A28F6">
            <w:pPr>
              <w:rPr>
                <w:rFonts w:ascii="Lucida Bright" w:hAnsi="Lucida Bright" w:cs="Calibri"/>
                <w:sz w:val="18"/>
                <w:szCs w:val="18"/>
                <w:lang w:val="es-ES"/>
              </w:rPr>
            </w:pPr>
            <w:r w:rsidRPr="005A28F6">
              <w:rPr>
                <w:rFonts w:ascii="Lucida Bright" w:hAnsi="Lucida Bright" w:cs="Calibri"/>
                <w:sz w:val="18"/>
                <w:szCs w:val="18"/>
                <w:lang w:val="es-ES"/>
              </w:rPr>
              <w:t>Dique de Botafoc</w:t>
            </w:r>
          </w:p>
        </w:tc>
        <w:tc>
          <w:tcPr>
            <w:tcW w:w="1560" w:type="dxa"/>
            <w:tcBorders>
              <w:top w:val="nil"/>
              <w:left w:val="nil"/>
              <w:bottom w:val="single" w:sz="4" w:space="0" w:color="000000"/>
              <w:right w:val="nil"/>
            </w:tcBorders>
            <w:shd w:val="clear" w:color="000000" w:fill="FFFFFF"/>
            <w:noWrap/>
            <w:vAlign w:val="center"/>
            <w:hideMark/>
          </w:tcPr>
          <w:p w:rsidR="005A28F6" w:rsidRPr="005A28F6" w:rsidRDefault="005A28F6" w:rsidP="005A28F6">
            <w:pPr>
              <w:jc w:val="right"/>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46.134.891,29</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rsidR="005A28F6" w:rsidRPr="005A28F6" w:rsidRDefault="005A28F6" w:rsidP="005A28F6">
            <w:pPr>
              <w:jc w:val="right"/>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28.158.006,00</w:t>
            </w:r>
          </w:p>
        </w:tc>
      </w:tr>
      <w:tr w:rsidR="005A28F6" w:rsidRPr="005A28F6" w:rsidTr="0092726E">
        <w:trPr>
          <w:trHeight w:val="300"/>
        </w:trPr>
        <w:tc>
          <w:tcPr>
            <w:tcW w:w="986" w:type="dxa"/>
            <w:tcBorders>
              <w:top w:val="nil"/>
              <w:left w:val="single" w:sz="4" w:space="0" w:color="000000"/>
              <w:bottom w:val="single" w:sz="4" w:space="0" w:color="000000"/>
              <w:right w:val="single" w:sz="4" w:space="0" w:color="000000"/>
            </w:tcBorders>
            <w:shd w:val="clear" w:color="auto" w:fill="auto"/>
            <w:vAlign w:val="bottom"/>
            <w:hideMark/>
          </w:tcPr>
          <w:p w:rsidR="005A28F6" w:rsidRPr="005A28F6" w:rsidRDefault="005A28F6" w:rsidP="005A28F6">
            <w:pPr>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 </w:t>
            </w:r>
          </w:p>
        </w:tc>
        <w:tc>
          <w:tcPr>
            <w:tcW w:w="4314" w:type="dxa"/>
            <w:tcBorders>
              <w:top w:val="nil"/>
              <w:left w:val="nil"/>
              <w:bottom w:val="single" w:sz="4" w:space="0" w:color="000000"/>
              <w:right w:val="single" w:sz="4" w:space="0" w:color="000000"/>
            </w:tcBorders>
            <w:shd w:val="clear" w:color="auto" w:fill="auto"/>
            <w:vAlign w:val="center"/>
            <w:hideMark/>
          </w:tcPr>
          <w:p w:rsidR="005A28F6" w:rsidRPr="005A28F6" w:rsidRDefault="005A28F6" w:rsidP="005A28F6">
            <w:pPr>
              <w:rPr>
                <w:rFonts w:ascii="Lucida Bright" w:hAnsi="Lucida Bright" w:cs="Calibri"/>
                <w:sz w:val="18"/>
                <w:szCs w:val="18"/>
                <w:lang w:val="es-ES"/>
              </w:rPr>
            </w:pPr>
            <w:r w:rsidRPr="005A28F6">
              <w:rPr>
                <w:rFonts w:ascii="Lucida Bright" w:hAnsi="Lucida Bright" w:cs="Calibri"/>
                <w:sz w:val="18"/>
                <w:szCs w:val="18"/>
                <w:lang w:val="es-ES"/>
              </w:rPr>
              <w:t>Edificio servicios  pesqueros</w:t>
            </w:r>
          </w:p>
        </w:tc>
        <w:tc>
          <w:tcPr>
            <w:tcW w:w="1560" w:type="dxa"/>
            <w:tcBorders>
              <w:top w:val="nil"/>
              <w:left w:val="nil"/>
              <w:bottom w:val="single" w:sz="4" w:space="0" w:color="000000"/>
              <w:right w:val="nil"/>
            </w:tcBorders>
            <w:shd w:val="clear" w:color="000000" w:fill="FFFFFF"/>
            <w:noWrap/>
            <w:vAlign w:val="center"/>
            <w:hideMark/>
          </w:tcPr>
          <w:p w:rsidR="005A28F6" w:rsidRPr="005A28F6" w:rsidRDefault="005A28F6" w:rsidP="005A28F6">
            <w:pPr>
              <w:jc w:val="right"/>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1.134.991,33</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rsidR="005A28F6" w:rsidRPr="005A28F6" w:rsidRDefault="005A28F6" w:rsidP="005A28F6">
            <w:pPr>
              <w:jc w:val="right"/>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458.217,97</w:t>
            </w:r>
          </w:p>
        </w:tc>
      </w:tr>
      <w:tr w:rsidR="005A28F6" w:rsidRPr="005A28F6" w:rsidTr="0092726E">
        <w:trPr>
          <w:trHeight w:val="300"/>
        </w:trPr>
        <w:tc>
          <w:tcPr>
            <w:tcW w:w="986" w:type="dxa"/>
            <w:tcBorders>
              <w:top w:val="nil"/>
              <w:left w:val="single" w:sz="4" w:space="0" w:color="000000"/>
              <w:bottom w:val="nil"/>
              <w:right w:val="single" w:sz="4" w:space="0" w:color="000000"/>
            </w:tcBorders>
            <w:shd w:val="clear" w:color="auto" w:fill="auto"/>
            <w:vAlign w:val="center"/>
            <w:hideMark/>
          </w:tcPr>
          <w:p w:rsidR="005A28F6" w:rsidRPr="005A28F6" w:rsidRDefault="005A28F6" w:rsidP="005A28F6">
            <w:pPr>
              <w:rPr>
                <w:rFonts w:ascii="Lucida Bright" w:hAnsi="Lucida Bright" w:cs="Calibri"/>
                <w:sz w:val="18"/>
                <w:szCs w:val="18"/>
                <w:lang w:val="es-ES"/>
              </w:rPr>
            </w:pPr>
            <w:r w:rsidRPr="005A28F6">
              <w:rPr>
                <w:rFonts w:ascii="Lucida Bright" w:hAnsi="Lucida Bright" w:cs="Calibri"/>
                <w:sz w:val="18"/>
                <w:szCs w:val="18"/>
                <w:lang w:val="es-ES"/>
              </w:rPr>
              <w:t>Mahón</w:t>
            </w:r>
          </w:p>
        </w:tc>
        <w:tc>
          <w:tcPr>
            <w:tcW w:w="4314" w:type="dxa"/>
            <w:tcBorders>
              <w:top w:val="nil"/>
              <w:left w:val="nil"/>
              <w:bottom w:val="nil"/>
              <w:right w:val="single" w:sz="4" w:space="0" w:color="000000"/>
            </w:tcBorders>
            <w:shd w:val="clear" w:color="auto" w:fill="auto"/>
            <w:vAlign w:val="center"/>
            <w:hideMark/>
          </w:tcPr>
          <w:p w:rsidR="005A28F6" w:rsidRPr="005A28F6" w:rsidRDefault="005A28F6" w:rsidP="005A28F6">
            <w:pPr>
              <w:rPr>
                <w:rFonts w:ascii="Lucida Bright" w:hAnsi="Lucida Bright" w:cs="Calibri"/>
                <w:sz w:val="18"/>
                <w:szCs w:val="18"/>
                <w:lang w:val="es-ES"/>
              </w:rPr>
            </w:pPr>
            <w:r w:rsidRPr="005A28F6">
              <w:rPr>
                <w:rFonts w:ascii="Lucida Bright" w:hAnsi="Lucida Bright" w:cs="Calibri"/>
                <w:sz w:val="18"/>
                <w:szCs w:val="18"/>
                <w:lang w:val="es-ES"/>
              </w:rPr>
              <w:t>Mejora muelles Cos Nou</w:t>
            </w:r>
          </w:p>
        </w:tc>
        <w:tc>
          <w:tcPr>
            <w:tcW w:w="1560" w:type="dxa"/>
            <w:tcBorders>
              <w:top w:val="nil"/>
              <w:left w:val="nil"/>
              <w:bottom w:val="nil"/>
              <w:right w:val="nil"/>
            </w:tcBorders>
            <w:shd w:val="clear" w:color="000000" w:fill="FFFFFF"/>
            <w:noWrap/>
            <w:vAlign w:val="center"/>
            <w:hideMark/>
          </w:tcPr>
          <w:p w:rsidR="005A28F6" w:rsidRPr="005A28F6" w:rsidRDefault="005A28F6" w:rsidP="005A28F6">
            <w:pPr>
              <w:jc w:val="right"/>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17.445.568,58</w:t>
            </w:r>
          </w:p>
        </w:tc>
        <w:tc>
          <w:tcPr>
            <w:tcW w:w="2080" w:type="dxa"/>
            <w:tcBorders>
              <w:top w:val="nil"/>
              <w:left w:val="single" w:sz="4" w:space="0" w:color="auto"/>
              <w:bottom w:val="nil"/>
              <w:right w:val="single" w:sz="4" w:space="0" w:color="auto"/>
            </w:tcBorders>
            <w:shd w:val="clear" w:color="000000" w:fill="FFFFFF"/>
            <w:noWrap/>
            <w:vAlign w:val="center"/>
            <w:hideMark/>
          </w:tcPr>
          <w:p w:rsidR="005A28F6" w:rsidRPr="005A28F6" w:rsidRDefault="005A28F6" w:rsidP="005A28F6">
            <w:pPr>
              <w:jc w:val="right"/>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8.320.586,70</w:t>
            </w:r>
          </w:p>
        </w:tc>
      </w:tr>
      <w:tr w:rsidR="005A28F6" w:rsidRPr="005A28F6" w:rsidTr="0092726E">
        <w:trPr>
          <w:trHeight w:val="300"/>
        </w:trPr>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5A28F6" w:rsidRPr="005A28F6" w:rsidRDefault="005A28F6" w:rsidP="005A28F6">
            <w:pPr>
              <w:rPr>
                <w:rFonts w:ascii="Calibri" w:hAnsi="Calibri" w:cs="Calibri"/>
                <w:color w:val="000000"/>
                <w:sz w:val="22"/>
                <w:szCs w:val="22"/>
                <w:lang w:val="es-ES"/>
              </w:rPr>
            </w:pPr>
            <w:r w:rsidRPr="005A28F6">
              <w:rPr>
                <w:rFonts w:ascii="Calibri" w:hAnsi="Calibri" w:cs="Calibri"/>
                <w:color w:val="000000"/>
                <w:sz w:val="22"/>
                <w:szCs w:val="22"/>
                <w:lang w:val="es-ES"/>
              </w:rPr>
              <w:t> </w:t>
            </w:r>
          </w:p>
        </w:tc>
        <w:tc>
          <w:tcPr>
            <w:tcW w:w="4314" w:type="dxa"/>
            <w:tcBorders>
              <w:top w:val="single" w:sz="4" w:space="0" w:color="auto"/>
              <w:left w:val="nil"/>
              <w:bottom w:val="single" w:sz="4" w:space="0" w:color="auto"/>
              <w:right w:val="single" w:sz="4" w:space="0" w:color="auto"/>
            </w:tcBorders>
            <w:shd w:val="clear" w:color="auto" w:fill="auto"/>
            <w:noWrap/>
            <w:vAlign w:val="center"/>
            <w:hideMark/>
          </w:tcPr>
          <w:p w:rsidR="005A28F6" w:rsidRPr="005A28F6" w:rsidRDefault="005A28F6" w:rsidP="005A28F6">
            <w:pPr>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 xml:space="preserve">Mejora eficiencia </w:t>
            </w:r>
            <w:r w:rsidR="00416638" w:rsidRPr="005A28F6">
              <w:rPr>
                <w:rFonts w:ascii="Lucida Bright" w:hAnsi="Lucida Bright" w:cs="Calibri"/>
                <w:color w:val="000000"/>
                <w:sz w:val="18"/>
                <w:szCs w:val="18"/>
                <w:lang w:val="es-ES"/>
              </w:rPr>
              <w:t>energética</w:t>
            </w:r>
            <w:r w:rsidRPr="005A28F6">
              <w:rPr>
                <w:rFonts w:ascii="Lucida Bright" w:hAnsi="Lucida Bright" w:cs="Calibri"/>
                <w:color w:val="000000"/>
                <w:sz w:val="18"/>
                <w:szCs w:val="18"/>
                <w:lang w:val="es-ES"/>
              </w:rPr>
              <w:t xml:space="preserve"> alumbrado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A28F6" w:rsidRPr="005A28F6" w:rsidRDefault="005A28F6" w:rsidP="005A28F6">
            <w:pPr>
              <w:jc w:val="right"/>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1.147.272,29</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5A28F6" w:rsidRPr="005A28F6" w:rsidRDefault="005A28F6" w:rsidP="005A28F6">
            <w:pPr>
              <w:jc w:val="right"/>
              <w:rPr>
                <w:rFonts w:ascii="Lucida Bright" w:hAnsi="Lucida Bright" w:cs="Calibri"/>
                <w:color w:val="000000"/>
                <w:sz w:val="18"/>
                <w:szCs w:val="18"/>
                <w:lang w:val="es-ES"/>
              </w:rPr>
            </w:pPr>
            <w:r w:rsidRPr="005A28F6">
              <w:rPr>
                <w:rFonts w:ascii="Lucida Bright" w:hAnsi="Lucida Bright" w:cs="Calibri"/>
                <w:color w:val="000000"/>
                <w:sz w:val="18"/>
                <w:szCs w:val="18"/>
                <w:lang w:val="es-ES"/>
              </w:rPr>
              <w:t>180.244,85</w:t>
            </w:r>
          </w:p>
        </w:tc>
      </w:tr>
    </w:tbl>
    <w:p w:rsidR="007E1479" w:rsidRDefault="007E1479">
      <w:pPr>
        <w:tabs>
          <w:tab w:val="right" w:pos="8364"/>
        </w:tabs>
        <w:ind w:firstLine="540"/>
        <w:jc w:val="both"/>
        <w:rPr>
          <w:rFonts w:ascii="NewBaskerville" w:hAnsi="NewBaskerville"/>
          <w:bCs/>
        </w:rPr>
      </w:pPr>
    </w:p>
    <w:p w:rsidR="007E1479" w:rsidRPr="00075A9A" w:rsidRDefault="007E1479">
      <w:pPr>
        <w:tabs>
          <w:tab w:val="right" w:pos="8364"/>
        </w:tabs>
        <w:ind w:firstLine="540"/>
        <w:jc w:val="both"/>
        <w:rPr>
          <w:rFonts w:ascii="NewBaskerville" w:hAnsi="NewBaskerville"/>
          <w:bCs/>
        </w:rPr>
      </w:pPr>
    </w:p>
    <w:p w:rsidR="00D24701" w:rsidRDefault="00D24701">
      <w:pPr>
        <w:tabs>
          <w:tab w:val="right" w:pos="8364"/>
        </w:tabs>
        <w:ind w:firstLine="540"/>
        <w:jc w:val="both"/>
        <w:rPr>
          <w:rFonts w:ascii="NewBaskerville" w:hAnsi="NewBaskerville"/>
          <w:bCs/>
        </w:rPr>
      </w:pPr>
    </w:p>
    <w:p w:rsidR="00094C6A" w:rsidRDefault="007F730A">
      <w:pPr>
        <w:tabs>
          <w:tab w:val="right" w:pos="8364"/>
        </w:tabs>
        <w:ind w:firstLine="540"/>
        <w:jc w:val="both"/>
        <w:rPr>
          <w:rFonts w:ascii="NewBaskerville" w:hAnsi="NewBaskerville"/>
          <w:bCs/>
        </w:rPr>
      </w:pPr>
      <w:r>
        <w:rPr>
          <w:rFonts w:ascii="NewBaskerville" w:hAnsi="NewBaskerville"/>
          <w:bCs/>
        </w:rPr>
        <w:lastRenderedPageBreak/>
        <w:t>B</w:t>
      </w:r>
      <w:r w:rsidR="00D24701">
        <w:rPr>
          <w:rFonts w:ascii="NewBaskerville" w:hAnsi="NewBaskerville"/>
          <w:bCs/>
        </w:rPr>
        <w:t>ajas y retiros</w:t>
      </w:r>
      <w:r w:rsidR="00DF1F7A">
        <w:rPr>
          <w:rFonts w:ascii="NewBaskerville" w:hAnsi="NewBaskerville"/>
          <w:bCs/>
        </w:rPr>
        <w:t>:</w:t>
      </w:r>
    </w:p>
    <w:p w:rsidR="00DF1F7A" w:rsidRDefault="00DF1F7A">
      <w:pPr>
        <w:tabs>
          <w:tab w:val="right" w:pos="8364"/>
        </w:tabs>
        <w:ind w:firstLine="540"/>
        <w:jc w:val="both"/>
        <w:rPr>
          <w:rFonts w:ascii="NewBaskerville" w:hAnsi="NewBaskerville"/>
          <w:bCs/>
        </w:rPr>
      </w:pPr>
    </w:p>
    <w:p w:rsidR="00730C10" w:rsidRDefault="00E56AB5">
      <w:pPr>
        <w:tabs>
          <w:tab w:val="right" w:pos="8364"/>
        </w:tabs>
        <w:ind w:firstLine="540"/>
        <w:jc w:val="both"/>
        <w:rPr>
          <w:rFonts w:ascii="NewBaskerville" w:hAnsi="NewBaskerville"/>
          <w:bCs/>
        </w:rPr>
      </w:pPr>
      <w:r>
        <w:rPr>
          <w:rFonts w:ascii="NewBaskerville" w:hAnsi="NewBaskerville"/>
          <w:bCs/>
        </w:rPr>
        <w:t>Durante el ejercicio 202</w:t>
      </w:r>
      <w:r w:rsidR="008350BB">
        <w:rPr>
          <w:rFonts w:ascii="NewBaskerville" w:hAnsi="NewBaskerville"/>
          <w:bCs/>
        </w:rPr>
        <w:t>4</w:t>
      </w:r>
      <w:r>
        <w:rPr>
          <w:rFonts w:ascii="NewBaskerville" w:hAnsi="NewBaskerville"/>
          <w:bCs/>
        </w:rPr>
        <w:t xml:space="preserve"> se han producido bajas en el inmovilizado material debido a:</w:t>
      </w:r>
    </w:p>
    <w:p w:rsidR="00E56AB5" w:rsidRDefault="00E56AB5">
      <w:pPr>
        <w:tabs>
          <w:tab w:val="right" w:pos="8364"/>
        </w:tabs>
        <w:ind w:firstLine="540"/>
        <w:jc w:val="both"/>
        <w:rPr>
          <w:rFonts w:ascii="NewBaskerville" w:hAnsi="NewBaskerville"/>
          <w:bCs/>
        </w:rPr>
      </w:pPr>
    </w:p>
    <w:p w:rsidR="00E56AB5" w:rsidRDefault="00E56AB5" w:rsidP="00E56AB5">
      <w:pPr>
        <w:pStyle w:val="Prrafodelista"/>
        <w:numPr>
          <w:ilvl w:val="0"/>
          <w:numId w:val="6"/>
        </w:numPr>
        <w:tabs>
          <w:tab w:val="right" w:pos="8364"/>
        </w:tabs>
        <w:jc w:val="both"/>
        <w:rPr>
          <w:rFonts w:ascii="NewBaskerville" w:hAnsi="NewBaskerville"/>
          <w:bCs/>
        </w:rPr>
      </w:pPr>
      <w:r>
        <w:rPr>
          <w:rFonts w:ascii="NewBaskerville" w:hAnsi="NewBaskerville"/>
          <w:bCs/>
        </w:rPr>
        <w:t>Por pasar a situación de fuera de uso tras finalizar su vida útil, o por su antigüedad en el final de la misma.</w:t>
      </w:r>
    </w:p>
    <w:p w:rsidR="00E56AB5" w:rsidRDefault="00E56AB5" w:rsidP="00E56AB5">
      <w:pPr>
        <w:pStyle w:val="Prrafodelista"/>
        <w:numPr>
          <w:ilvl w:val="0"/>
          <w:numId w:val="6"/>
        </w:numPr>
        <w:tabs>
          <w:tab w:val="right" w:pos="8364"/>
        </w:tabs>
        <w:jc w:val="both"/>
        <w:rPr>
          <w:rFonts w:ascii="NewBaskerville" w:hAnsi="NewBaskerville"/>
          <w:bCs/>
        </w:rPr>
      </w:pPr>
      <w:r>
        <w:rPr>
          <w:rFonts w:ascii="NewBaskerville" w:hAnsi="NewBaskerville"/>
          <w:bCs/>
        </w:rPr>
        <w:t>Por su desaparición física constatada mediante inventario físico.</w:t>
      </w:r>
    </w:p>
    <w:p w:rsidR="00E56AB5" w:rsidRDefault="00E56AB5" w:rsidP="00E56AB5">
      <w:pPr>
        <w:tabs>
          <w:tab w:val="right" w:pos="8364"/>
        </w:tabs>
        <w:jc w:val="both"/>
        <w:rPr>
          <w:rFonts w:ascii="NewBaskerville" w:hAnsi="NewBaskerville"/>
          <w:bCs/>
        </w:rPr>
      </w:pPr>
    </w:p>
    <w:p w:rsidR="00E56AB5" w:rsidRDefault="00CA3107" w:rsidP="00E56AB5">
      <w:pPr>
        <w:tabs>
          <w:tab w:val="right" w:pos="8364"/>
        </w:tabs>
        <w:ind w:firstLine="567"/>
        <w:jc w:val="both"/>
        <w:rPr>
          <w:rFonts w:ascii="NewBaskerville" w:hAnsi="NewBaskerville"/>
          <w:bCs/>
        </w:rPr>
      </w:pPr>
      <w:r>
        <w:rPr>
          <w:rFonts w:ascii="NewBaskerville" w:hAnsi="NewBaskerville"/>
          <w:bCs/>
        </w:rPr>
        <w:t xml:space="preserve">En </w:t>
      </w:r>
      <w:r w:rsidR="003E2475">
        <w:rPr>
          <w:rFonts w:ascii="NewBaskerville" w:hAnsi="NewBaskerville"/>
          <w:bCs/>
        </w:rPr>
        <w:t>ningún</w:t>
      </w:r>
      <w:r>
        <w:rPr>
          <w:rFonts w:ascii="NewBaskerville" w:hAnsi="NewBaskerville"/>
          <w:bCs/>
        </w:rPr>
        <w:t xml:space="preserve"> caso</w:t>
      </w:r>
      <w:r w:rsidR="003E2475">
        <w:rPr>
          <w:rFonts w:ascii="NewBaskerville" w:hAnsi="NewBaskerville"/>
          <w:bCs/>
        </w:rPr>
        <w:t xml:space="preserve"> se esperaba obtener de este</w:t>
      </w:r>
      <w:r>
        <w:rPr>
          <w:rFonts w:ascii="NewBaskerville" w:hAnsi="NewBaskerville"/>
          <w:bCs/>
        </w:rPr>
        <w:t xml:space="preserve"> inmovilizado material beneficios o rendimientos económicos futuros.</w:t>
      </w:r>
    </w:p>
    <w:p w:rsidR="00CA3107" w:rsidRDefault="00CA3107" w:rsidP="00E56AB5">
      <w:pPr>
        <w:tabs>
          <w:tab w:val="right" w:pos="8364"/>
        </w:tabs>
        <w:ind w:firstLine="567"/>
        <w:jc w:val="both"/>
        <w:rPr>
          <w:rFonts w:ascii="NewBaskerville" w:hAnsi="NewBaskerville"/>
          <w:bCs/>
        </w:rPr>
      </w:pPr>
    </w:p>
    <w:p w:rsidR="006351FC" w:rsidRDefault="006351FC" w:rsidP="006351FC">
      <w:pPr>
        <w:tabs>
          <w:tab w:val="right" w:pos="8364"/>
        </w:tabs>
        <w:ind w:firstLine="540"/>
        <w:jc w:val="both"/>
        <w:rPr>
          <w:rFonts w:ascii="NewBaskerville" w:hAnsi="NewBaskerville"/>
          <w:bCs/>
        </w:rPr>
      </w:pPr>
      <w:r>
        <w:rPr>
          <w:rFonts w:ascii="NewBaskerville" w:hAnsi="NewBaskerville"/>
          <w:bCs/>
        </w:rPr>
        <w:t>Enajenaciones:</w:t>
      </w:r>
    </w:p>
    <w:p w:rsidR="006351FC" w:rsidRDefault="006351FC" w:rsidP="006351FC">
      <w:pPr>
        <w:tabs>
          <w:tab w:val="right" w:pos="8364"/>
        </w:tabs>
        <w:ind w:firstLine="540"/>
        <w:jc w:val="both"/>
        <w:rPr>
          <w:rFonts w:ascii="NewBaskerville" w:hAnsi="NewBaskerville"/>
          <w:bCs/>
        </w:rPr>
      </w:pPr>
    </w:p>
    <w:p w:rsidR="006351FC" w:rsidRDefault="006351FC" w:rsidP="006351FC">
      <w:pPr>
        <w:tabs>
          <w:tab w:val="right" w:pos="8364"/>
        </w:tabs>
        <w:ind w:firstLine="540"/>
        <w:jc w:val="both"/>
        <w:rPr>
          <w:rFonts w:ascii="NewBaskerville" w:hAnsi="NewBaskerville"/>
          <w:bCs/>
        </w:rPr>
      </w:pPr>
      <w:r>
        <w:rPr>
          <w:rFonts w:ascii="NewBaskerville" w:hAnsi="NewBaskerville"/>
          <w:bCs/>
        </w:rPr>
        <w:t>Por orden FOM/1753/2005 del Ministerio de Fomento se aprobó el Plan de Utilización de los Espacios Portuarios del Puerto de Palma, por el que se excluyó de la superficie terrestre de la zona de servicio del puerto y se desafectó del dominio público portuario una serie de terrenos, entre los que se encontraban las Parcelas C1 a C16, situadas en sa Roqueta del Portitxol (Palma de Mallorca). En virtud de dicha desafectación adquirieron naturaleza de bien patrimonial de la Entidad.</w:t>
      </w:r>
    </w:p>
    <w:p w:rsidR="006351FC" w:rsidRDefault="006351FC" w:rsidP="006351FC">
      <w:pPr>
        <w:tabs>
          <w:tab w:val="right" w:pos="8364"/>
        </w:tabs>
        <w:ind w:firstLine="540"/>
        <w:jc w:val="both"/>
        <w:rPr>
          <w:rFonts w:ascii="NewBaskerville" w:hAnsi="NewBaskerville"/>
          <w:bCs/>
        </w:rPr>
      </w:pPr>
    </w:p>
    <w:p w:rsidR="006351FC" w:rsidRDefault="006351FC" w:rsidP="006351FC">
      <w:pPr>
        <w:tabs>
          <w:tab w:val="right" w:pos="8364"/>
        </w:tabs>
        <w:ind w:firstLine="540"/>
        <w:jc w:val="both"/>
        <w:rPr>
          <w:rFonts w:ascii="NewBaskerville" w:hAnsi="NewBaskerville"/>
          <w:bCs/>
        </w:rPr>
      </w:pPr>
      <w:r>
        <w:rPr>
          <w:rFonts w:ascii="NewBaskerville" w:hAnsi="NewBaskerville"/>
          <w:bCs/>
        </w:rPr>
        <w:t>El Consejo de Administración de la Entidad aprobó en sesiones del 23/10/2019 y 26/02/2020, autorizar la enajenación de las parcelas a los titulares catastrales de las viviendas anexas. Abonando a la APB el valor de mercado calculado por empresa de tasación independiente.</w:t>
      </w:r>
    </w:p>
    <w:p w:rsidR="006351FC" w:rsidRDefault="006351FC" w:rsidP="006351FC">
      <w:pPr>
        <w:tabs>
          <w:tab w:val="right" w:pos="8364"/>
        </w:tabs>
        <w:ind w:firstLine="540"/>
        <w:jc w:val="both"/>
        <w:rPr>
          <w:rFonts w:ascii="NewBaskerville" w:hAnsi="NewBaskerville"/>
          <w:bCs/>
        </w:rPr>
      </w:pPr>
    </w:p>
    <w:p w:rsidR="006351FC" w:rsidRDefault="006351FC" w:rsidP="006351FC">
      <w:pPr>
        <w:tabs>
          <w:tab w:val="right" w:pos="8364"/>
        </w:tabs>
        <w:ind w:firstLine="540"/>
        <w:jc w:val="both"/>
        <w:rPr>
          <w:rFonts w:ascii="NewBaskerville" w:hAnsi="NewBaskerville"/>
          <w:bCs/>
        </w:rPr>
      </w:pPr>
      <w:r>
        <w:rPr>
          <w:rFonts w:ascii="NewBaskerville" w:hAnsi="NewBaskerville"/>
          <w:bCs/>
        </w:rPr>
        <w:t xml:space="preserve">Efectuados los trámites previos pertinentes, y no considerándose de interés para otros servicios de la Administración General del Estado, se notificaron las propuestas de enajenación a los particulares. </w:t>
      </w:r>
    </w:p>
    <w:p w:rsidR="006351FC" w:rsidRDefault="006351FC" w:rsidP="006351FC">
      <w:pPr>
        <w:tabs>
          <w:tab w:val="right" w:pos="8364"/>
        </w:tabs>
        <w:ind w:firstLine="540"/>
        <w:jc w:val="both"/>
        <w:rPr>
          <w:rFonts w:ascii="NewBaskerville" w:hAnsi="NewBaskerville"/>
          <w:bCs/>
        </w:rPr>
      </w:pPr>
    </w:p>
    <w:p w:rsidR="006351FC" w:rsidRDefault="006351FC" w:rsidP="006351FC">
      <w:pPr>
        <w:tabs>
          <w:tab w:val="right" w:pos="8364"/>
        </w:tabs>
        <w:ind w:firstLine="540"/>
        <w:jc w:val="both"/>
        <w:rPr>
          <w:rFonts w:ascii="NewBaskerville" w:hAnsi="NewBaskerville"/>
          <w:bCs/>
        </w:rPr>
      </w:pPr>
      <w:r>
        <w:rPr>
          <w:rFonts w:ascii="NewBaskerville" w:hAnsi="NewBaskerville"/>
          <w:bCs/>
        </w:rPr>
        <w:t xml:space="preserve">En el ejercicio 2024 se ha enajenado la parcela C-7. </w:t>
      </w:r>
    </w:p>
    <w:p w:rsidR="006351FC" w:rsidRDefault="006351FC" w:rsidP="00E56AB5">
      <w:pPr>
        <w:tabs>
          <w:tab w:val="right" w:pos="8364"/>
        </w:tabs>
        <w:ind w:firstLine="567"/>
        <w:jc w:val="both"/>
        <w:rPr>
          <w:rFonts w:ascii="NewBaskerville" w:hAnsi="NewBaskerville"/>
          <w:bCs/>
        </w:rPr>
      </w:pPr>
    </w:p>
    <w:p w:rsidR="00CA3107" w:rsidRDefault="00CA3107" w:rsidP="00E56AB5">
      <w:pPr>
        <w:tabs>
          <w:tab w:val="right" w:pos="8364"/>
        </w:tabs>
        <w:ind w:firstLine="567"/>
        <w:jc w:val="both"/>
        <w:rPr>
          <w:rFonts w:ascii="NewBaskerville" w:hAnsi="NewBaskerville"/>
          <w:bCs/>
        </w:rPr>
      </w:pPr>
      <w:r>
        <w:rPr>
          <w:rFonts w:ascii="NewBaskerville" w:hAnsi="NewBaskerville"/>
          <w:bCs/>
        </w:rPr>
        <w:t>El resultado por bajas</w:t>
      </w:r>
      <w:r w:rsidR="004518BC">
        <w:rPr>
          <w:rFonts w:ascii="NewBaskerville" w:hAnsi="NewBaskerville"/>
          <w:bCs/>
        </w:rPr>
        <w:t xml:space="preserve"> y </w:t>
      </w:r>
      <w:r w:rsidR="006351FC">
        <w:rPr>
          <w:rFonts w:ascii="NewBaskerville" w:hAnsi="NewBaskerville"/>
          <w:bCs/>
        </w:rPr>
        <w:t>enajenaciones</w:t>
      </w:r>
      <w:r>
        <w:rPr>
          <w:rFonts w:ascii="NewBaskerville" w:hAnsi="NewBaskerville"/>
          <w:bCs/>
        </w:rPr>
        <w:t xml:space="preserve"> ha sido:</w:t>
      </w:r>
    </w:p>
    <w:p w:rsidR="004518BC" w:rsidRDefault="004518BC" w:rsidP="00E56AB5">
      <w:pPr>
        <w:tabs>
          <w:tab w:val="right" w:pos="8364"/>
        </w:tabs>
        <w:ind w:firstLine="567"/>
        <w:jc w:val="both"/>
        <w:rPr>
          <w:rFonts w:ascii="NewBaskerville" w:hAnsi="NewBaskerville"/>
          <w:bCs/>
        </w:rPr>
      </w:pPr>
    </w:p>
    <w:tbl>
      <w:tblPr>
        <w:tblW w:w="8480" w:type="dxa"/>
        <w:tblInd w:w="70" w:type="dxa"/>
        <w:tblCellMar>
          <w:left w:w="70" w:type="dxa"/>
          <w:right w:w="70" w:type="dxa"/>
        </w:tblCellMar>
        <w:tblLook w:val="04A0" w:firstRow="1" w:lastRow="0" w:firstColumn="1" w:lastColumn="0" w:noHBand="0" w:noVBand="1"/>
      </w:tblPr>
      <w:tblGrid>
        <w:gridCol w:w="1040"/>
        <w:gridCol w:w="960"/>
        <w:gridCol w:w="1880"/>
        <w:gridCol w:w="1200"/>
        <w:gridCol w:w="1200"/>
        <w:gridCol w:w="1000"/>
        <w:gridCol w:w="1200"/>
      </w:tblGrid>
      <w:tr w:rsidR="006351FC" w:rsidRPr="006351FC" w:rsidTr="006351FC">
        <w:trPr>
          <w:trHeight w:val="300"/>
        </w:trPr>
        <w:tc>
          <w:tcPr>
            <w:tcW w:w="8480" w:type="dxa"/>
            <w:gridSpan w:val="7"/>
            <w:vMerge w:val="restart"/>
            <w:tcBorders>
              <w:top w:val="nil"/>
              <w:left w:val="nil"/>
              <w:bottom w:val="nil"/>
              <w:right w:val="nil"/>
            </w:tcBorders>
            <w:shd w:val="clear" w:color="000000" w:fill="FFFFFF"/>
            <w:vAlign w:val="center"/>
            <w:hideMark/>
          </w:tcPr>
          <w:p w:rsidR="006351FC" w:rsidRPr="006351FC" w:rsidRDefault="006351FC" w:rsidP="006351FC">
            <w:pPr>
              <w:rPr>
                <w:rFonts w:ascii="Lucida Bright" w:hAnsi="Lucida Bright" w:cs="Calibri"/>
                <w:b/>
                <w:bCs/>
                <w:sz w:val="18"/>
                <w:szCs w:val="18"/>
                <w:lang w:val="es-ES"/>
              </w:rPr>
            </w:pPr>
            <w:r w:rsidRPr="006351FC">
              <w:rPr>
                <w:rFonts w:ascii="Lucida Bright" w:hAnsi="Lucida Bright" w:cs="Calibri"/>
                <w:b/>
                <w:bCs/>
                <w:sz w:val="18"/>
                <w:szCs w:val="18"/>
                <w:lang w:val="es-ES"/>
              </w:rPr>
              <w:t xml:space="preserve">CUADRO: RESULTADO POR ENAJENACIONES Y BAJAS DEL INMOVILIZADO MATERIAL Y DEL ACTIVO NO CORRIENTE MANTENIDO PARA LA VENTA 2024 </w:t>
            </w:r>
            <w:r w:rsidRPr="006351FC">
              <w:rPr>
                <w:rFonts w:ascii="Lucida Bright" w:hAnsi="Lucida Bright" w:cs="Calibri"/>
                <w:sz w:val="14"/>
                <w:szCs w:val="14"/>
                <w:lang w:val="es-ES"/>
              </w:rPr>
              <w:t>(en euros)</w:t>
            </w:r>
          </w:p>
        </w:tc>
      </w:tr>
      <w:tr w:rsidR="006351FC" w:rsidRPr="006351FC" w:rsidTr="006351FC">
        <w:trPr>
          <w:trHeight w:val="300"/>
        </w:trPr>
        <w:tc>
          <w:tcPr>
            <w:tcW w:w="8480" w:type="dxa"/>
            <w:gridSpan w:val="7"/>
            <w:vMerge/>
            <w:tcBorders>
              <w:top w:val="nil"/>
              <w:left w:val="nil"/>
              <w:bottom w:val="nil"/>
              <w:right w:val="nil"/>
            </w:tcBorders>
            <w:vAlign w:val="center"/>
            <w:hideMark/>
          </w:tcPr>
          <w:p w:rsidR="006351FC" w:rsidRPr="006351FC" w:rsidRDefault="006351FC" w:rsidP="006351FC">
            <w:pPr>
              <w:rPr>
                <w:rFonts w:ascii="Lucida Bright" w:hAnsi="Lucida Bright" w:cs="Calibri"/>
                <w:b/>
                <w:bCs/>
                <w:sz w:val="18"/>
                <w:szCs w:val="18"/>
                <w:lang w:val="es-ES"/>
              </w:rPr>
            </w:pPr>
          </w:p>
        </w:tc>
      </w:tr>
      <w:tr w:rsidR="006351FC" w:rsidRPr="006351FC" w:rsidTr="006351FC">
        <w:trPr>
          <w:trHeight w:val="720"/>
        </w:trPr>
        <w:tc>
          <w:tcPr>
            <w:tcW w:w="104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6351FC" w:rsidRPr="006351FC" w:rsidRDefault="006351FC" w:rsidP="006351FC">
            <w:pPr>
              <w:jc w:val="center"/>
              <w:rPr>
                <w:rFonts w:ascii="Lucida Bright" w:hAnsi="Lucida Bright" w:cs="Calibri"/>
                <w:b/>
                <w:bCs/>
                <w:sz w:val="14"/>
                <w:szCs w:val="14"/>
                <w:lang w:val="es-ES"/>
              </w:rPr>
            </w:pPr>
            <w:r w:rsidRPr="006351FC">
              <w:rPr>
                <w:rFonts w:ascii="Lucida Bright" w:hAnsi="Lucida Bright" w:cs="Calibri"/>
                <w:b/>
                <w:bCs/>
                <w:sz w:val="14"/>
                <w:szCs w:val="14"/>
                <w:lang w:val="es-ES"/>
              </w:rPr>
              <w:t>Fecha</w:t>
            </w:r>
          </w:p>
        </w:tc>
        <w:tc>
          <w:tcPr>
            <w:tcW w:w="960" w:type="dxa"/>
            <w:tcBorders>
              <w:top w:val="single" w:sz="4" w:space="0" w:color="auto"/>
              <w:left w:val="nil"/>
              <w:bottom w:val="single" w:sz="4" w:space="0" w:color="auto"/>
              <w:right w:val="single" w:sz="4" w:space="0" w:color="auto"/>
            </w:tcBorders>
            <w:shd w:val="clear" w:color="000000" w:fill="CCFFCC"/>
            <w:vAlign w:val="center"/>
            <w:hideMark/>
          </w:tcPr>
          <w:p w:rsidR="006351FC" w:rsidRPr="006351FC" w:rsidRDefault="006351FC" w:rsidP="006351FC">
            <w:pPr>
              <w:jc w:val="center"/>
              <w:rPr>
                <w:rFonts w:ascii="Lucida Bright" w:hAnsi="Lucida Bright" w:cs="Calibri"/>
                <w:b/>
                <w:bCs/>
                <w:sz w:val="14"/>
                <w:szCs w:val="14"/>
                <w:lang w:val="es-ES"/>
              </w:rPr>
            </w:pPr>
            <w:r w:rsidRPr="006351FC">
              <w:rPr>
                <w:rFonts w:ascii="Lucida Bright" w:hAnsi="Lucida Bright" w:cs="Calibri"/>
                <w:b/>
                <w:bCs/>
                <w:sz w:val="14"/>
                <w:szCs w:val="14"/>
                <w:lang w:val="es-ES"/>
              </w:rPr>
              <w:t>Operación</w:t>
            </w:r>
            <w:r w:rsidRPr="006351FC">
              <w:rPr>
                <w:rFonts w:ascii="Lucida Bright" w:hAnsi="Lucida Bright" w:cs="Calibri"/>
                <w:b/>
                <w:bCs/>
                <w:sz w:val="14"/>
                <w:szCs w:val="14"/>
                <w:lang w:val="es-ES"/>
              </w:rPr>
              <w:br/>
              <w:t>(Venta, retiro, etc)</w:t>
            </w:r>
          </w:p>
        </w:tc>
        <w:tc>
          <w:tcPr>
            <w:tcW w:w="1880" w:type="dxa"/>
            <w:tcBorders>
              <w:top w:val="single" w:sz="4" w:space="0" w:color="auto"/>
              <w:left w:val="nil"/>
              <w:bottom w:val="single" w:sz="4" w:space="0" w:color="auto"/>
              <w:right w:val="nil"/>
            </w:tcBorders>
            <w:shd w:val="clear" w:color="000000" w:fill="CCFFCC"/>
            <w:vAlign w:val="center"/>
            <w:hideMark/>
          </w:tcPr>
          <w:p w:rsidR="006351FC" w:rsidRPr="006351FC" w:rsidRDefault="006351FC" w:rsidP="006351FC">
            <w:pPr>
              <w:jc w:val="center"/>
              <w:rPr>
                <w:rFonts w:ascii="Lucida Bright" w:hAnsi="Lucida Bright" w:cs="Calibri"/>
                <w:b/>
                <w:bCs/>
                <w:sz w:val="14"/>
                <w:szCs w:val="14"/>
                <w:lang w:val="es-ES"/>
              </w:rPr>
            </w:pPr>
            <w:r w:rsidRPr="006351FC">
              <w:rPr>
                <w:rFonts w:ascii="Lucida Bright" w:hAnsi="Lucida Bright" w:cs="Calibri"/>
                <w:b/>
                <w:bCs/>
                <w:sz w:val="14"/>
                <w:szCs w:val="14"/>
                <w:lang w:val="es-ES"/>
              </w:rPr>
              <w:t>Descripción/Grupo funcional del activo</w:t>
            </w:r>
          </w:p>
        </w:tc>
        <w:tc>
          <w:tcPr>
            <w:tcW w:w="120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6351FC" w:rsidRPr="006351FC" w:rsidRDefault="006351FC" w:rsidP="006351FC">
            <w:pPr>
              <w:jc w:val="center"/>
              <w:rPr>
                <w:rFonts w:ascii="Lucida Bright" w:hAnsi="Lucida Bright" w:cs="Calibri"/>
                <w:b/>
                <w:bCs/>
                <w:sz w:val="14"/>
                <w:szCs w:val="14"/>
                <w:lang w:val="es-ES"/>
              </w:rPr>
            </w:pPr>
            <w:r w:rsidRPr="006351FC">
              <w:rPr>
                <w:rFonts w:ascii="Lucida Bright" w:hAnsi="Lucida Bright" w:cs="Calibri"/>
                <w:b/>
                <w:bCs/>
                <w:sz w:val="14"/>
                <w:szCs w:val="14"/>
                <w:lang w:val="es-ES"/>
              </w:rPr>
              <w:t>Valor</w:t>
            </w:r>
            <w:r w:rsidRPr="006351FC">
              <w:rPr>
                <w:rFonts w:ascii="Lucida Bright" w:hAnsi="Lucida Bright" w:cs="Calibri"/>
                <w:b/>
                <w:bCs/>
                <w:sz w:val="14"/>
                <w:szCs w:val="14"/>
                <w:lang w:val="es-ES"/>
              </w:rPr>
              <w:br/>
              <w:t>contable</w:t>
            </w:r>
            <w:r w:rsidRPr="006351FC">
              <w:rPr>
                <w:rFonts w:ascii="Lucida Bright" w:hAnsi="Lucida Bright" w:cs="Calibri"/>
                <w:b/>
                <w:bCs/>
                <w:sz w:val="14"/>
                <w:szCs w:val="14"/>
                <w:lang w:val="es-ES"/>
              </w:rPr>
              <w:br/>
              <w:t>bruto</w:t>
            </w:r>
          </w:p>
        </w:tc>
        <w:tc>
          <w:tcPr>
            <w:tcW w:w="1200" w:type="dxa"/>
            <w:tcBorders>
              <w:top w:val="single" w:sz="4" w:space="0" w:color="auto"/>
              <w:left w:val="nil"/>
              <w:bottom w:val="single" w:sz="4" w:space="0" w:color="auto"/>
              <w:right w:val="single" w:sz="4" w:space="0" w:color="auto"/>
            </w:tcBorders>
            <w:shd w:val="clear" w:color="000000" w:fill="CCFFCC"/>
            <w:vAlign w:val="center"/>
            <w:hideMark/>
          </w:tcPr>
          <w:p w:rsidR="006351FC" w:rsidRPr="006351FC" w:rsidRDefault="006351FC" w:rsidP="006351FC">
            <w:pPr>
              <w:jc w:val="center"/>
              <w:rPr>
                <w:rFonts w:ascii="Lucida Bright" w:hAnsi="Lucida Bright" w:cs="Calibri"/>
                <w:b/>
                <w:bCs/>
                <w:sz w:val="14"/>
                <w:szCs w:val="14"/>
                <w:lang w:val="es-ES"/>
              </w:rPr>
            </w:pPr>
            <w:r w:rsidRPr="006351FC">
              <w:rPr>
                <w:rFonts w:ascii="Lucida Bright" w:hAnsi="Lucida Bright" w:cs="Calibri"/>
                <w:b/>
                <w:bCs/>
                <w:sz w:val="14"/>
                <w:szCs w:val="14"/>
                <w:lang w:val="es-ES"/>
              </w:rPr>
              <w:t>Amortización</w:t>
            </w:r>
            <w:r w:rsidRPr="006351FC">
              <w:rPr>
                <w:rFonts w:ascii="Lucida Bright" w:hAnsi="Lucida Bright" w:cs="Calibri"/>
                <w:b/>
                <w:bCs/>
                <w:sz w:val="14"/>
                <w:szCs w:val="14"/>
                <w:lang w:val="es-ES"/>
              </w:rPr>
              <w:br/>
              <w:t>acumulada/</w:t>
            </w:r>
            <w:r w:rsidRPr="006351FC">
              <w:rPr>
                <w:rFonts w:ascii="Lucida Bright" w:hAnsi="Lucida Bright" w:cs="Calibri"/>
                <w:b/>
                <w:bCs/>
                <w:sz w:val="14"/>
                <w:szCs w:val="14"/>
                <w:lang w:val="es-ES"/>
              </w:rPr>
              <w:br/>
              <w:t>Deterioro de valor aplicado</w:t>
            </w:r>
          </w:p>
        </w:tc>
        <w:tc>
          <w:tcPr>
            <w:tcW w:w="1000" w:type="dxa"/>
            <w:tcBorders>
              <w:top w:val="single" w:sz="4" w:space="0" w:color="auto"/>
              <w:left w:val="nil"/>
              <w:bottom w:val="single" w:sz="4" w:space="0" w:color="auto"/>
              <w:right w:val="nil"/>
            </w:tcBorders>
            <w:shd w:val="clear" w:color="000000" w:fill="CCFFCC"/>
            <w:vAlign w:val="center"/>
            <w:hideMark/>
          </w:tcPr>
          <w:p w:rsidR="006351FC" w:rsidRPr="006351FC" w:rsidRDefault="006351FC" w:rsidP="006351FC">
            <w:pPr>
              <w:jc w:val="center"/>
              <w:rPr>
                <w:rFonts w:ascii="Lucida Bright" w:hAnsi="Lucida Bright" w:cs="Calibri"/>
                <w:b/>
                <w:bCs/>
                <w:sz w:val="14"/>
                <w:szCs w:val="14"/>
                <w:lang w:val="es-ES"/>
              </w:rPr>
            </w:pPr>
            <w:r w:rsidRPr="006351FC">
              <w:rPr>
                <w:rFonts w:ascii="Lucida Bright" w:hAnsi="Lucida Bright" w:cs="Calibri"/>
                <w:b/>
                <w:bCs/>
                <w:sz w:val="14"/>
                <w:szCs w:val="14"/>
                <w:lang w:val="es-ES"/>
              </w:rPr>
              <w:t>Precio de</w:t>
            </w:r>
            <w:r w:rsidRPr="006351FC">
              <w:rPr>
                <w:rFonts w:ascii="Lucida Bright" w:hAnsi="Lucida Bright" w:cs="Calibri"/>
                <w:b/>
                <w:bCs/>
                <w:sz w:val="14"/>
                <w:szCs w:val="14"/>
                <w:lang w:val="es-ES"/>
              </w:rPr>
              <w:br/>
              <w:t>venta</w:t>
            </w:r>
          </w:p>
        </w:tc>
        <w:tc>
          <w:tcPr>
            <w:tcW w:w="120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6351FC" w:rsidRPr="006351FC" w:rsidRDefault="006351FC" w:rsidP="006351FC">
            <w:pPr>
              <w:jc w:val="center"/>
              <w:rPr>
                <w:rFonts w:ascii="Lucida Bright" w:hAnsi="Lucida Bright" w:cs="Calibri"/>
                <w:b/>
                <w:bCs/>
                <w:sz w:val="14"/>
                <w:szCs w:val="14"/>
                <w:lang w:val="es-ES"/>
              </w:rPr>
            </w:pPr>
            <w:r w:rsidRPr="006351FC">
              <w:rPr>
                <w:rFonts w:ascii="Lucida Bright" w:hAnsi="Lucida Bright" w:cs="Calibri"/>
                <w:b/>
                <w:bCs/>
                <w:sz w:val="14"/>
                <w:szCs w:val="14"/>
                <w:lang w:val="es-ES"/>
              </w:rPr>
              <w:t>Resultado de</w:t>
            </w:r>
            <w:r w:rsidRPr="006351FC">
              <w:rPr>
                <w:rFonts w:ascii="Lucida Bright" w:hAnsi="Lucida Bright" w:cs="Calibri"/>
                <w:b/>
                <w:bCs/>
                <w:sz w:val="14"/>
                <w:szCs w:val="14"/>
                <w:lang w:val="es-ES"/>
              </w:rPr>
              <w:br/>
              <w:t>la operación</w:t>
            </w:r>
          </w:p>
        </w:tc>
      </w:tr>
      <w:tr w:rsidR="006351FC" w:rsidRPr="006351FC" w:rsidTr="006351FC">
        <w:trPr>
          <w:trHeight w:val="300"/>
        </w:trPr>
        <w:tc>
          <w:tcPr>
            <w:tcW w:w="200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6351FC" w:rsidRPr="006351FC" w:rsidRDefault="006351FC" w:rsidP="006351FC">
            <w:pPr>
              <w:rPr>
                <w:rFonts w:ascii="Lucida Bright" w:hAnsi="Lucida Bright" w:cs="Calibri"/>
                <w:b/>
                <w:bCs/>
                <w:sz w:val="14"/>
                <w:szCs w:val="14"/>
                <w:lang w:val="es-ES"/>
              </w:rPr>
            </w:pPr>
            <w:r w:rsidRPr="006351FC">
              <w:rPr>
                <w:rFonts w:ascii="Lucida Bright" w:hAnsi="Lucida Bright" w:cs="Calibri"/>
                <w:b/>
                <w:bCs/>
                <w:sz w:val="14"/>
                <w:szCs w:val="14"/>
                <w:lang w:val="es-ES"/>
              </w:rPr>
              <w:t>Inmovilizado material</w:t>
            </w:r>
          </w:p>
        </w:tc>
        <w:tc>
          <w:tcPr>
            <w:tcW w:w="1880" w:type="dxa"/>
            <w:tcBorders>
              <w:top w:val="single" w:sz="4" w:space="0" w:color="auto"/>
              <w:left w:val="nil"/>
              <w:bottom w:val="nil"/>
              <w:right w:val="nil"/>
            </w:tcBorders>
            <w:shd w:val="clear" w:color="000000" w:fill="FFFFFF"/>
            <w:noWrap/>
            <w:vAlign w:val="bottom"/>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200" w:type="dxa"/>
            <w:tcBorders>
              <w:top w:val="single" w:sz="4" w:space="0" w:color="auto"/>
              <w:left w:val="nil"/>
              <w:bottom w:val="nil"/>
              <w:right w:val="nil"/>
            </w:tcBorders>
            <w:shd w:val="clear" w:color="000000" w:fill="FFFFFF"/>
            <w:noWrap/>
            <w:vAlign w:val="bottom"/>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200" w:type="dxa"/>
            <w:tcBorders>
              <w:top w:val="single" w:sz="4" w:space="0" w:color="auto"/>
              <w:left w:val="nil"/>
              <w:bottom w:val="nil"/>
              <w:right w:val="nil"/>
            </w:tcBorders>
            <w:shd w:val="clear" w:color="000000" w:fill="FFFFFF"/>
            <w:noWrap/>
            <w:vAlign w:val="bottom"/>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000" w:type="dxa"/>
            <w:tcBorders>
              <w:top w:val="single" w:sz="4" w:space="0" w:color="auto"/>
              <w:left w:val="nil"/>
              <w:bottom w:val="nil"/>
              <w:right w:val="nil"/>
            </w:tcBorders>
            <w:shd w:val="clear" w:color="000000" w:fill="FFFFFF"/>
            <w:noWrap/>
            <w:vAlign w:val="bottom"/>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200" w:type="dxa"/>
            <w:tcBorders>
              <w:top w:val="single" w:sz="4" w:space="0" w:color="auto"/>
              <w:left w:val="nil"/>
              <w:bottom w:val="nil"/>
              <w:right w:val="single" w:sz="4" w:space="0" w:color="auto"/>
            </w:tcBorders>
            <w:shd w:val="clear" w:color="000000" w:fill="FFFFFF"/>
            <w:noWrap/>
            <w:vAlign w:val="bottom"/>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r>
      <w:tr w:rsidR="006351FC" w:rsidRPr="006351FC" w:rsidTr="006351FC">
        <w:trPr>
          <w:trHeight w:val="6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28/10/24</w:t>
            </w:r>
          </w:p>
        </w:tc>
        <w:tc>
          <w:tcPr>
            <w:tcW w:w="96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venta</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Parcela Portitxol C7 / 001 Terrenos</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1.194,00 </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20.914,90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19.720,90 </w:t>
            </w:r>
          </w:p>
        </w:tc>
      </w:tr>
      <w:tr w:rsidR="006351FC" w:rsidRPr="006351FC" w:rsidTr="006351FC">
        <w:trPr>
          <w:trHeight w:val="6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11/10/24</w:t>
            </w:r>
          </w:p>
        </w:tc>
        <w:tc>
          <w:tcPr>
            <w:tcW w:w="96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Baja</w:t>
            </w:r>
          </w:p>
        </w:tc>
        <w:tc>
          <w:tcPr>
            <w:tcW w:w="1880" w:type="dxa"/>
            <w:tcBorders>
              <w:top w:val="nil"/>
              <w:left w:val="nil"/>
              <w:bottom w:val="single" w:sz="4" w:space="0" w:color="auto"/>
              <w:right w:val="single" w:sz="4" w:space="0" w:color="auto"/>
            </w:tcBorders>
            <w:shd w:val="clear" w:color="000000" w:fill="FFFFFF"/>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850530/4 P.O.95.19 Habilitación antiguo almacén Gesa / 0904 Equipos</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33.976,42 </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9.343,52 </w:t>
            </w:r>
          </w:p>
        </w:tc>
        <w:tc>
          <w:tcPr>
            <w:tcW w:w="10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(24.632,90) </w:t>
            </w:r>
          </w:p>
        </w:tc>
      </w:tr>
      <w:tr w:rsidR="006351FC" w:rsidRPr="006351FC" w:rsidTr="006351FC">
        <w:trPr>
          <w:trHeight w:val="6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11/10/24</w:t>
            </w:r>
          </w:p>
        </w:tc>
        <w:tc>
          <w:tcPr>
            <w:tcW w:w="96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Baja</w:t>
            </w:r>
          </w:p>
        </w:tc>
        <w:tc>
          <w:tcPr>
            <w:tcW w:w="1880" w:type="dxa"/>
            <w:tcBorders>
              <w:top w:val="nil"/>
              <w:left w:val="nil"/>
              <w:bottom w:val="single" w:sz="4" w:space="0" w:color="auto"/>
              <w:right w:val="single" w:sz="4" w:space="0" w:color="auto"/>
            </w:tcBorders>
            <w:shd w:val="clear" w:color="auto" w:fill="auto"/>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850530/3 P.O.95.19 Habilitación antiguo edificio Gesa / 1401 Mobiliario</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37.237,04 </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10.240,19 </w:t>
            </w:r>
          </w:p>
        </w:tc>
        <w:tc>
          <w:tcPr>
            <w:tcW w:w="10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(26.996,85) </w:t>
            </w:r>
          </w:p>
        </w:tc>
      </w:tr>
      <w:tr w:rsidR="006351FC" w:rsidRPr="006351FC" w:rsidTr="006351FC">
        <w:trPr>
          <w:trHeight w:val="6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11/10/24</w:t>
            </w:r>
          </w:p>
        </w:tc>
        <w:tc>
          <w:tcPr>
            <w:tcW w:w="96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Baja</w:t>
            </w:r>
          </w:p>
        </w:tc>
        <w:tc>
          <w:tcPr>
            <w:tcW w:w="1880" w:type="dxa"/>
            <w:tcBorders>
              <w:top w:val="nil"/>
              <w:left w:val="nil"/>
              <w:bottom w:val="single" w:sz="4" w:space="0" w:color="auto"/>
              <w:right w:val="single" w:sz="4" w:space="0" w:color="auto"/>
            </w:tcBorders>
            <w:shd w:val="clear" w:color="auto" w:fill="auto"/>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850530/2 P.O.95.19 Habilitación antiguo almacén Gesa / 0703 Otras Instalaciones</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100.994,78 </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16.337,39 </w:t>
            </w:r>
          </w:p>
        </w:tc>
        <w:tc>
          <w:tcPr>
            <w:tcW w:w="10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(84.657,39) </w:t>
            </w:r>
          </w:p>
        </w:tc>
      </w:tr>
      <w:tr w:rsidR="006351FC" w:rsidRPr="006351FC" w:rsidTr="006351FC">
        <w:trPr>
          <w:trHeight w:val="6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11/10/24</w:t>
            </w:r>
          </w:p>
        </w:tc>
        <w:tc>
          <w:tcPr>
            <w:tcW w:w="96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Baja</w:t>
            </w:r>
          </w:p>
        </w:tc>
        <w:tc>
          <w:tcPr>
            <w:tcW w:w="1880" w:type="dxa"/>
            <w:tcBorders>
              <w:top w:val="nil"/>
              <w:left w:val="nil"/>
              <w:bottom w:val="single" w:sz="4" w:space="0" w:color="auto"/>
              <w:right w:val="single" w:sz="4" w:space="0" w:color="auto"/>
            </w:tcBorders>
            <w:shd w:val="clear" w:color="auto" w:fill="auto"/>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xml:space="preserve">850530/1 P.O.95.19 Habilitación antiguo </w:t>
            </w:r>
            <w:r w:rsidR="00AA27CF" w:rsidRPr="006351FC">
              <w:rPr>
                <w:rFonts w:ascii="Lucida Bright" w:hAnsi="Lucida Bright" w:cs="Calibri"/>
                <w:sz w:val="14"/>
                <w:szCs w:val="14"/>
                <w:lang w:val="es-ES"/>
              </w:rPr>
              <w:t>almacén</w:t>
            </w:r>
            <w:r w:rsidRPr="006351FC">
              <w:rPr>
                <w:rFonts w:ascii="Lucida Bright" w:hAnsi="Lucida Bright" w:cs="Calibri"/>
                <w:sz w:val="14"/>
                <w:szCs w:val="14"/>
                <w:lang w:val="es-ES"/>
              </w:rPr>
              <w:t xml:space="preserve"> Gesa / 0701 Instalaciones</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38.856,39 </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6.678,45 </w:t>
            </w:r>
          </w:p>
        </w:tc>
        <w:tc>
          <w:tcPr>
            <w:tcW w:w="10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(32.177,94) </w:t>
            </w:r>
          </w:p>
        </w:tc>
      </w:tr>
    </w:tbl>
    <w:p w:rsidR="004518BC" w:rsidRPr="00E56AB5" w:rsidRDefault="004518BC" w:rsidP="00E56AB5">
      <w:pPr>
        <w:tabs>
          <w:tab w:val="right" w:pos="8364"/>
        </w:tabs>
        <w:ind w:firstLine="567"/>
        <w:jc w:val="both"/>
        <w:rPr>
          <w:rFonts w:ascii="NewBaskerville" w:hAnsi="NewBaskerville"/>
          <w:bCs/>
        </w:rPr>
      </w:pPr>
    </w:p>
    <w:tbl>
      <w:tblPr>
        <w:tblW w:w="8480" w:type="dxa"/>
        <w:tblInd w:w="65" w:type="dxa"/>
        <w:tblCellMar>
          <w:left w:w="70" w:type="dxa"/>
          <w:right w:w="70" w:type="dxa"/>
        </w:tblCellMar>
        <w:tblLook w:val="04A0" w:firstRow="1" w:lastRow="0" w:firstColumn="1" w:lastColumn="0" w:noHBand="0" w:noVBand="1"/>
      </w:tblPr>
      <w:tblGrid>
        <w:gridCol w:w="1040"/>
        <w:gridCol w:w="960"/>
        <w:gridCol w:w="1739"/>
        <w:gridCol w:w="1200"/>
        <w:gridCol w:w="1200"/>
        <w:gridCol w:w="1141"/>
        <w:gridCol w:w="1200"/>
      </w:tblGrid>
      <w:tr w:rsidR="006351FC" w:rsidRPr="006351FC" w:rsidTr="006351FC">
        <w:trPr>
          <w:trHeight w:val="660"/>
        </w:trPr>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lastRenderedPageBreak/>
              <w:t>11/10/24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Baja</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850530 P.O. Habilitación antiguo almacén Gesa / 0601 Almacenes mercancías</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192.262,70 </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15.106,36 </w:t>
            </w:r>
          </w:p>
        </w:tc>
        <w:tc>
          <w:tcPr>
            <w:tcW w:w="1141" w:type="dxa"/>
            <w:tcBorders>
              <w:top w:val="single" w:sz="4" w:space="0" w:color="auto"/>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(177.156,34) </w:t>
            </w:r>
          </w:p>
        </w:tc>
      </w:tr>
      <w:tr w:rsidR="006351FC" w:rsidRPr="006351FC" w:rsidTr="006351FC">
        <w:trPr>
          <w:trHeight w:val="6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11/10/24</w:t>
            </w:r>
          </w:p>
        </w:tc>
        <w:tc>
          <w:tcPr>
            <w:tcW w:w="96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Baja</w:t>
            </w:r>
          </w:p>
        </w:tc>
        <w:tc>
          <w:tcPr>
            <w:tcW w:w="1739" w:type="dxa"/>
            <w:tcBorders>
              <w:top w:val="nil"/>
              <w:left w:val="nil"/>
              <w:bottom w:val="single" w:sz="4" w:space="0" w:color="auto"/>
              <w:right w:val="single" w:sz="4" w:space="0" w:color="auto"/>
            </w:tcBorders>
            <w:shd w:val="clear" w:color="auto" w:fill="auto"/>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850189 P.O.81.08 caseta aseos en explanada mantenimiento / 0606 Módulos</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14.135,80 </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14.135,80 </w:t>
            </w:r>
          </w:p>
        </w:tc>
        <w:tc>
          <w:tcPr>
            <w:tcW w:w="1141"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 </w:t>
            </w:r>
          </w:p>
        </w:tc>
      </w:tr>
      <w:tr w:rsidR="006351FC" w:rsidRPr="006351FC" w:rsidTr="006351FC">
        <w:trPr>
          <w:trHeight w:val="6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19/12/24</w:t>
            </w:r>
          </w:p>
        </w:tc>
        <w:tc>
          <w:tcPr>
            <w:tcW w:w="96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Baja Parcial</w:t>
            </w:r>
          </w:p>
        </w:tc>
        <w:tc>
          <w:tcPr>
            <w:tcW w:w="1739" w:type="dxa"/>
            <w:tcBorders>
              <w:top w:val="nil"/>
              <w:left w:val="nil"/>
              <w:bottom w:val="single" w:sz="4" w:space="0" w:color="auto"/>
              <w:right w:val="single" w:sz="4" w:space="0" w:color="auto"/>
            </w:tcBorders>
            <w:shd w:val="clear" w:color="auto" w:fill="auto"/>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811990/3 P.O.93.20 Parque infantil Molinar / 1501 Mobiliario urbano</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8.393,13 </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3.460,72 </w:t>
            </w:r>
          </w:p>
        </w:tc>
        <w:tc>
          <w:tcPr>
            <w:tcW w:w="1141"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(4.932,41) </w:t>
            </w:r>
          </w:p>
        </w:tc>
      </w:tr>
      <w:tr w:rsidR="006351FC" w:rsidRPr="006351FC" w:rsidTr="006351FC">
        <w:trPr>
          <w:trHeight w:val="6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19/12/24</w:t>
            </w:r>
          </w:p>
        </w:tc>
        <w:tc>
          <w:tcPr>
            <w:tcW w:w="96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Baja</w:t>
            </w:r>
          </w:p>
        </w:tc>
        <w:tc>
          <w:tcPr>
            <w:tcW w:w="1739" w:type="dxa"/>
            <w:tcBorders>
              <w:top w:val="nil"/>
              <w:left w:val="nil"/>
              <w:bottom w:val="single" w:sz="4" w:space="0" w:color="auto"/>
              <w:right w:val="single" w:sz="4" w:space="0" w:color="auto"/>
            </w:tcBorders>
            <w:shd w:val="clear" w:color="auto" w:fill="auto"/>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811575 P.O.51.14 Puertas acceso pre embarque E.M.3 / 0701 Instalaciones</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10.941,50 </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6.489,80 </w:t>
            </w:r>
          </w:p>
        </w:tc>
        <w:tc>
          <w:tcPr>
            <w:tcW w:w="1141"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(4.451,70) </w:t>
            </w:r>
          </w:p>
        </w:tc>
      </w:tr>
      <w:tr w:rsidR="006351FC" w:rsidRPr="006351FC" w:rsidTr="006351FC">
        <w:trPr>
          <w:trHeight w:val="6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19/12/24</w:t>
            </w:r>
          </w:p>
        </w:tc>
        <w:tc>
          <w:tcPr>
            <w:tcW w:w="96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Baja</w:t>
            </w:r>
          </w:p>
        </w:tc>
        <w:tc>
          <w:tcPr>
            <w:tcW w:w="1739" w:type="dxa"/>
            <w:tcBorders>
              <w:top w:val="nil"/>
              <w:left w:val="nil"/>
              <w:bottom w:val="single" w:sz="4" w:space="0" w:color="auto"/>
              <w:right w:val="single" w:sz="4" w:space="0" w:color="auto"/>
            </w:tcBorders>
            <w:shd w:val="clear" w:color="auto" w:fill="auto"/>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811078/2 P.O.99.05 Adecuación barandilla espaldón D. Oeste / 0702 Cerramientos</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10.185,59 </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10.185,59 </w:t>
            </w:r>
          </w:p>
        </w:tc>
        <w:tc>
          <w:tcPr>
            <w:tcW w:w="1141"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 </w:t>
            </w:r>
          </w:p>
        </w:tc>
      </w:tr>
      <w:tr w:rsidR="006351FC" w:rsidRPr="006351FC" w:rsidTr="006351FC">
        <w:trPr>
          <w:trHeight w:val="6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30/12/24</w:t>
            </w:r>
          </w:p>
        </w:tc>
        <w:tc>
          <w:tcPr>
            <w:tcW w:w="96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Baja</w:t>
            </w:r>
          </w:p>
        </w:tc>
        <w:tc>
          <w:tcPr>
            <w:tcW w:w="1739" w:type="dxa"/>
            <w:tcBorders>
              <w:top w:val="nil"/>
              <w:left w:val="nil"/>
              <w:bottom w:val="single" w:sz="4" w:space="0" w:color="auto"/>
              <w:right w:val="single" w:sz="4" w:space="0" w:color="auto"/>
            </w:tcBorders>
            <w:shd w:val="clear" w:color="auto" w:fill="auto"/>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810042/1</w:t>
            </w:r>
            <w:r>
              <w:rPr>
                <w:rFonts w:ascii="Lucida Bright" w:hAnsi="Lucida Bright" w:cs="Calibri"/>
                <w:sz w:val="14"/>
                <w:szCs w:val="14"/>
                <w:lang w:val="es-ES"/>
              </w:rPr>
              <w:t xml:space="preserve"> D</w:t>
            </w:r>
            <w:r w:rsidRPr="006351FC">
              <w:rPr>
                <w:rFonts w:ascii="Lucida Bright" w:hAnsi="Lucida Bright" w:cs="Calibri"/>
                <w:sz w:val="14"/>
                <w:szCs w:val="14"/>
                <w:lang w:val="es-ES"/>
              </w:rPr>
              <w:t>esmantelamiento grúa P.O.74.20 / 0902 Grúas de pórtico</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63.275,74 </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141"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(63.275,74) </w:t>
            </w:r>
          </w:p>
        </w:tc>
      </w:tr>
      <w:tr w:rsidR="006351FC" w:rsidRPr="006351FC" w:rsidTr="006351FC">
        <w:trPr>
          <w:trHeight w:val="6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 xml:space="preserve">30/12/24 </w:t>
            </w:r>
          </w:p>
        </w:tc>
        <w:tc>
          <w:tcPr>
            <w:tcW w:w="96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Baja</w:t>
            </w:r>
          </w:p>
        </w:tc>
        <w:tc>
          <w:tcPr>
            <w:tcW w:w="1739" w:type="dxa"/>
            <w:tcBorders>
              <w:top w:val="nil"/>
              <w:left w:val="nil"/>
              <w:bottom w:val="single" w:sz="4" w:space="0" w:color="auto"/>
              <w:right w:val="single" w:sz="4" w:space="0" w:color="auto"/>
            </w:tcBorders>
            <w:shd w:val="clear" w:color="auto" w:fill="auto"/>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810042 Const. y montaje grúas P.O.879 / 0902 Grúas de pórtico</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1.384.255,00 </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1.384.255,00 </w:t>
            </w:r>
          </w:p>
        </w:tc>
        <w:tc>
          <w:tcPr>
            <w:tcW w:w="1141"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 </w:t>
            </w:r>
          </w:p>
        </w:tc>
      </w:tr>
      <w:tr w:rsidR="006351FC" w:rsidRPr="006351FC" w:rsidTr="006351FC">
        <w:trPr>
          <w:trHeight w:val="6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11/10/24</w:t>
            </w:r>
          </w:p>
        </w:tc>
        <w:tc>
          <w:tcPr>
            <w:tcW w:w="96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Baja</w:t>
            </w:r>
          </w:p>
        </w:tc>
        <w:tc>
          <w:tcPr>
            <w:tcW w:w="1739" w:type="dxa"/>
            <w:tcBorders>
              <w:top w:val="nil"/>
              <w:left w:val="nil"/>
              <w:bottom w:val="single" w:sz="4" w:space="0" w:color="auto"/>
              <w:right w:val="single" w:sz="4" w:space="0" w:color="auto"/>
            </w:tcBorders>
            <w:shd w:val="clear" w:color="auto" w:fill="auto"/>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850373 Acond. cubierta garaje base naval. P.O.81.08 / 0603 Almacenes</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101.205,34 </w:t>
            </w:r>
          </w:p>
        </w:tc>
        <w:tc>
          <w:tcPr>
            <w:tcW w:w="1200"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39.193,81 </w:t>
            </w:r>
          </w:p>
        </w:tc>
        <w:tc>
          <w:tcPr>
            <w:tcW w:w="1141" w:type="dxa"/>
            <w:tcBorders>
              <w:top w:val="nil"/>
              <w:left w:val="nil"/>
              <w:bottom w:val="single" w:sz="4" w:space="0" w:color="auto"/>
              <w:right w:val="single" w:sz="4" w:space="0" w:color="auto"/>
            </w:tcBorders>
            <w:shd w:val="clear" w:color="000000" w:fill="FFFFFF"/>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sz w:val="14"/>
                <w:szCs w:val="14"/>
                <w:lang w:val="es-ES"/>
              </w:rPr>
            </w:pPr>
            <w:r w:rsidRPr="006351FC">
              <w:rPr>
                <w:rFonts w:ascii="Lucida Bright" w:hAnsi="Lucida Bright" w:cs="Calibri"/>
                <w:sz w:val="14"/>
                <w:szCs w:val="14"/>
                <w:lang w:val="es-ES"/>
              </w:rPr>
              <w:t xml:space="preserve">(62.011,53) </w:t>
            </w:r>
          </w:p>
        </w:tc>
      </w:tr>
      <w:tr w:rsidR="006351FC" w:rsidRPr="006351FC" w:rsidTr="006351FC">
        <w:trPr>
          <w:trHeight w:val="300"/>
        </w:trPr>
        <w:tc>
          <w:tcPr>
            <w:tcW w:w="373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51FC" w:rsidRPr="006351FC" w:rsidRDefault="006351FC" w:rsidP="006351FC">
            <w:pPr>
              <w:jc w:val="center"/>
              <w:rPr>
                <w:rFonts w:ascii="Lucida Bright" w:hAnsi="Lucida Bright" w:cs="Calibri"/>
                <w:b/>
                <w:bCs/>
                <w:sz w:val="14"/>
                <w:szCs w:val="14"/>
                <w:lang w:val="es-ES"/>
              </w:rPr>
            </w:pPr>
            <w:r w:rsidRPr="006351FC">
              <w:rPr>
                <w:rFonts w:ascii="Lucida Bright" w:hAnsi="Lucida Bright" w:cs="Calibri"/>
                <w:b/>
                <w:bCs/>
                <w:sz w:val="14"/>
                <w:szCs w:val="14"/>
                <w:lang w:val="es-ES"/>
              </w:rPr>
              <w:t>Subtotal inmovilizado material</w:t>
            </w:r>
          </w:p>
        </w:tc>
        <w:tc>
          <w:tcPr>
            <w:tcW w:w="1200" w:type="dxa"/>
            <w:tcBorders>
              <w:top w:val="nil"/>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b/>
                <w:bCs/>
                <w:sz w:val="14"/>
                <w:szCs w:val="14"/>
                <w:lang w:val="es-ES"/>
              </w:rPr>
            </w:pPr>
            <w:r w:rsidRPr="006351FC">
              <w:rPr>
                <w:rFonts w:ascii="Lucida Bright" w:hAnsi="Lucida Bright" w:cs="Calibri"/>
                <w:b/>
                <w:bCs/>
                <w:sz w:val="14"/>
                <w:szCs w:val="14"/>
                <w:lang w:val="es-ES"/>
              </w:rPr>
              <w:t xml:space="preserve">1.996.913,43 </w:t>
            </w:r>
          </w:p>
        </w:tc>
        <w:tc>
          <w:tcPr>
            <w:tcW w:w="1200" w:type="dxa"/>
            <w:tcBorders>
              <w:top w:val="nil"/>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b/>
                <w:bCs/>
                <w:sz w:val="14"/>
                <w:szCs w:val="14"/>
                <w:lang w:val="es-ES"/>
              </w:rPr>
            </w:pPr>
            <w:r w:rsidRPr="006351FC">
              <w:rPr>
                <w:rFonts w:ascii="Lucida Bright" w:hAnsi="Lucida Bright" w:cs="Calibri"/>
                <w:b/>
                <w:bCs/>
                <w:sz w:val="14"/>
                <w:szCs w:val="14"/>
                <w:lang w:val="es-ES"/>
              </w:rPr>
              <w:t xml:space="preserve">1.515.426,63 </w:t>
            </w:r>
          </w:p>
        </w:tc>
        <w:tc>
          <w:tcPr>
            <w:tcW w:w="1141" w:type="dxa"/>
            <w:tcBorders>
              <w:top w:val="nil"/>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b/>
                <w:bCs/>
                <w:sz w:val="14"/>
                <w:szCs w:val="14"/>
                <w:lang w:val="es-ES"/>
              </w:rPr>
            </w:pPr>
            <w:r w:rsidRPr="006351FC">
              <w:rPr>
                <w:rFonts w:ascii="Lucida Bright" w:hAnsi="Lucida Bright" w:cs="Calibri"/>
                <w:b/>
                <w:bCs/>
                <w:sz w:val="14"/>
                <w:szCs w:val="14"/>
                <w:lang w:val="es-ES"/>
              </w:rPr>
              <w:t xml:space="preserve">20.914,90 </w:t>
            </w:r>
          </w:p>
        </w:tc>
        <w:tc>
          <w:tcPr>
            <w:tcW w:w="1200" w:type="dxa"/>
            <w:tcBorders>
              <w:top w:val="nil"/>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b/>
                <w:bCs/>
                <w:sz w:val="14"/>
                <w:szCs w:val="14"/>
                <w:lang w:val="es-ES"/>
              </w:rPr>
            </w:pPr>
            <w:r w:rsidRPr="006351FC">
              <w:rPr>
                <w:rFonts w:ascii="Lucida Bright" w:hAnsi="Lucida Bright" w:cs="Calibri"/>
                <w:b/>
                <w:bCs/>
                <w:sz w:val="14"/>
                <w:szCs w:val="14"/>
                <w:lang w:val="es-ES"/>
              </w:rPr>
              <w:t xml:space="preserve">(460.571,90) </w:t>
            </w:r>
          </w:p>
        </w:tc>
      </w:tr>
      <w:tr w:rsidR="006351FC" w:rsidRPr="006351FC" w:rsidTr="006351FC">
        <w:trPr>
          <w:trHeight w:val="300"/>
        </w:trPr>
        <w:tc>
          <w:tcPr>
            <w:tcW w:w="3739" w:type="dxa"/>
            <w:gridSpan w:val="3"/>
            <w:tcBorders>
              <w:top w:val="nil"/>
              <w:left w:val="single" w:sz="4" w:space="0" w:color="auto"/>
              <w:bottom w:val="nil"/>
              <w:right w:val="nil"/>
            </w:tcBorders>
            <w:shd w:val="clear" w:color="000000" w:fill="FFFFFF"/>
            <w:noWrap/>
            <w:vAlign w:val="bottom"/>
            <w:hideMark/>
          </w:tcPr>
          <w:p w:rsidR="006351FC" w:rsidRPr="006351FC" w:rsidRDefault="006351FC" w:rsidP="006351FC">
            <w:pPr>
              <w:rPr>
                <w:rFonts w:ascii="Lucida Bright" w:hAnsi="Lucida Bright" w:cs="Calibri"/>
                <w:b/>
                <w:bCs/>
                <w:sz w:val="14"/>
                <w:szCs w:val="14"/>
                <w:lang w:val="es-ES"/>
              </w:rPr>
            </w:pPr>
            <w:r w:rsidRPr="006351FC">
              <w:rPr>
                <w:rFonts w:ascii="Lucida Bright" w:hAnsi="Lucida Bright" w:cs="Calibri"/>
                <w:b/>
                <w:bCs/>
                <w:sz w:val="14"/>
                <w:szCs w:val="14"/>
                <w:lang w:val="es-ES"/>
              </w:rPr>
              <w:t>Activos no corrientes mantenidos para la venta</w:t>
            </w:r>
          </w:p>
        </w:tc>
        <w:tc>
          <w:tcPr>
            <w:tcW w:w="1200" w:type="dxa"/>
            <w:tcBorders>
              <w:top w:val="nil"/>
              <w:left w:val="nil"/>
              <w:bottom w:val="nil"/>
              <w:right w:val="nil"/>
            </w:tcBorders>
            <w:shd w:val="clear" w:color="000000" w:fill="FFFFFF"/>
            <w:noWrap/>
            <w:vAlign w:val="bottom"/>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bottom"/>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141" w:type="dxa"/>
            <w:tcBorders>
              <w:top w:val="nil"/>
              <w:left w:val="nil"/>
              <w:bottom w:val="nil"/>
              <w:right w:val="nil"/>
            </w:tcBorders>
            <w:shd w:val="clear" w:color="000000" w:fill="FFFFFF"/>
            <w:noWrap/>
            <w:vAlign w:val="bottom"/>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200" w:type="dxa"/>
            <w:tcBorders>
              <w:top w:val="nil"/>
              <w:left w:val="nil"/>
              <w:bottom w:val="nil"/>
              <w:right w:val="single" w:sz="4" w:space="0" w:color="auto"/>
            </w:tcBorders>
            <w:shd w:val="clear" w:color="000000" w:fill="FFFFFF"/>
            <w:noWrap/>
            <w:vAlign w:val="bottom"/>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r>
      <w:tr w:rsidR="006351FC" w:rsidRPr="006351FC" w:rsidTr="006351FC">
        <w:trPr>
          <w:trHeight w:val="300"/>
        </w:trPr>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739" w:type="dxa"/>
            <w:tcBorders>
              <w:top w:val="single" w:sz="4" w:space="0" w:color="auto"/>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141" w:type="dxa"/>
            <w:tcBorders>
              <w:top w:val="single" w:sz="4" w:space="0" w:color="auto"/>
              <w:left w:val="nil"/>
              <w:bottom w:val="single" w:sz="4" w:space="0" w:color="auto"/>
              <w:right w:val="single" w:sz="4" w:space="0" w:color="auto"/>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r>
      <w:tr w:rsidR="006351FC" w:rsidRPr="006351FC" w:rsidTr="006351FC">
        <w:trPr>
          <w:trHeight w:val="300"/>
        </w:trPr>
        <w:tc>
          <w:tcPr>
            <w:tcW w:w="613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51FC" w:rsidRPr="006351FC" w:rsidRDefault="006351FC" w:rsidP="006351FC">
            <w:pPr>
              <w:rPr>
                <w:rFonts w:ascii="Lucida Bright" w:hAnsi="Lucida Bright" w:cs="Calibri"/>
                <w:b/>
                <w:bCs/>
                <w:sz w:val="14"/>
                <w:szCs w:val="14"/>
                <w:lang w:val="es-ES"/>
              </w:rPr>
            </w:pPr>
            <w:r w:rsidRPr="006351FC">
              <w:rPr>
                <w:rFonts w:ascii="Lucida Bright" w:hAnsi="Lucida Bright" w:cs="Calibri"/>
                <w:b/>
                <w:bCs/>
                <w:sz w:val="14"/>
                <w:szCs w:val="14"/>
                <w:lang w:val="es-ES"/>
              </w:rPr>
              <w:t>Subtotal activos no corrientes mantenidos para la venta</w:t>
            </w:r>
          </w:p>
        </w:tc>
        <w:tc>
          <w:tcPr>
            <w:tcW w:w="1141" w:type="dxa"/>
            <w:tcBorders>
              <w:top w:val="nil"/>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b/>
                <w:bCs/>
                <w:sz w:val="14"/>
                <w:szCs w:val="14"/>
                <w:lang w:val="es-ES"/>
              </w:rPr>
            </w:pPr>
            <w:r w:rsidRPr="006351FC">
              <w:rPr>
                <w:rFonts w:ascii="Lucida Bright" w:hAnsi="Lucida Bright" w:cs="Calibri"/>
                <w:b/>
                <w:bCs/>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b/>
                <w:bCs/>
                <w:sz w:val="14"/>
                <w:szCs w:val="14"/>
                <w:lang w:val="es-ES"/>
              </w:rPr>
            </w:pPr>
            <w:r w:rsidRPr="006351FC">
              <w:rPr>
                <w:rFonts w:ascii="Lucida Bright" w:hAnsi="Lucida Bright" w:cs="Calibri"/>
                <w:b/>
                <w:bCs/>
                <w:sz w:val="14"/>
                <w:szCs w:val="14"/>
                <w:lang w:val="es-ES"/>
              </w:rPr>
              <w:t xml:space="preserve">- </w:t>
            </w:r>
          </w:p>
        </w:tc>
      </w:tr>
      <w:tr w:rsidR="006351FC" w:rsidRPr="006351FC" w:rsidTr="006351FC">
        <w:trPr>
          <w:trHeight w:val="300"/>
        </w:trPr>
        <w:tc>
          <w:tcPr>
            <w:tcW w:w="1040" w:type="dxa"/>
            <w:tcBorders>
              <w:top w:val="nil"/>
              <w:left w:val="nil"/>
              <w:bottom w:val="nil"/>
              <w:right w:val="nil"/>
            </w:tcBorders>
            <w:shd w:val="clear" w:color="000000" w:fill="FFFFFF"/>
            <w:noWrap/>
            <w:vAlign w:val="center"/>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 </w:t>
            </w:r>
          </w:p>
        </w:tc>
        <w:tc>
          <w:tcPr>
            <w:tcW w:w="960" w:type="dxa"/>
            <w:tcBorders>
              <w:top w:val="nil"/>
              <w:left w:val="nil"/>
              <w:bottom w:val="nil"/>
              <w:right w:val="nil"/>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739" w:type="dxa"/>
            <w:tcBorders>
              <w:top w:val="nil"/>
              <w:left w:val="nil"/>
              <w:bottom w:val="nil"/>
              <w:right w:val="nil"/>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141" w:type="dxa"/>
            <w:tcBorders>
              <w:top w:val="nil"/>
              <w:left w:val="nil"/>
              <w:bottom w:val="nil"/>
              <w:right w:val="nil"/>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center"/>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r>
      <w:tr w:rsidR="006351FC" w:rsidRPr="006351FC" w:rsidTr="006351FC">
        <w:trPr>
          <w:trHeight w:val="30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1FC" w:rsidRPr="006351FC" w:rsidRDefault="006351FC" w:rsidP="006351FC">
            <w:pPr>
              <w:jc w:val="center"/>
              <w:rPr>
                <w:rFonts w:ascii="Lucida Bright" w:hAnsi="Lucida Bright" w:cs="Calibri"/>
                <w:b/>
                <w:bCs/>
                <w:sz w:val="14"/>
                <w:szCs w:val="14"/>
                <w:lang w:val="es-ES"/>
              </w:rPr>
            </w:pPr>
            <w:r w:rsidRPr="006351FC">
              <w:rPr>
                <w:rFonts w:ascii="Lucida Bright" w:hAnsi="Lucida Bright" w:cs="Calibri"/>
                <w:b/>
                <w:bCs/>
                <w:sz w:val="14"/>
                <w:szCs w:val="14"/>
                <w:lang w:val="es-ES"/>
              </w:rPr>
              <w:t>TOTAL</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351FC" w:rsidRPr="006351FC" w:rsidRDefault="006351FC" w:rsidP="006351FC">
            <w:pPr>
              <w:rPr>
                <w:rFonts w:ascii="Lucida Bright" w:hAnsi="Lucida Bright" w:cs="Calibri"/>
                <w:b/>
                <w:bCs/>
                <w:sz w:val="14"/>
                <w:szCs w:val="14"/>
                <w:lang w:val="es-ES"/>
              </w:rPr>
            </w:pPr>
            <w:r w:rsidRPr="006351FC">
              <w:rPr>
                <w:rFonts w:ascii="Lucida Bright" w:hAnsi="Lucida Bright" w:cs="Calibri"/>
                <w:b/>
                <w:bCs/>
                <w:sz w:val="14"/>
                <w:szCs w:val="14"/>
                <w:lang w:val="es-ES"/>
              </w:rPr>
              <w:t> </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rsidR="006351FC" w:rsidRPr="006351FC" w:rsidRDefault="006351FC" w:rsidP="006351FC">
            <w:pPr>
              <w:rPr>
                <w:rFonts w:ascii="Lucida Bright" w:hAnsi="Lucida Bright" w:cs="Calibri"/>
                <w:b/>
                <w:bCs/>
                <w:sz w:val="14"/>
                <w:szCs w:val="14"/>
                <w:lang w:val="es-ES"/>
              </w:rPr>
            </w:pPr>
            <w:r w:rsidRPr="006351FC">
              <w:rPr>
                <w:rFonts w:ascii="Lucida Bright" w:hAnsi="Lucida Bright" w:cs="Calibri"/>
                <w:b/>
                <w:bCs/>
                <w:sz w:val="14"/>
                <w:szCs w:val="14"/>
                <w:lang w:val="es-ES"/>
              </w:rPr>
              <w:t>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b/>
                <w:bCs/>
                <w:sz w:val="14"/>
                <w:szCs w:val="14"/>
                <w:lang w:val="es-ES"/>
              </w:rPr>
            </w:pPr>
            <w:r w:rsidRPr="006351FC">
              <w:rPr>
                <w:rFonts w:ascii="Lucida Bright" w:hAnsi="Lucida Bright" w:cs="Calibri"/>
                <w:b/>
                <w:bCs/>
                <w:sz w:val="14"/>
                <w:szCs w:val="14"/>
                <w:lang w:val="es-ES"/>
              </w:rPr>
              <w:t xml:space="preserve">1.996.913,43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b/>
                <w:bCs/>
                <w:sz w:val="14"/>
                <w:szCs w:val="14"/>
                <w:lang w:val="es-ES"/>
              </w:rPr>
            </w:pPr>
            <w:r w:rsidRPr="006351FC">
              <w:rPr>
                <w:rFonts w:ascii="Lucida Bright" w:hAnsi="Lucida Bright" w:cs="Calibri"/>
                <w:b/>
                <w:bCs/>
                <w:sz w:val="14"/>
                <w:szCs w:val="14"/>
                <w:lang w:val="es-ES"/>
              </w:rPr>
              <w:t xml:space="preserve">1.515.426,63 </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b/>
                <w:bCs/>
                <w:sz w:val="14"/>
                <w:szCs w:val="14"/>
                <w:lang w:val="es-ES"/>
              </w:rPr>
            </w:pPr>
            <w:r w:rsidRPr="006351FC">
              <w:rPr>
                <w:rFonts w:ascii="Lucida Bright" w:hAnsi="Lucida Bright" w:cs="Calibri"/>
                <w:b/>
                <w:bCs/>
                <w:sz w:val="14"/>
                <w:szCs w:val="14"/>
                <w:lang w:val="es-ES"/>
              </w:rPr>
              <w:t xml:space="preserve">20.914,90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b/>
                <w:bCs/>
                <w:sz w:val="14"/>
                <w:szCs w:val="14"/>
                <w:lang w:val="es-ES"/>
              </w:rPr>
            </w:pPr>
            <w:r w:rsidRPr="006351FC">
              <w:rPr>
                <w:rFonts w:ascii="Lucida Bright" w:hAnsi="Lucida Bright" w:cs="Calibri"/>
                <w:b/>
                <w:bCs/>
                <w:sz w:val="14"/>
                <w:szCs w:val="14"/>
                <w:lang w:val="es-ES"/>
              </w:rPr>
              <w:t xml:space="preserve">(460.571,90) </w:t>
            </w:r>
          </w:p>
        </w:tc>
      </w:tr>
      <w:tr w:rsidR="006351FC" w:rsidRPr="006351FC" w:rsidTr="006351FC">
        <w:trPr>
          <w:trHeight w:val="300"/>
        </w:trPr>
        <w:tc>
          <w:tcPr>
            <w:tcW w:w="1040" w:type="dxa"/>
            <w:tcBorders>
              <w:top w:val="nil"/>
              <w:left w:val="nil"/>
              <w:bottom w:val="nil"/>
              <w:right w:val="nil"/>
            </w:tcBorders>
            <w:shd w:val="clear" w:color="000000" w:fill="FFFFFF"/>
            <w:noWrap/>
            <w:vAlign w:val="bottom"/>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 </w:t>
            </w:r>
          </w:p>
        </w:tc>
        <w:tc>
          <w:tcPr>
            <w:tcW w:w="960" w:type="dxa"/>
            <w:tcBorders>
              <w:top w:val="nil"/>
              <w:left w:val="nil"/>
              <w:bottom w:val="nil"/>
              <w:right w:val="nil"/>
            </w:tcBorders>
            <w:shd w:val="clear" w:color="000000" w:fill="FFFFFF"/>
            <w:noWrap/>
            <w:vAlign w:val="bottom"/>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 </w:t>
            </w:r>
          </w:p>
        </w:tc>
        <w:tc>
          <w:tcPr>
            <w:tcW w:w="1739" w:type="dxa"/>
            <w:tcBorders>
              <w:top w:val="nil"/>
              <w:left w:val="nil"/>
              <w:bottom w:val="nil"/>
              <w:right w:val="nil"/>
            </w:tcBorders>
            <w:shd w:val="clear" w:color="000000" w:fill="FFFFFF"/>
            <w:noWrap/>
            <w:vAlign w:val="bottom"/>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bottom"/>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bottom"/>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141" w:type="dxa"/>
            <w:tcBorders>
              <w:top w:val="nil"/>
              <w:left w:val="nil"/>
              <w:bottom w:val="nil"/>
              <w:right w:val="nil"/>
            </w:tcBorders>
            <w:shd w:val="clear" w:color="000000" w:fill="FFFFFF"/>
            <w:noWrap/>
            <w:vAlign w:val="bottom"/>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bottom"/>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 </w:t>
            </w:r>
          </w:p>
        </w:tc>
      </w:tr>
      <w:tr w:rsidR="006351FC" w:rsidRPr="006351FC" w:rsidTr="006351FC">
        <w:trPr>
          <w:trHeight w:val="300"/>
        </w:trPr>
        <w:tc>
          <w:tcPr>
            <w:tcW w:w="1040" w:type="dxa"/>
            <w:tcBorders>
              <w:top w:val="nil"/>
              <w:left w:val="nil"/>
              <w:bottom w:val="nil"/>
              <w:right w:val="nil"/>
            </w:tcBorders>
            <w:shd w:val="clear" w:color="000000" w:fill="FFFFFF"/>
            <w:noWrap/>
            <w:vAlign w:val="bottom"/>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960" w:type="dxa"/>
            <w:tcBorders>
              <w:top w:val="nil"/>
              <w:left w:val="nil"/>
              <w:bottom w:val="nil"/>
              <w:right w:val="nil"/>
            </w:tcBorders>
            <w:shd w:val="clear" w:color="000000" w:fill="FFFFFF"/>
            <w:noWrap/>
            <w:vAlign w:val="bottom"/>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 </w:t>
            </w:r>
          </w:p>
        </w:tc>
        <w:tc>
          <w:tcPr>
            <w:tcW w:w="1739" w:type="dxa"/>
            <w:tcBorders>
              <w:top w:val="nil"/>
              <w:left w:val="nil"/>
              <w:bottom w:val="nil"/>
              <w:right w:val="nil"/>
            </w:tcBorders>
            <w:shd w:val="clear" w:color="000000" w:fill="FFFFFF"/>
            <w:noWrap/>
            <w:vAlign w:val="bottom"/>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bottom"/>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200" w:type="dxa"/>
            <w:tcBorders>
              <w:top w:val="single" w:sz="4" w:space="0" w:color="auto"/>
              <w:left w:val="single" w:sz="4" w:space="0" w:color="auto"/>
              <w:bottom w:val="single" w:sz="4" w:space="0" w:color="auto"/>
              <w:right w:val="nil"/>
            </w:tcBorders>
            <w:shd w:val="clear" w:color="000000" w:fill="FFFFFF"/>
            <w:noWrap/>
            <w:vAlign w:val="bottom"/>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b/>
                <w:bCs/>
                <w:sz w:val="14"/>
                <w:szCs w:val="14"/>
                <w:lang w:val="es-ES"/>
              </w:rPr>
            </w:pPr>
            <w:r w:rsidRPr="006351FC">
              <w:rPr>
                <w:rFonts w:ascii="Lucida Bright" w:hAnsi="Lucida Bright" w:cs="Calibri"/>
                <w:b/>
                <w:bCs/>
                <w:sz w:val="14"/>
                <w:szCs w:val="14"/>
                <w:lang w:val="es-ES"/>
              </w:rPr>
              <w:t xml:space="preserve">Total Beneficios </w:t>
            </w:r>
          </w:p>
        </w:tc>
        <w:tc>
          <w:tcPr>
            <w:tcW w:w="1200" w:type="dxa"/>
            <w:tcBorders>
              <w:top w:val="single" w:sz="4" w:space="0" w:color="auto"/>
              <w:left w:val="nil"/>
              <w:bottom w:val="nil"/>
              <w:right w:val="single" w:sz="4" w:space="0" w:color="auto"/>
            </w:tcBorders>
            <w:shd w:val="clear" w:color="auto" w:fill="auto"/>
            <w:noWrap/>
            <w:vAlign w:val="center"/>
            <w:hideMark/>
          </w:tcPr>
          <w:p w:rsidR="006351FC" w:rsidRPr="006351FC" w:rsidRDefault="006351FC" w:rsidP="006351FC">
            <w:pPr>
              <w:rPr>
                <w:rFonts w:ascii="Lucida Bright" w:hAnsi="Lucida Bright" w:cs="Calibri"/>
                <w:b/>
                <w:bCs/>
                <w:sz w:val="14"/>
                <w:szCs w:val="14"/>
                <w:lang w:val="es-ES"/>
              </w:rPr>
            </w:pPr>
            <w:r w:rsidRPr="006351FC">
              <w:rPr>
                <w:rFonts w:ascii="Lucida Bright" w:hAnsi="Lucida Bright" w:cs="Calibri"/>
                <w:b/>
                <w:bCs/>
                <w:sz w:val="14"/>
                <w:szCs w:val="14"/>
                <w:lang w:val="es-ES"/>
              </w:rPr>
              <w:t> </w:t>
            </w:r>
          </w:p>
        </w:tc>
      </w:tr>
      <w:tr w:rsidR="006351FC" w:rsidRPr="006351FC" w:rsidTr="006351FC">
        <w:trPr>
          <w:trHeight w:val="300"/>
        </w:trPr>
        <w:tc>
          <w:tcPr>
            <w:tcW w:w="1040" w:type="dxa"/>
            <w:tcBorders>
              <w:top w:val="nil"/>
              <w:left w:val="nil"/>
              <w:bottom w:val="nil"/>
              <w:right w:val="nil"/>
            </w:tcBorders>
            <w:shd w:val="clear" w:color="000000" w:fill="FFFFFF"/>
            <w:noWrap/>
            <w:vAlign w:val="bottom"/>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960" w:type="dxa"/>
            <w:tcBorders>
              <w:top w:val="nil"/>
              <w:left w:val="nil"/>
              <w:bottom w:val="nil"/>
              <w:right w:val="nil"/>
            </w:tcBorders>
            <w:shd w:val="clear" w:color="000000" w:fill="FFFFFF"/>
            <w:noWrap/>
            <w:vAlign w:val="bottom"/>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 </w:t>
            </w:r>
          </w:p>
        </w:tc>
        <w:tc>
          <w:tcPr>
            <w:tcW w:w="1739" w:type="dxa"/>
            <w:tcBorders>
              <w:top w:val="nil"/>
              <w:left w:val="nil"/>
              <w:bottom w:val="nil"/>
              <w:right w:val="nil"/>
            </w:tcBorders>
            <w:shd w:val="clear" w:color="000000" w:fill="FFFFFF"/>
            <w:noWrap/>
            <w:vAlign w:val="bottom"/>
            <w:hideMark/>
          </w:tcPr>
          <w:p w:rsidR="006351FC" w:rsidRPr="006351FC" w:rsidRDefault="006351FC" w:rsidP="006351FC">
            <w:pPr>
              <w:jc w:val="center"/>
              <w:rPr>
                <w:rFonts w:ascii="Lucida Bright" w:hAnsi="Lucida Bright" w:cs="Calibri"/>
                <w:sz w:val="14"/>
                <w:szCs w:val="14"/>
                <w:lang w:val="es-ES"/>
              </w:rPr>
            </w:pPr>
            <w:r w:rsidRPr="006351FC">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bottom"/>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200" w:type="dxa"/>
            <w:tcBorders>
              <w:top w:val="nil"/>
              <w:left w:val="single" w:sz="4" w:space="0" w:color="auto"/>
              <w:bottom w:val="single" w:sz="4" w:space="0" w:color="auto"/>
              <w:right w:val="nil"/>
            </w:tcBorders>
            <w:shd w:val="clear" w:color="000000" w:fill="FFFFFF"/>
            <w:noWrap/>
            <w:vAlign w:val="bottom"/>
            <w:hideMark/>
          </w:tcPr>
          <w:p w:rsidR="006351FC" w:rsidRPr="006351FC" w:rsidRDefault="006351FC" w:rsidP="006351FC">
            <w:pPr>
              <w:rPr>
                <w:rFonts w:ascii="Lucida Bright" w:hAnsi="Lucida Bright" w:cs="Calibri"/>
                <w:sz w:val="14"/>
                <w:szCs w:val="14"/>
                <w:lang w:val="es-ES"/>
              </w:rPr>
            </w:pPr>
            <w:r w:rsidRPr="006351FC">
              <w:rPr>
                <w:rFonts w:ascii="Lucida Bright" w:hAnsi="Lucida Bright" w:cs="Calibri"/>
                <w:sz w:val="14"/>
                <w:szCs w:val="14"/>
                <w:lang w:val="es-ES"/>
              </w:rPr>
              <w:t> </w:t>
            </w:r>
          </w:p>
        </w:tc>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b/>
                <w:bCs/>
                <w:sz w:val="14"/>
                <w:szCs w:val="14"/>
                <w:lang w:val="es-ES"/>
              </w:rPr>
            </w:pPr>
            <w:r w:rsidRPr="006351FC">
              <w:rPr>
                <w:rFonts w:ascii="Lucida Bright" w:hAnsi="Lucida Bright" w:cs="Calibri"/>
                <w:b/>
                <w:bCs/>
                <w:sz w:val="14"/>
                <w:szCs w:val="14"/>
                <w:lang w:val="es-ES"/>
              </w:rPr>
              <w:t xml:space="preserve">Total Pérdidas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351FC" w:rsidRPr="006351FC" w:rsidRDefault="006351FC" w:rsidP="006351FC">
            <w:pPr>
              <w:jc w:val="right"/>
              <w:rPr>
                <w:rFonts w:ascii="Lucida Bright" w:hAnsi="Lucida Bright" w:cs="Calibri"/>
                <w:b/>
                <w:bCs/>
                <w:sz w:val="14"/>
                <w:szCs w:val="14"/>
                <w:lang w:val="es-ES"/>
              </w:rPr>
            </w:pPr>
            <w:r w:rsidRPr="006351FC">
              <w:rPr>
                <w:rFonts w:ascii="Lucida Bright" w:hAnsi="Lucida Bright" w:cs="Calibri"/>
                <w:b/>
                <w:bCs/>
                <w:sz w:val="14"/>
                <w:szCs w:val="14"/>
                <w:lang w:val="es-ES"/>
              </w:rPr>
              <w:t xml:space="preserve">(460.571,90) </w:t>
            </w:r>
          </w:p>
        </w:tc>
      </w:tr>
    </w:tbl>
    <w:p w:rsidR="00E56AB5" w:rsidRDefault="00E56AB5" w:rsidP="00E56AB5">
      <w:pPr>
        <w:tabs>
          <w:tab w:val="right" w:pos="8364"/>
        </w:tabs>
        <w:jc w:val="both"/>
        <w:rPr>
          <w:rFonts w:ascii="NewBaskerville" w:hAnsi="NewBaskerville"/>
          <w:bCs/>
        </w:rPr>
      </w:pPr>
    </w:p>
    <w:p w:rsidR="00E56AB5" w:rsidRPr="00E56AB5" w:rsidRDefault="00E56AB5" w:rsidP="00E56AB5">
      <w:pPr>
        <w:tabs>
          <w:tab w:val="right" w:pos="8364"/>
        </w:tabs>
        <w:jc w:val="both"/>
        <w:rPr>
          <w:rFonts w:ascii="NewBaskerville" w:hAnsi="NewBaskerville"/>
          <w:bCs/>
        </w:rPr>
      </w:pPr>
    </w:p>
    <w:p w:rsidR="007E1479" w:rsidRDefault="007E1479">
      <w:pPr>
        <w:tabs>
          <w:tab w:val="right" w:pos="8364"/>
        </w:tabs>
        <w:ind w:firstLine="540"/>
        <w:jc w:val="both"/>
        <w:rPr>
          <w:bCs/>
        </w:rPr>
      </w:pPr>
    </w:p>
    <w:p w:rsidR="007E1479" w:rsidRDefault="007E1479">
      <w:pPr>
        <w:tabs>
          <w:tab w:val="right" w:pos="8364"/>
        </w:tabs>
        <w:ind w:firstLine="540"/>
        <w:jc w:val="both"/>
        <w:rPr>
          <w:bCs/>
        </w:rPr>
      </w:pPr>
    </w:p>
    <w:p w:rsidR="000B4249" w:rsidRDefault="000B4249" w:rsidP="00187A36">
      <w:pPr>
        <w:tabs>
          <w:tab w:val="right" w:pos="8364"/>
        </w:tabs>
        <w:jc w:val="both"/>
        <w:rPr>
          <w:bCs/>
        </w:rPr>
        <w:sectPr w:rsidR="000B4249" w:rsidSect="00304E6C">
          <w:pgSz w:w="11907" w:h="16840" w:code="9"/>
          <w:pgMar w:top="1701" w:right="1418" w:bottom="1701" w:left="1276" w:header="567" w:footer="720" w:gutter="0"/>
          <w:cols w:space="720"/>
          <w:docGrid w:linePitch="272"/>
        </w:sectPr>
      </w:pPr>
    </w:p>
    <w:p w:rsidR="002C4355" w:rsidRPr="00E73E9C" w:rsidRDefault="00F706A9" w:rsidP="00997D65">
      <w:pPr>
        <w:pStyle w:val="ListParagraph1"/>
        <w:ind w:left="0"/>
        <w:rPr>
          <w:rFonts w:ascii="NewBaskerville" w:hAnsi="NewBaskerville"/>
          <w:b/>
          <w:bCs/>
          <w:sz w:val="24"/>
          <w:szCs w:val="24"/>
        </w:rPr>
      </w:pPr>
      <w:r w:rsidRPr="00E73E9C">
        <w:rPr>
          <w:rFonts w:ascii="NewBaskerville" w:hAnsi="NewBaskerville"/>
          <w:b/>
          <w:bCs/>
          <w:sz w:val="24"/>
          <w:szCs w:val="24"/>
        </w:rPr>
        <w:lastRenderedPageBreak/>
        <w:t>7</w:t>
      </w:r>
      <w:r w:rsidR="00F348FE" w:rsidRPr="00E73E9C">
        <w:rPr>
          <w:rFonts w:ascii="NewBaskerville" w:hAnsi="NewBaskerville"/>
          <w:b/>
          <w:bCs/>
          <w:sz w:val="24"/>
          <w:szCs w:val="24"/>
        </w:rPr>
        <w:t xml:space="preserve">. </w:t>
      </w:r>
      <w:r w:rsidR="002C4355" w:rsidRPr="00E73E9C">
        <w:rPr>
          <w:rFonts w:ascii="NewBaskerville" w:hAnsi="NewBaskerville"/>
          <w:b/>
          <w:bCs/>
          <w:sz w:val="24"/>
          <w:szCs w:val="24"/>
        </w:rPr>
        <w:t>Inversiones inmobiliarias</w:t>
      </w:r>
    </w:p>
    <w:p w:rsidR="00FE2D1C" w:rsidRDefault="00FE2D1C" w:rsidP="008323F0">
      <w:pPr>
        <w:ind w:right="35"/>
        <w:rPr>
          <w:rFonts w:ascii="Lucida Bright" w:eastAsia="Lucida Bright" w:hAnsi="Lucida Bright" w:cs="Lucida Bright"/>
          <w:b/>
          <w:bCs/>
          <w:color w:val="000000"/>
          <w:sz w:val="14"/>
        </w:rPr>
      </w:pPr>
    </w:p>
    <w:tbl>
      <w:tblPr>
        <w:tblW w:w="5000" w:type="pct"/>
        <w:tblInd w:w="-547" w:type="dxa"/>
        <w:tblCellMar>
          <w:left w:w="70" w:type="dxa"/>
          <w:right w:w="70" w:type="dxa"/>
        </w:tblCellMar>
        <w:tblLook w:val="04A0" w:firstRow="1" w:lastRow="0" w:firstColumn="1" w:lastColumn="0" w:noHBand="0" w:noVBand="1"/>
      </w:tblPr>
      <w:tblGrid>
        <w:gridCol w:w="3063"/>
        <w:gridCol w:w="200"/>
        <w:gridCol w:w="1212"/>
        <w:gridCol w:w="1098"/>
        <w:gridCol w:w="1125"/>
        <w:gridCol w:w="961"/>
        <w:gridCol w:w="917"/>
        <w:gridCol w:w="1293"/>
        <w:gridCol w:w="1038"/>
        <w:gridCol w:w="872"/>
        <w:gridCol w:w="898"/>
        <w:gridCol w:w="1212"/>
      </w:tblGrid>
      <w:tr w:rsidR="00CE686F" w:rsidRPr="00002391" w:rsidTr="00CE686F">
        <w:trPr>
          <w:trHeight w:val="300"/>
        </w:trPr>
        <w:tc>
          <w:tcPr>
            <w:tcW w:w="2410" w:type="pct"/>
            <w:gridSpan w:val="5"/>
            <w:tcBorders>
              <w:top w:val="nil"/>
              <w:left w:val="nil"/>
              <w:bottom w:val="single" w:sz="4" w:space="0" w:color="auto"/>
              <w:right w:val="nil"/>
            </w:tcBorders>
            <w:shd w:val="clear" w:color="auto" w:fill="auto"/>
            <w:noWrap/>
            <w:vAlign w:val="bottom"/>
            <w:hideMark/>
          </w:tcPr>
          <w:p w:rsidR="00002391" w:rsidRPr="00002391" w:rsidRDefault="00002391" w:rsidP="00002391">
            <w:pPr>
              <w:rPr>
                <w:rFonts w:ascii="Lucida Bright" w:hAnsi="Lucida Bright" w:cs="Calibri"/>
                <w:b/>
                <w:bCs/>
                <w:sz w:val="18"/>
                <w:szCs w:val="18"/>
                <w:lang w:val="es-ES"/>
              </w:rPr>
            </w:pPr>
            <w:r w:rsidRPr="00002391">
              <w:rPr>
                <w:rFonts w:ascii="Lucida Bright" w:hAnsi="Lucida Bright" w:cs="Calibri"/>
                <w:b/>
                <w:bCs/>
                <w:sz w:val="18"/>
                <w:szCs w:val="18"/>
                <w:lang w:val="es-ES"/>
              </w:rPr>
              <w:t>CUADRO: INVERSIONES INMOBILIARIAS 2024</w:t>
            </w:r>
          </w:p>
        </w:tc>
        <w:tc>
          <w:tcPr>
            <w:tcW w:w="346" w:type="pct"/>
            <w:tcBorders>
              <w:top w:val="nil"/>
              <w:left w:val="nil"/>
              <w:bottom w:val="nil"/>
              <w:right w:val="nil"/>
            </w:tcBorders>
            <w:shd w:val="clear" w:color="000000" w:fill="FFFFFF"/>
            <w:noWrap/>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30" w:type="pct"/>
            <w:tcBorders>
              <w:top w:val="nil"/>
              <w:left w:val="nil"/>
              <w:bottom w:val="nil"/>
              <w:right w:val="nil"/>
            </w:tcBorders>
            <w:shd w:val="clear" w:color="000000" w:fill="FFFFFF"/>
            <w:noWrap/>
            <w:vAlign w:val="bottom"/>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(en euros)</w:t>
            </w:r>
          </w:p>
        </w:tc>
        <w:tc>
          <w:tcPr>
            <w:tcW w:w="465" w:type="pct"/>
            <w:tcBorders>
              <w:top w:val="nil"/>
              <w:left w:val="nil"/>
              <w:bottom w:val="nil"/>
              <w:right w:val="nil"/>
            </w:tcBorders>
            <w:shd w:val="clear" w:color="000000" w:fill="FFFFFF"/>
            <w:noWrap/>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74" w:type="pct"/>
            <w:tcBorders>
              <w:top w:val="nil"/>
              <w:left w:val="nil"/>
              <w:bottom w:val="nil"/>
              <w:right w:val="nil"/>
            </w:tcBorders>
            <w:shd w:val="clear" w:color="000000" w:fill="FFFFFF"/>
            <w:noWrap/>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14" w:type="pct"/>
            <w:tcBorders>
              <w:top w:val="nil"/>
              <w:left w:val="nil"/>
              <w:bottom w:val="nil"/>
              <w:right w:val="nil"/>
            </w:tcBorders>
            <w:shd w:val="clear" w:color="000000" w:fill="FFFFFF"/>
            <w:noWrap/>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24" w:type="pct"/>
            <w:tcBorders>
              <w:top w:val="nil"/>
              <w:left w:val="nil"/>
              <w:bottom w:val="nil"/>
              <w:right w:val="nil"/>
            </w:tcBorders>
            <w:shd w:val="clear" w:color="000000" w:fill="FFFFFF"/>
            <w:noWrap/>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36" w:type="pct"/>
            <w:tcBorders>
              <w:top w:val="nil"/>
              <w:left w:val="nil"/>
              <w:bottom w:val="nil"/>
              <w:right w:val="nil"/>
            </w:tcBorders>
            <w:shd w:val="clear" w:color="000000" w:fill="FFFFFF"/>
            <w:noWrap/>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r>
      <w:tr w:rsidR="00CE686F" w:rsidRPr="00002391" w:rsidTr="00CE686F">
        <w:trPr>
          <w:trHeight w:val="720"/>
        </w:trPr>
        <w:tc>
          <w:tcPr>
            <w:tcW w:w="1101" w:type="pct"/>
            <w:tcBorders>
              <w:top w:val="nil"/>
              <w:left w:val="single" w:sz="4" w:space="0" w:color="auto"/>
              <w:bottom w:val="single" w:sz="4" w:space="0" w:color="auto"/>
              <w:right w:val="nil"/>
            </w:tcBorders>
            <w:shd w:val="clear" w:color="000000" w:fill="CCFFCC"/>
            <w:noWrap/>
            <w:vAlign w:val="center"/>
            <w:hideMark/>
          </w:tcPr>
          <w:p w:rsidR="00002391" w:rsidRPr="00002391" w:rsidRDefault="00002391" w:rsidP="00002391">
            <w:pPr>
              <w:jc w:val="center"/>
              <w:rPr>
                <w:rFonts w:ascii="Lucida Bright" w:hAnsi="Lucida Bright" w:cs="Calibri"/>
                <w:b/>
                <w:bCs/>
                <w:sz w:val="14"/>
                <w:szCs w:val="14"/>
                <w:lang w:val="es-ES"/>
              </w:rPr>
            </w:pPr>
            <w:r w:rsidRPr="00002391">
              <w:rPr>
                <w:rFonts w:ascii="Lucida Bright" w:hAnsi="Lucida Bright" w:cs="Calibri"/>
                <w:b/>
                <w:bCs/>
                <w:sz w:val="14"/>
                <w:szCs w:val="14"/>
                <w:lang w:val="es-ES"/>
              </w:rPr>
              <w:t>CONCEPTO</w:t>
            </w:r>
          </w:p>
        </w:tc>
        <w:tc>
          <w:tcPr>
            <w:tcW w:w="72" w:type="pct"/>
            <w:tcBorders>
              <w:top w:val="nil"/>
              <w:left w:val="nil"/>
              <w:bottom w:val="single" w:sz="4" w:space="0" w:color="auto"/>
              <w:right w:val="single" w:sz="4" w:space="0" w:color="auto"/>
            </w:tcBorders>
            <w:shd w:val="clear" w:color="000000" w:fill="CCFFCC"/>
            <w:noWrap/>
            <w:vAlign w:val="bottom"/>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36" w:type="pct"/>
            <w:tcBorders>
              <w:top w:val="nil"/>
              <w:left w:val="nil"/>
              <w:bottom w:val="nil"/>
              <w:right w:val="single" w:sz="4" w:space="0" w:color="auto"/>
            </w:tcBorders>
            <w:shd w:val="clear" w:color="000000" w:fill="CCFFCC"/>
            <w:vAlign w:val="center"/>
            <w:hideMark/>
          </w:tcPr>
          <w:p w:rsidR="00002391" w:rsidRPr="00002391" w:rsidRDefault="00002391" w:rsidP="00002391">
            <w:pPr>
              <w:jc w:val="center"/>
              <w:rPr>
                <w:rFonts w:ascii="Lucida Bright" w:hAnsi="Lucida Bright" w:cs="Calibri"/>
                <w:sz w:val="14"/>
                <w:szCs w:val="14"/>
                <w:lang w:val="es-ES"/>
              </w:rPr>
            </w:pPr>
            <w:r w:rsidRPr="00002391">
              <w:rPr>
                <w:rFonts w:ascii="Lucida Bright" w:hAnsi="Lucida Bright" w:cs="Calibri"/>
                <w:sz w:val="14"/>
                <w:szCs w:val="14"/>
                <w:lang w:val="es-ES"/>
              </w:rPr>
              <w:t>Saldo a</w:t>
            </w:r>
            <w:r w:rsidRPr="00002391">
              <w:rPr>
                <w:rFonts w:ascii="Lucida Bright" w:hAnsi="Lucida Bright" w:cs="Calibri"/>
                <w:sz w:val="14"/>
                <w:szCs w:val="14"/>
                <w:lang w:val="es-ES"/>
              </w:rPr>
              <w:br/>
              <w:t>31-12-23</w:t>
            </w:r>
          </w:p>
        </w:tc>
        <w:tc>
          <w:tcPr>
            <w:tcW w:w="395" w:type="pct"/>
            <w:tcBorders>
              <w:top w:val="nil"/>
              <w:left w:val="nil"/>
              <w:bottom w:val="single" w:sz="4" w:space="0" w:color="auto"/>
              <w:right w:val="single" w:sz="4" w:space="0" w:color="auto"/>
            </w:tcBorders>
            <w:shd w:val="clear" w:color="000000" w:fill="CCFFCC"/>
            <w:vAlign w:val="center"/>
            <w:hideMark/>
          </w:tcPr>
          <w:p w:rsidR="00002391" w:rsidRPr="00002391" w:rsidRDefault="00002391" w:rsidP="00002391">
            <w:pPr>
              <w:jc w:val="center"/>
              <w:rPr>
                <w:rFonts w:ascii="Lucida Bright" w:hAnsi="Lucida Bright" w:cs="Calibri"/>
                <w:sz w:val="14"/>
                <w:szCs w:val="14"/>
                <w:lang w:val="es-ES"/>
              </w:rPr>
            </w:pPr>
            <w:r w:rsidRPr="00002391">
              <w:rPr>
                <w:rFonts w:ascii="Lucida Bright" w:hAnsi="Lucida Bright" w:cs="Calibri"/>
                <w:sz w:val="14"/>
                <w:szCs w:val="14"/>
                <w:lang w:val="es-ES"/>
              </w:rPr>
              <w:t>Adquisiciones (+)</w:t>
            </w:r>
          </w:p>
        </w:tc>
        <w:tc>
          <w:tcPr>
            <w:tcW w:w="405" w:type="pct"/>
            <w:tcBorders>
              <w:top w:val="nil"/>
              <w:left w:val="nil"/>
              <w:bottom w:val="single" w:sz="4" w:space="0" w:color="auto"/>
              <w:right w:val="single" w:sz="4" w:space="0" w:color="auto"/>
            </w:tcBorders>
            <w:shd w:val="clear" w:color="000000" w:fill="CCFFCC"/>
            <w:vAlign w:val="center"/>
            <w:hideMark/>
          </w:tcPr>
          <w:p w:rsidR="00002391" w:rsidRPr="00002391" w:rsidRDefault="00002391" w:rsidP="00002391">
            <w:pPr>
              <w:jc w:val="center"/>
              <w:rPr>
                <w:rFonts w:ascii="Lucida Bright" w:hAnsi="Lucida Bright" w:cs="Calibri"/>
                <w:sz w:val="14"/>
                <w:szCs w:val="14"/>
                <w:lang w:val="es-ES"/>
              </w:rPr>
            </w:pPr>
            <w:r w:rsidRPr="00002391">
              <w:rPr>
                <w:rFonts w:ascii="Lucida Bright" w:hAnsi="Lucida Bright" w:cs="Calibri"/>
                <w:sz w:val="14"/>
                <w:szCs w:val="14"/>
                <w:lang w:val="es-ES"/>
              </w:rPr>
              <w:t>Concesiones revertidas, donaciones y legados (+)</w:t>
            </w:r>
          </w:p>
        </w:tc>
        <w:tc>
          <w:tcPr>
            <w:tcW w:w="346" w:type="pct"/>
            <w:tcBorders>
              <w:top w:val="single" w:sz="4" w:space="0" w:color="auto"/>
              <w:left w:val="nil"/>
              <w:bottom w:val="single" w:sz="4" w:space="0" w:color="auto"/>
              <w:right w:val="single" w:sz="4" w:space="0" w:color="auto"/>
            </w:tcBorders>
            <w:shd w:val="clear" w:color="000000" w:fill="CCFFCC"/>
            <w:vAlign w:val="center"/>
            <w:hideMark/>
          </w:tcPr>
          <w:p w:rsidR="00002391" w:rsidRPr="00002391" w:rsidRDefault="00002391" w:rsidP="00002391">
            <w:pPr>
              <w:jc w:val="center"/>
              <w:rPr>
                <w:rFonts w:ascii="Lucida Bright" w:hAnsi="Lucida Bright" w:cs="Calibri"/>
                <w:sz w:val="14"/>
                <w:szCs w:val="14"/>
                <w:lang w:val="es-ES"/>
              </w:rPr>
            </w:pPr>
            <w:r w:rsidRPr="00002391">
              <w:rPr>
                <w:rFonts w:ascii="Lucida Bright" w:hAnsi="Lucida Bright" w:cs="Calibri"/>
                <w:sz w:val="14"/>
                <w:szCs w:val="14"/>
                <w:lang w:val="es-ES"/>
              </w:rPr>
              <w:t>Rescate anticipado de concesiones (+)</w:t>
            </w:r>
          </w:p>
        </w:tc>
        <w:tc>
          <w:tcPr>
            <w:tcW w:w="330" w:type="pct"/>
            <w:tcBorders>
              <w:top w:val="single" w:sz="4" w:space="0" w:color="auto"/>
              <w:left w:val="nil"/>
              <w:bottom w:val="single" w:sz="4" w:space="0" w:color="auto"/>
              <w:right w:val="single" w:sz="4" w:space="0" w:color="auto"/>
            </w:tcBorders>
            <w:shd w:val="clear" w:color="000000" w:fill="CCFFCC"/>
            <w:vAlign w:val="center"/>
            <w:hideMark/>
          </w:tcPr>
          <w:p w:rsidR="00002391" w:rsidRPr="00002391" w:rsidRDefault="00002391" w:rsidP="00002391">
            <w:pPr>
              <w:jc w:val="center"/>
              <w:rPr>
                <w:rFonts w:ascii="Lucida Bright" w:hAnsi="Lucida Bright" w:cs="Calibri"/>
                <w:sz w:val="14"/>
                <w:szCs w:val="14"/>
                <w:lang w:val="es-ES"/>
              </w:rPr>
            </w:pPr>
            <w:r w:rsidRPr="00002391">
              <w:rPr>
                <w:rFonts w:ascii="Lucida Bright" w:hAnsi="Lucida Bright" w:cs="Calibri"/>
                <w:sz w:val="14"/>
                <w:szCs w:val="14"/>
                <w:lang w:val="es-ES"/>
              </w:rPr>
              <w:t>Ventas, retiros y bajas (-)</w:t>
            </w:r>
          </w:p>
        </w:tc>
        <w:tc>
          <w:tcPr>
            <w:tcW w:w="465" w:type="pct"/>
            <w:tcBorders>
              <w:top w:val="single" w:sz="4" w:space="0" w:color="auto"/>
              <w:left w:val="nil"/>
              <w:bottom w:val="nil"/>
              <w:right w:val="single" w:sz="4" w:space="0" w:color="auto"/>
            </w:tcBorders>
            <w:shd w:val="clear" w:color="000000" w:fill="CCFFCC"/>
            <w:vAlign w:val="center"/>
            <w:hideMark/>
          </w:tcPr>
          <w:p w:rsidR="00002391" w:rsidRPr="00002391" w:rsidRDefault="00002391" w:rsidP="00002391">
            <w:pPr>
              <w:jc w:val="center"/>
              <w:rPr>
                <w:rFonts w:ascii="Lucida Bright" w:hAnsi="Lucida Bright" w:cs="Calibri"/>
                <w:sz w:val="14"/>
                <w:szCs w:val="14"/>
                <w:lang w:val="es-ES"/>
              </w:rPr>
            </w:pPr>
            <w:r w:rsidRPr="00002391">
              <w:rPr>
                <w:rFonts w:ascii="Lucida Bright" w:hAnsi="Lucida Bright" w:cs="Calibri"/>
                <w:sz w:val="14"/>
                <w:szCs w:val="14"/>
                <w:lang w:val="es-ES"/>
              </w:rPr>
              <w:t>Reclasificaciones (+/-)</w:t>
            </w:r>
          </w:p>
        </w:tc>
        <w:tc>
          <w:tcPr>
            <w:tcW w:w="374" w:type="pct"/>
            <w:tcBorders>
              <w:top w:val="single" w:sz="4" w:space="0" w:color="auto"/>
              <w:left w:val="nil"/>
              <w:bottom w:val="nil"/>
              <w:right w:val="single" w:sz="4" w:space="0" w:color="auto"/>
            </w:tcBorders>
            <w:shd w:val="clear" w:color="000000" w:fill="CCFFCC"/>
            <w:vAlign w:val="center"/>
            <w:hideMark/>
          </w:tcPr>
          <w:p w:rsidR="00002391" w:rsidRPr="00002391" w:rsidRDefault="00002391" w:rsidP="00002391">
            <w:pPr>
              <w:jc w:val="center"/>
              <w:rPr>
                <w:rFonts w:ascii="Lucida Bright" w:hAnsi="Lucida Bright" w:cs="Calibri"/>
                <w:sz w:val="14"/>
                <w:szCs w:val="14"/>
                <w:lang w:val="es-ES"/>
              </w:rPr>
            </w:pPr>
            <w:r w:rsidRPr="00002391">
              <w:rPr>
                <w:rFonts w:ascii="Lucida Bright" w:hAnsi="Lucida Bright" w:cs="Calibri"/>
                <w:sz w:val="14"/>
                <w:szCs w:val="14"/>
                <w:lang w:val="es-ES"/>
              </w:rPr>
              <w:t>Traspaso a/de inmovilizado material (+/-)</w:t>
            </w:r>
          </w:p>
        </w:tc>
        <w:tc>
          <w:tcPr>
            <w:tcW w:w="314" w:type="pct"/>
            <w:tcBorders>
              <w:top w:val="single" w:sz="4" w:space="0" w:color="auto"/>
              <w:left w:val="nil"/>
              <w:bottom w:val="nil"/>
              <w:right w:val="single" w:sz="4" w:space="0" w:color="auto"/>
            </w:tcBorders>
            <w:shd w:val="clear" w:color="000000" w:fill="CCFFCC"/>
            <w:vAlign w:val="center"/>
            <w:hideMark/>
          </w:tcPr>
          <w:p w:rsidR="00002391" w:rsidRPr="00002391" w:rsidRDefault="00002391" w:rsidP="00002391">
            <w:pPr>
              <w:jc w:val="center"/>
              <w:rPr>
                <w:rFonts w:ascii="Lucida Bright" w:hAnsi="Lucida Bright" w:cs="Calibri"/>
                <w:sz w:val="14"/>
                <w:szCs w:val="14"/>
                <w:lang w:val="es-ES"/>
              </w:rPr>
            </w:pPr>
            <w:r w:rsidRPr="00002391">
              <w:rPr>
                <w:rFonts w:ascii="Lucida Bright" w:hAnsi="Lucida Bright" w:cs="Calibri"/>
                <w:sz w:val="14"/>
                <w:szCs w:val="14"/>
                <w:lang w:val="es-ES"/>
              </w:rPr>
              <w:t>Traspaso a activo no corriente mantenido para la venta (-)</w:t>
            </w:r>
          </w:p>
        </w:tc>
        <w:tc>
          <w:tcPr>
            <w:tcW w:w="324" w:type="pct"/>
            <w:tcBorders>
              <w:top w:val="single" w:sz="4" w:space="0" w:color="auto"/>
              <w:left w:val="nil"/>
              <w:bottom w:val="nil"/>
              <w:right w:val="single" w:sz="4" w:space="0" w:color="auto"/>
            </w:tcBorders>
            <w:shd w:val="clear" w:color="000000" w:fill="CCFFCC"/>
            <w:vAlign w:val="center"/>
            <w:hideMark/>
          </w:tcPr>
          <w:p w:rsidR="00002391" w:rsidRPr="00002391" w:rsidRDefault="00002391" w:rsidP="00002391">
            <w:pPr>
              <w:jc w:val="center"/>
              <w:rPr>
                <w:rFonts w:ascii="Lucida Bright" w:hAnsi="Lucida Bright" w:cs="Calibri"/>
                <w:sz w:val="14"/>
                <w:szCs w:val="14"/>
                <w:lang w:val="es-ES"/>
              </w:rPr>
            </w:pPr>
            <w:r w:rsidRPr="00002391">
              <w:rPr>
                <w:rFonts w:ascii="Lucida Bright" w:hAnsi="Lucida Bright" w:cs="Calibri"/>
                <w:sz w:val="14"/>
                <w:szCs w:val="14"/>
                <w:lang w:val="es-ES"/>
              </w:rPr>
              <w:t>Transf. a otros Org. Públ. y Ajustes contra patrimonio (+/-)</w:t>
            </w:r>
          </w:p>
        </w:tc>
        <w:tc>
          <w:tcPr>
            <w:tcW w:w="436" w:type="pct"/>
            <w:tcBorders>
              <w:top w:val="single" w:sz="4" w:space="0" w:color="auto"/>
              <w:left w:val="nil"/>
              <w:bottom w:val="nil"/>
              <w:right w:val="single" w:sz="4" w:space="0" w:color="auto"/>
            </w:tcBorders>
            <w:shd w:val="clear" w:color="000000" w:fill="CCFFCC"/>
            <w:vAlign w:val="center"/>
            <w:hideMark/>
          </w:tcPr>
          <w:p w:rsidR="00002391" w:rsidRPr="00002391" w:rsidRDefault="00002391" w:rsidP="00002391">
            <w:pPr>
              <w:jc w:val="center"/>
              <w:rPr>
                <w:rFonts w:ascii="Lucida Bright" w:hAnsi="Lucida Bright" w:cs="Calibri"/>
                <w:sz w:val="14"/>
                <w:szCs w:val="14"/>
                <w:lang w:val="es-ES"/>
              </w:rPr>
            </w:pPr>
            <w:r w:rsidRPr="00002391">
              <w:rPr>
                <w:rFonts w:ascii="Lucida Bright" w:hAnsi="Lucida Bright" w:cs="Calibri"/>
                <w:sz w:val="14"/>
                <w:szCs w:val="14"/>
                <w:lang w:val="es-ES"/>
              </w:rPr>
              <w:t>Saldo a</w:t>
            </w:r>
            <w:r w:rsidRPr="00002391">
              <w:rPr>
                <w:rFonts w:ascii="Lucida Bright" w:hAnsi="Lucida Bright" w:cs="Calibri"/>
                <w:sz w:val="14"/>
                <w:szCs w:val="14"/>
                <w:lang w:val="es-ES"/>
              </w:rPr>
              <w:br/>
              <w:t>31-12-24</w:t>
            </w:r>
          </w:p>
        </w:tc>
      </w:tr>
      <w:tr w:rsidR="00CE686F" w:rsidRPr="00002391" w:rsidTr="00CE686F">
        <w:trPr>
          <w:trHeight w:val="210"/>
        </w:trPr>
        <w:tc>
          <w:tcPr>
            <w:tcW w:w="117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b/>
                <w:bCs/>
                <w:sz w:val="14"/>
                <w:szCs w:val="14"/>
                <w:lang w:val="es-ES"/>
              </w:rPr>
            </w:pPr>
            <w:r w:rsidRPr="00002391">
              <w:rPr>
                <w:rFonts w:ascii="Lucida Bright" w:hAnsi="Lucida Bright" w:cs="Calibri"/>
                <w:b/>
                <w:bCs/>
                <w:sz w:val="14"/>
                <w:szCs w:val="14"/>
                <w:lang w:val="es-ES"/>
              </w:rPr>
              <w:t xml:space="preserve"> a) Terrenos</w:t>
            </w:r>
          </w:p>
        </w:tc>
        <w:tc>
          <w:tcPr>
            <w:tcW w:w="436" w:type="pct"/>
            <w:tcBorders>
              <w:top w:val="single" w:sz="4" w:space="0" w:color="auto"/>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64.033.614,39 </w:t>
            </w:r>
          </w:p>
        </w:tc>
        <w:tc>
          <w:tcPr>
            <w:tcW w:w="39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b/>
                <w:bCs/>
                <w:sz w:val="14"/>
                <w:szCs w:val="14"/>
                <w:lang w:val="es-ES"/>
              </w:rPr>
            </w:pPr>
            <w:r w:rsidRPr="00002391">
              <w:rPr>
                <w:rFonts w:ascii="Lucida Bright" w:hAnsi="Lucida Bright" w:cs="Calibri"/>
                <w:b/>
                <w:bCs/>
                <w:sz w:val="14"/>
                <w:szCs w:val="14"/>
                <w:lang w:val="es-ES"/>
              </w:rPr>
              <w:t> </w:t>
            </w:r>
          </w:p>
        </w:tc>
        <w:tc>
          <w:tcPr>
            <w:tcW w:w="40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b/>
                <w:bCs/>
                <w:sz w:val="14"/>
                <w:szCs w:val="14"/>
                <w:lang w:val="es-ES"/>
              </w:rPr>
            </w:pPr>
            <w:r w:rsidRPr="00002391">
              <w:rPr>
                <w:rFonts w:ascii="Lucida Bright" w:hAnsi="Lucida Bright" w:cs="Calibri"/>
                <w:b/>
                <w:bCs/>
                <w:sz w:val="14"/>
                <w:szCs w:val="14"/>
                <w:lang w:val="es-ES"/>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b/>
                <w:bCs/>
                <w:sz w:val="14"/>
                <w:szCs w:val="14"/>
                <w:lang w:val="es-ES"/>
              </w:rPr>
            </w:pPr>
            <w:r w:rsidRPr="00002391">
              <w:rPr>
                <w:rFonts w:ascii="Lucida Bright" w:hAnsi="Lucida Bright" w:cs="Calibri"/>
                <w:b/>
                <w:bCs/>
                <w:sz w:val="14"/>
                <w:szCs w:val="14"/>
                <w:lang w:val="es-ES"/>
              </w:rPr>
              <w:t> </w:t>
            </w:r>
          </w:p>
        </w:tc>
        <w:tc>
          <w:tcPr>
            <w:tcW w:w="330"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b/>
                <w:bCs/>
                <w:sz w:val="14"/>
                <w:szCs w:val="14"/>
                <w:lang w:val="es-ES"/>
              </w:rPr>
            </w:pPr>
            <w:r w:rsidRPr="00002391">
              <w:rPr>
                <w:rFonts w:ascii="Lucida Bright" w:hAnsi="Lucida Bright" w:cs="Calibri"/>
                <w:b/>
                <w:bCs/>
                <w:sz w:val="14"/>
                <w:szCs w:val="14"/>
                <w:lang w:val="es-ES"/>
              </w:rPr>
              <w:t> </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b/>
                <w:bCs/>
                <w:sz w:val="14"/>
                <w:szCs w:val="14"/>
                <w:lang w:val="es-ES"/>
              </w:rPr>
            </w:pPr>
            <w:r w:rsidRPr="00002391">
              <w:rPr>
                <w:rFonts w:ascii="Lucida Bright" w:hAnsi="Lucida Bright" w:cs="Calibri"/>
                <w:b/>
                <w:bCs/>
                <w:sz w:val="14"/>
                <w:szCs w:val="14"/>
                <w:lang w:val="es-ES"/>
              </w:rPr>
              <w:t> </w:t>
            </w:r>
          </w:p>
        </w:tc>
        <w:tc>
          <w:tcPr>
            <w:tcW w:w="374" w:type="pct"/>
            <w:tcBorders>
              <w:top w:val="single" w:sz="4" w:space="0" w:color="auto"/>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b/>
                <w:bCs/>
                <w:sz w:val="14"/>
                <w:szCs w:val="14"/>
                <w:lang w:val="es-ES"/>
              </w:rPr>
            </w:pPr>
            <w:r w:rsidRPr="00002391">
              <w:rPr>
                <w:rFonts w:ascii="Lucida Bright" w:hAnsi="Lucida Bright" w:cs="Calibri"/>
                <w:b/>
                <w:bCs/>
                <w:sz w:val="14"/>
                <w:szCs w:val="14"/>
                <w:lang w:val="es-ES"/>
              </w:rPr>
              <w:t> </w:t>
            </w:r>
          </w:p>
        </w:tc>
        <w:tc>
          <w:tcPr>
            <w:tcW w:w="314" w:type="pct"/>
            <w:tcBorders>
              <w:top w:val="single" w:sz="4" w:space="0" w:color="auto"/>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b/>
                <w:bCs/>
                <w:sz w:val="14"/>
                <w:szCs w:val="14"/>
                <w:lang w:val="es-ES"/>
              </w:rPr>
            </w:pPr>
            <w:r w:rsidRPr="00002391">
              <w:rPr>
                <w:rFonts w:ascii="Lucida Bright" w:hAnsi="Lucida Bright" w:cs="Calibri"/>
                <w:b/>
                <w:bCs/>
                <w:sz w:val="14"/>
                <w:szCs w:val="14"/>
                <w:lang w:val="es-ES"/>
              </w:rPr>
              <w:t> </w:t>
            </w:r>
          </w:p>
        </w:tc>
        <w:tc>
          <w:tcPr>
            <w:tcW w:w="324" w:type="pct"/>
            <w:tcBorders>
              <w:top w:val="single" w:sz="4" w:space="0" w:color="auto"/>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b/>
                <w:bCs/>
                <w:sz w:val="14"/>
                <w:szCs w:val="14"/>
                <w:lang w:val="es-ES"/>
              </w:rPr>
            </w:pPr>
            <w:r w:rsidRPr="00002391">
              <w:rPr>
                <w:rFonts w:ascii="Lucida Bright" w:hAnsi="Lucida Bright" w:cs="Calibri"/>
                <w:b/>
                <w:bCs/>
                <w:sz w:val="14"/>
                <w:szCs w:val="14"/>
                <w:lang w:val="es-ES"/>
              </w:rPr>
              <w:t> </w:t>
            </w:r>
          </w:p>
        </w:tc>
        <w:tc>
          <w:tcPr>
            <w:tcW w:w="436" w:type="pct"/>
            <w:tcBorders>
              <w:top w:val="single" w:sz="4" w:space="0" w:color="auto"/>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64.033.614,39 </w:t>
            </w:r>
          </w:p>
        </w:tc>
      </w:tr>
      <w:tr w:rsidR="00CE686F" w:rsidRPr="00002391" w:rsidTr="00CE686F">
        <w:trPr>
          <w:trHeight w:val="210"/>
        </w:trPr>
        <w:tc>
          <w:tcPr>
            <w:tcW w:w="117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b/>
                <w:bCs/>
                <w:sz w:val="14"/>
                <w:szCs w:val="14"/>
                <w:lang w:val="es-ES"/>
              </w:rPr>
            </w:pPr>
            <w:r w:rsidRPr="00002391">
              <w:rPr>
                <w:rFonts w:ascii="Lucida Bright" w:hAnsi="Lucida Bright" w:cs="Calibri"/>
                <w:b/>
                <w:bCs/>
                <w:sz w:val="14"/>
                <w:szCs w:val="14"/>
                <w:lang w:val="es-ES"/>
              </w:rPr>
              <w:t xml:space="preserve"> b) Construcciones</w:t>
            </w:r>
          </w:p>
        </w:tc>
        <w:tc>
          <w:tcPr>
            <w:tcW w:w="43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62.507.309,36 </w:t>
            </w:r>
          </w:p>
        </w:tc>
        <w:tc>
          <w:tcPr>
            <w:tcW w:w="39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 </w:t>
            </w:r>
          </w:p>
        </w:tc>
        <w:tc>
          <w:tcPr>
            <w:tcW w:w="40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11.926.015,06 </w:t>
            </w:r>
          </w:p>
        </w:tc>
        <w:tc>
          <w:tcPr>
            <w:tcW w:w="34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 </w:t>
            </w:r>
          </w:p>
        </w:tc>
        <w:tc>
          <w:tcPr>
            <w:tcW w:w="330"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(47.496,87) </w:t>
            </w:r>
          </w:p>
        </w:tc>
        <w:tc>
          <w:tcPr>
            <w:tcW w:w="46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 </w:t>
            </w:r>
          </w:p>
        </w:tc>
        <w:tc>
          <w:tcPr>
            <w:tcW w:w="37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1.532.491,58 </w:t>
            </w:r>
          </w:p>
        </w:tc>
        <w:tc>
          <w:tcPr>
            <w:tcW w:w="31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 </w:t>
            </w:r>
          </w:p>
        </w:tc>
        <w:tc>
          <w:tcPr>
            <w:tcW w:w="32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 </w:t>
            </w:r>
          </w:p>
        </w:tc>
        <w:tc>
          <w:tcPr>
            <w:tcW w:w="43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75.918.319,13 </w:t>
            </w:r>
          </w:p>
        </w:tc>
      </w:tr>
      <w:tr w:rsidR="00CE686F" w:rsidRPr="00002391" w:rsidTr="00CE686F">
        <w:trPr>
          <w:trHeight w:val="210"/>
        </w:trPr>
        <w:tc>
          <w:tcPr>
            <w:tcW w:w="117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xml:space="preserve">      Accesos marítimos</w:t>
            </w:r>
          </w:p>
        </w:tc>
        <w:tc>
          <w:tcPr>
            <w:tcW w:w="43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9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0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30"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6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1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b/>
                <w:bCs/>
                <w:sz w:val="14"/>
                <w:szCs w:val="14"/>
                <w:lang w:val="es-ES"/>
              </w:rPr>
            </w:pPr>
            <w:r w:rsidRPr="00002391">
              <w:rPr>
                <w:rFonts w:ascii="Lucida Bright" w:hAnsi="Lucida Bright" w:cs="Calibri"/>
                <w:b/>
                <w:bCs/>
                <w:sz w:val="14"/>
                <w:szCs w:val="14"/>
                <w:lang w:val="es-ES"/>
              </w:rPr>
              <w:t> </w:t>
            </w:r>
          </w:p>
        </w:tc>
      </w:tr>
      <w:tr w:rsidR="00CE686F" w:rsidRPr="00002391" w:rsidTr="00CE686F">
        <w:trPr>
          <w:trHeight w:val="210"/>
        </w:trPr>
        <w:tc>
          <w:tcPr>
            <w:tcW w:w="117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xml:space="preserve">      Obras de abrigo y defensa</w:t>
            </w:r>
          </w:p>
        </w:tc>
        <w:tc>
          <w:tcPr>
            <w:tcW w:w="43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9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0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30"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6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1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b/>
                <w:bCs/>
                <w:sz w:val="14"/>
                <w:szCs w:val="14"/>
                <w:lang w:val="es-ES"/>
              </w:rPr>
            </w:pPr>
            <w:r w:rsidRPr="00002391">
              <w:rPr>
                <w:rFonts w:ascii="Lucida Bright" w:hAnsi="Lucida Bright" w:cs="Calibri"/>
                <w:b/>
                <w:bCs/>
                <w:sz w:val="14"/>
                <w:szCs w:val="14"/>
                <w:lang w:val="es-ES"/>
              </w:rPr>
              <w:t> </w:t>
            </w:r>
          </w:p>
        </w:tc>
      </w:tr>
      <w:tr w:rsidR="00CE686F" w:rsidRPr="00002391" w:rsidTr="00CE686F">
        <w:trPr>
          <w:trHeight w:val="210"/>
        </w:trPr>
        <w:tc>
          <w:tcPr>
            <w:tcW w:w="117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xml:space="preserve">      Obras de atraque</w:t>
            </w:r>
          </w:p>
        </w:tc>
        <w:tc>
          <w:tcPr>
            <w:tcW w:w="43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sz w:val="14"/>
                <w:szCs w:val="14"/>
                <w:lang w:val="es-ES"/>
              </w:rPr>
            </w:pPr>
            <w:r w:rsidRPr="00002391">
              <w:rPr>
                <w:rFonts w:ascii="Lucida Bright" w:hAnsi="Lucida Bright" w:cs="Calibri"/>
                <w:sz w:val="14"/>
                <w:szCs w:val="14"/>
                <w:lang w:val="es-ES"/>
              </w:rPr>
              <w:t xml:space="preserve">4.650.022,86 </w:t>
            </w:r>
          </w:p>
        </w:tc>
        <w:tc>
          <w:tcPr>
            <w:tcW w:w="39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0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sz w:val="14"/>
                <w:szCs w:val="14"/>
                <w:lang w:val="es-ES"/>
              </w:rPr>
            </w:pPr>
            <w:r w:rsidRPr="00002391">
              <w:rPr>
                <w:rFonts w:ascii="Lucida Bright" w:hAnsi="Lucida Bright" w:cs="Calibri"/>
                <w:sz w:val="14"/>
                <w:szCs w:val="14"/>
                <w:lang w:val="es-ES"/>
              </w:rPr>
              <w:t xml:space="preserve">9.897.499,35 </w:t>
            </w:r>
          </w:p>
        </w:tc>
        <w:tc>
          <w:tcPr>
            <w:tcW w:w="34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30"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6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sz w:val="14"/>
                <w:szCs w:val="14"/>
                <w:lang w:val="es-ES"/>
              </w:rPr>
            </w:pPr>
            <w:r w:rsidRPr="00002391">
              <w:rPr>
                <w:rFonts w:ascii="Lucida Bright" w:hAnsi="Lucida Bright" w:cs="Calibri"/>
                <w:sz w:val="14"/>
                <w:szCs w:val="14"/>
                <w:lang w:val="es-ES"/>
              </w:rPr>
              <w:t xml:space="preserve">38.860,00 </w:t>
            </w:r>
          </w:p>
        </w:tc>
        <w:tc>
          <w:tcPr>
            <w:tcW w:w="31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sz w:val="14"/>
                <w:szCs w:val="14"/>
                <w:lang w:val="es-ES"/>
              </w:rPr>
            </w:pPr>
            <w:r w:rsidRPr="00002391">
              <w:rPr>
                <w:rFonts w:ascii="Lucida Bright" w:hAnsi="Lucida Bright" w:cs="Calibri"/>
                <w:sz w:val="14"/>
                <w:szCs w:val="14"/>
                <w:lang w:val="es-ES"/>
              </w:rPr>
              <w:t xml:space="preserve">14.586.382,21 </w:t>
            </w:r>
          </w:p>
        </w:tc>
      </w:tr>
      <w:tr w:rsidR="00CE686F" w:rsidRPr="00002391" w:rsidTr="00CE686F">
        <w:trPr>
          <w:trHeight w:val="210"/>
        </w:trPr>
        <w:tc>
          <w:tcPr>
            <w:tcW w:w="117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xml:space="preserve">      Instalaciones para reparación de barcos</w:t>
            </w:r>
          </w:p>
        </w:tc>
        <w:tc>
          <w:tcPr>
            <w:tcW w:w="43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sz w:val="14"/>
                <w:szCs w:val="14"/>
                <w:lang w:val="es-ES"/>
              </w:rPr>
            </w:pPr>
            <w:r w:rsidRPr="00002391">
              <w:rPr>
                <w:rFonts w:ascii="Lucida Bright" w:hAnsi="Lucida Bright" w:cs="Calibri"/>
                <w:sz w:val="14"/>
                <w:szCs w:val="14"/>
                <w:lang w:val="es-ES"/>
              </w:rPr>
              <w:t xml:space="preserve">1.578.462,88 </w:t>
            </w:r>
          </w:p>
        </w:tc>
        <w:tc>
          <w:tcPr>
            <w:tcW w:w="39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0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sz w:val="14"/>
                <w:szCs w:val="14"/>
                <w:lang w:val="es-ES"/>
              </w:rPr>
            </w:pPr>
            <w:r w:rsidRPr="00002391">
              <w:rPr>
                <w:rFonts w:ascii="Lucida Bright" w:hAnsi="Lucida Bright" w:cs="Calibri"/>
                <w:sz w:val="14"/>
                <w:szCs w:val="14"/>
                <w:lang w:val="es-ES"/>
              </w:rPr>
              <w:t xml:space="preserve">40.223,79 </w:t>
            </w:r>
          </w:p>
        </w:tc>
        <w:tc>
          <w:tcPr>
            <w:tcW w:w="34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30"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6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1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sz w:val="14"/>
                <w:szCs w:val="14"/>
                <w:lang w:val="es-ES"/>
              </w:rPr>
            </w:pPr>
            <w:r w:rsidRPr="00002391">
              <w:rPr>
                <w:rFonts w:ascii="Lucida Bright" w:hAnsi="Lucida Bright" w:cs="Calibri"/>
                <w:sz w:val="14"/>
                <w:szCs w:val="14"/>
                <w:lang w:val="es-ES"/>
              </w:rPr>
              <w:t xml:space="preserve">1.618.686,67 </w:t>
            </w:r>
          </w:p>
        </w:tc>
      </w:tr>
      <w:tr w:rsidR="00CE686F" w:rsidRPr="00002391" w:rsidTr="00CE686F">
        <w:trPr>
          <w:trHeight w:val="210"/>
        </w:trPr>
        <w:tc>
          <w:tcPr>
            <w:tcW w:w="117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xml:space="preserve">      Edificaciones</w:t>
            </w:r>
          </w:p>
        </w:tc>
        <w:tc>
          <w:tcPr>
            <w:tcW w:w="43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sz w:val="14"/>
                <w:szCs w:val="14"/>
                <w:lang w:val="es-ES"/>
              </w:rPr>
            </w:pPr>
            <w:r w:rsidRPr="00002391">
              <w:rPr>
                <w:rFonts w:ascii="Lucida Bright" w:hAnsi="Lucida Bright" w:cs="Calibri"/>
                <w:sz w:val="14"/>
                <w:szCs w:val="14"/>
                <w:lang w:val="es-ES"/>
              </w:rPr>
              <w:t xml:space="preserve">27.483.830,27 </w:t>
            </w:r>
          </w:p>
        </w:tc>
        <w:tc>
          <w:tcPr>
            <w:tcW w:w="39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0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sz w:val="14"/>
                <w:szCs w:val="14"/>
                <w:lang w:val="es-ES"/>
              </w:rPr>
            </w:pPr>
            <w:r w:rsidRPr="00002391">
              <w:rPr>
                <w:rFonts w:ascii="Lucida Bright" w:hAnsi="Lucida Bright" w:cs="Calibri"/>
                <w:sz w:val="14"/>
                <w:szCs w:val="14"/>
                <w:lang w:val="es-ES"/>
              </w:rPr>
              <w:t xml:space="preserve">1.821.251,15 </w:t>
            </w:r>
          </w:p>
        </w:tc>
        <w:tc>
          <w:tcPr>
            <w:tcW w:w="34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30"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sz w:val="14"/>
                <w:szCs w:val="14"/>
                <w:lang w:val="es-ES"/>
              </w:rPr>
            </w:pPr>
            <w:r w:rsidRPr="00002391">
              <w:rPr>
                <w:rFonts w:ascii="Lucida Bright" w:hAnsi="Lucida Bright" w:cs="Calibri"/>
                <w:sz w:val="14"/>
                <w:szCs w:val="14"/>
                <w:lang w:val="es-ES"/>
              </w:rPr>
              <w:t xml:space="preserve">(47.496,87) </w:t>
            </w:r>
          </w:p>
        </w:tc>
        <w:tc>
          <w:tcPr>
            <w:tcW w:w="46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sz w:val="14"/>
                <w:szCs w:val="14"/>
                <w:lang w:val="es-ES"/>
              </w:rPr>
            </w:pPr>
            <w:r w:rsidRPr="00002391">
              <w:rPr>
                <w:rFonts w:ascii="Lucida Bright" w:hAnsi="Lucida Bright" w:cs="Calibri"/>
                <w:sz w:val="14"/>
                <w:szCs w:val="14"/>
                <w:lang w:val="es-ES"/>
              </w:rPr>
              <w:t xml:space="preserve">1.493.631,58 </w:t>
            </w:r>
          </w:p>
        </w:tc>
        <w:tc>
          <w:tcPr>
            <w:tcW w:w="31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sz w:val="14"/>
                <w:szCs w:val="14"/>
                <w:lang w:val="es-ES"/>
              </w:rPr>
            </w:pPr>
            <w:r w:rsidRPr="00002391">
              <w:rPr>
                <w:rFonts w:ascii="Lucida Bright" w:hAnsi="Lucida Bright" w:cs="Calibri"/>
                <w:sz w:val="14"/>
                <w:szCs w:val="14"/>
                <w:lang w:val="es-ES"/>
              </w:rPr>
              <w:t xml:space="preserve">30.751.216,13 </w:t>
            </w:r>
          </w:p>
        </w:tc>
      </w:tr>
      <w:tr w:rsidR="00CE686F" w:rsidRPr="00002391" w:rsidTr="00CE686F">
        <w:trPr>
          <w:trHeight w:val="210"/>
        </w:trPr>
        <w:tc>
          <w:tcPr>
            <w:tcW w:w="117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xml:space="preserve">      Instalaciones generales</w:t>
            </w:r>
          </w:p>
        </w:tc>
        <w:tc>
          <w:tcPr>
            <w:tcW w:w="43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sz w:val="14"/>
                <w:szCs w:val="14"/>
                <w:lang w:val="es-ES"/>
              </w:rPr>
            </w:pPr>
            <w:r w:rsidRPr="00002391">
              <w:rPr>
                <w:rFonts w:ascii="Lucida Bright" w:hAnsi="Lucida Bright" w:cs="Calibri"/>
                <w:sz w:val="14"/>
                <w:szCs w:val="14"/>
                <w:lang w:val="es-ES"/>
              </w:rPr>
              <w:t xml:space="preserve">2.194.104,23 </w:t>
            </w:r>
          </w:p>
        </w:tc>
        <w:tc>
          <w:tcPr>
            <w:tcW w:w="39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0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sz w:val="14"/>
                <w:szCs w:val="14"/>
                <w:lang w:val="es-ES"/>
              </w:rPr>
            </w:pPr>
            <w:r w:rsidRPr="00002391">
              <w:rPr>
                <w:rFonts w:ascii="Lucida Bright" w:hAnsi="Lucida Bright" w:cs="Calibri"/>
                <w:sz w:val="14"/>
                <w:szCs w:val="14"/>
                <w:lang w:val="es-ES"/>
              </w:rPr>
              <w:t xml:space="preserve">167.040,77 </w:t>
            </w:r>
          </w:p>
        </w:tc>
        <w:tc>
          <w:tcPr>
            <w:tcW w:w="34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30"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6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1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sz w:val="14"/>
                <w:szCs w:val="14"/>
                <w:lang w:val="es-ES"/>
              </w:rPr>
            </w:pPr>
            <w:r w:rsidRPr="00002391">
              <w:rPr>
                <w:rFonts w:ascii="Lucida Bright" w:hAnsi="Lucida Bright" w:cs="Calibri"/>
                <w:sz w:val="14"/>
                <w:szCs w:val="14"/>
                <w:lang w:val="es-ES"/>
              </w:rPr>
              <w:t xml:space="preserve">2.361.145,00 </w:t>
            </w:r>
          </w:p>
        </w:tc>
      </w:tr>
      <w:tr w:rsidR="00CE686F" w:rsidRPr="00002391" w:rsidTr="00CE686F">
        <w:trPr>
          <w:trHeight w:val="210"/>
        </w:trPr>
        <w:tc>
          <w:tcPr>
            <w:tcW w:w="117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xml:space="preserve">      Pavimentos, calzadas y vías de circulación</w:t>
            </w:r>
          </w:p>
        </w:tc>
        <w:tc>
          <w:tcPr>
            <w:tcW w:w="43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sz w:val="14"/>
                <w:szCs w:val="14"/>
                <w:lang w:val="es-ES"/>
              </w:rPr>
            </w:pPr>
            <w:r w:rsidRPr="00002391">
              <w:rPr>
                <w:rFonts w:ascii="Lucida Bright" w:hAnsi="Lucida Bright" w:cs="Calibri"/>
                <w:sz w:val="14"/>
                <w:szCs w:val="14"/>
                <w:lang w:val="es-ES"/>
              </w:rPr>
              <w:t xml:space="preserve">26.600.889,12 </w:t>
            </w:r>
          </w:p>
        </w:tc>
        <w:tc>
          <w:tcPr>
            <w:tcW w:w="39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0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30"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6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1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rPr>
                <w:rFonts w:ascii="Lucida Bright" w:hAnsi="Lucida Bright" w:cs="Calibri"/>
                <w:sz w:val="14"/>
                <w:szCs w:val="14"/>
                <w:lang w:val="es-ES"/>
              </w:rPr>
            </w:pPr>
            <w:r w:rsidRPr="00002391">
              <w:rPr>
                <w:rFonts w:ascii="Lucida Bright" w:hAnsi="Lucida Bright" w:cs="Calibri"/>
                <w:sz w:val="14"/>
                <w:szCs w:val="14"/>
                <w:lang w:val="es-ES"/>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sz w:val="14"/>
                <w:szCs w:val="14"/>
                <w:lang w:val="es-ES"/>
              </w:rPr>
            </w:pPr>
            <w:r w:rsidRPr="00002391">
              <w:rPr>
                <w:rFonts w:ascii="Lucida Bright" w:hAnsi="Lucida Bright" w:cs="Calibri"/>
                <w:sz w:val="14"/>
                <w:szCs w:val="14"/>
                <w:lang w:val="es-ES"/>
              </w:rPr>
              <w:t xml:space="preserve">26.600.889,12 </w:t>
            </w:r>
          </w:p>
        </w:tc>
      </w:tr>
      <w:tr w:rsidR="00CE686F" w:rsidRPr="00002391" w:rsidTr="00CE686F">
        <w:trPr>
          <w:trHeight w:val="210"/>
        </w:trPr>
        <w:tc>
          <w:tcPr>
            <w:tcW w:w="117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02391" w:rsidRPr="00002391" w:rsidRDefault="00002391" w:rsidP="00002391">
            <w:pPr>
              <w:jc w:val="center"/>
              <w:rPr>
                <w:rFonts w:ascii="Lucida Bright" w:hAnsi="Lucida Bright" w:cs="Calibri"/>
                <w:b/>
                <w:bCs/>
                <w:sz w:val="14"/>
                <w:szCs w:val="14"/>
                <w:lang w:val="es-ES"/>
              </w:rPr>
            </w:pPr>
            <w:r w:rsidRPr="00002391">
              <w:rPr>
                <w:rFonts w:ascii="Lucida Bright" w:hAnsi="Lucida Bright" w:cs="Calibri"/>
                <w:b/>
                <w:bCs/>
                <w:sz w:val="14"/>
                <w:szCs w:val="14"/>
                <w:lang w:val="es-ES"/>
              </w:rPr>
              <w:t>TOTAL</w:t>
            </w:r>
          </w:p>
        </w:tc>
        <w:tc>
          <w:tcPr>
            <w:tcW w:w="43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126.540.923,75 </w:t>
            </w:r>
          </w:p>
        </w:tc>
        <w:tc>
          <w:tcPr>
            <w:tcW w:w="39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 </w:t>
            </w:r>
          </w:p>
        </w:tc>
        <w:tc>
          <w:tcPr>
            <w:tcW w:w="40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11.926.015,06 </w:t>
            </w:r>
          </w:p>
        </w:tc>
        <w:tc>
          <w:tcPr>
            <w:tcW w:w="34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 </w:t>
            </w:r>
          </w:p>
        </w:tc>
        <w:tc>
          <w:tcPr>
            <w:tcW w:w="330"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(47.496,87) </w:t>
            </w:r>
          </w:p>
        </w:tc>
        <w:tc>
          <w:tcPr>
            <w:tcW w:w="465"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 </w:t>
            </w:r>
          </w:p>
        </w:tc>
        <w:tc>
          <w:tcPr>
            <w:tcW w:w="37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1.532.491,58 </w:t>
            </w:r>
          </w:p>
        </w:tc>
        <w:tc>
          <w:tcPr>
            <w:tcW w:w="31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 </w:t>
            </w:r>
          </w:p>
        </w:tc>
        <w:tc>
          <w:tcPr>
            <w:tcW w:w="324"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 </w:t>
            </w:r>
          </w:p>
        </w:tc>
        <w:tc>
          <w:tcPr>
            <w:tcW w:w="436" w:type="pct"/>
            <w:tcBorders>
              <w:top w:val="nil"/>
              <w:left w:val="nil"/>
              <w:bottom w:val="single" w:sz="4" w:space="0" w:color="auto"/>
              <w:right w:val="single" w:sz="4" w:space="0" w:color="auto"/>
            </w:tcBorders>
            <w:shd w:val="clear" w:color="000000" w:fill="FFFFFF"/>
            <w:noWrap/>
            <w:vAlign w:val="center"/>
            <w:hideMark/>
          </w:tcPr>
          <w:p w:rsidR="00002391" w:rsidRPr="00002391" w:rsidRDefault="00002391" w:rsidP="00002391">
            <w:pPr>
              <w:jc w:val="right"/>
              <w:rPr>
                <w:rFonts w:ascii="Lucida Bright" w:hAnsi="Lucida Bright" w:cs="Calibri"/>
                <w:b/>
                <w:bCs/>
                <w:sz w:val="14"/>
                <w:szCs w:val="14"/>
                <w:lang w:val="es-ES"/>
              </w:rPr>
            </w:pPr>
            <w:r w:rsidRPr="00002391">
              <w:rPr>
                <w:rFonts w:ascii="Lucida Bright" w:hAnsi="Lucida Bright" w:cs="Calibri"/>
                <w:b/>
                <w:bCs/>
                <w:sz w:val="14"/>
                <w:szCs w:val="14"/>
                <w:lang w:val="es-ES"/>
              </w:rPr>
              <w:t xml:space="preserve">139.951.933,52 </w:t>
            </w:r>
          </w:p>
        </w:tc>
      </w:tr>
    </w:tbl>
    <w:p w:rsidR="00FE2D1C" w:rsidRDefault="00FE2D1C" w:rsidP="008323F0">
      <w:pPr>
        <w:ind w:right="35"/>
        <w:rPr>
          <w:rFonts w:ascii="Lucida Bright" w:eastAsia="Lucida Bright" w:hAnsi="Lucida Bright" w:cs="Lucida Bright"/>
          <w:b/>
          <w:bCs/>
          <w:color w:val="000000"/>
          <w:sz w:val="14"/>
        </w:rPr>
      </w:pPr>
    </w:p>
    <w:tbl>
      <w:tblPr>
        <w:tblW w:w="0" w:type="auto"/>
        <w:tblInd w:w="-736" w:type="dxa"/>
        <w:tblCellMar>
          <w:left w:w="70" w:type="dxa"/>
          <w:right w:w="70" w:type="dxa"/>
        </w:tblCellMar>
        <w:tblLook w:val="04A0" w:firstRow="1" w:lastRow="0" w:firstColumn="1" w:lastColumn="0" w:noHBand="0" w:noVBand="1"/>
      </w:tblPr>
      <w:tblGrid>
        <w:gridCol w:w="3178"/>
        <w:gridCol w:w="1125"/>
        <w:gridCol w:w="1038"/>
        <w:gridCol w:w="1191"/>
        <w:gridCol w:w="1393"/>
        <w:gridCol w:w="1617"/>
        <w:gridCol w:w="1776"/>
        <w:gridCol w:w="1871"/>
        <w:gridCol w:w="1125"/>
      </w:tblGrid>
      <w:tr w:rsidR="002143AE" w:rsidRPr="002143AE" w:rsidTr="00CE686F">
        <w:trPr>
          <w:trHeight w:val="300"/>
        </w:trPr>
        <w:tc>
          <w:tcPr>
            <w:tcW w:w="0" w:type="auto"/>
            <w:gridSpan w:val="6"/>
            <w:tcBorders>
              <w:top w:val="nil"/>
              <w:left w:val="nil"/>
              <w:bottom w:val="single" w:sz="4" w:space="0" w:color="auto"/>
              <w:right w:val="nil"/>
            </w:tcBorders>
            <w:shd w:val="clear" w:color="auto" w:fill="auto"/>
            <w:noWrap/>
            <w:vAlign w:val="bottom"/>
            <w:hideMark/>
          </w:tcPr>
          <w:p w:rsidR="002143AE" w:rsidRPr="002143AE" w:rsidRDefault="002143AE" w:rsidP="002143AE">
            <w:pPr>
              <w:rPr>
                <w:rFonts w:ascii="Lucida Bright" w:hAnsi="Lucida Bright" w:cs="Calibri"/>
                <w:b/>
                <w:bCs/>
                <w:sz w:val="18"/>
                <w:szCs w:val="18"/>
                <w:lang w:val="es-ES"/>
              </w:rPr>
            </w:pPr>
            <w:r w:rsidRPr="002143AE">
              <w:rPr>
                <w:rFonts w:ascii="Lucida Bright" w:hAnsi="Lucida Bright" w:cs="Calibri"/>
                <w:b/>
                <w:bCs/>
                <w:sz w:val="18"/>
                <w:szCs w:val="18"/>
                <w:lang w:val="es-ES"/>
              </w:rPr>
              <w:t>CUADRO: AMORTIZACIÓN ACUMULADA DE LAS INVERSIONES INMOBILIARIAS 2024</w:t>
            </w:r>
          </w:p>
        </w:tc>
        <w:tc>
          <w:tcPr>
            <w:tcW w:w="0" w:type="auto"/>
            <w:tcBorders>
              <w:top w:val="nil"/>
              <w:left w:val="nil"/>
              <w:bottom w:val="nil"/>
              <w:right w:val="nil"/>
            </w:tcBorders>
            <w:shd w:val="clear" w:color="000000" w:fill="FFFFFF"/>
            <w:noWrap/>
            <w:vAlign w:val="bottom"/>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(en euros)</w:t>
            </w:r>
          </w:p>
        </w:tc>
        <w:tc>
          <w:tcPr>
            <w:tcW w:w="0" w:type="auto"/>
            <w:tcBorders>
              <w:top w:val="nil"/>
              <w:left w:val="nil"/>
              <w:bottom w:val="nil"/>
              <w:right w:val="nil"/>
            </w:tcBorders>
            <w:shd w:val="clear" w:color="000000" w:fill="FFFFFF"/>
            <w:noWrap/>
            <w:hideMark/>
          </w:tcPr>
          <w:p w:rsidR="002143AE" w:rsidRPr="002143AE" w:rsidRDefault="002143AE" w:rsidP="002143AE">
            <w:pPr>
              <w:rPr>
                <w:rFonts w:ascii="Lucida Bright" w:hAnsi="Lucida Bright" w:cs="Calibri"/>
                <w:sz w:val="18"/>
                <w:szCs w:val="18"/>
                <w:lang w:val="es-ES"/>
              </w:rPr>
            </w:pPr>
            <w:r w:rsidRPr="002143AE">
              <w:rPr>
                <w:rFonts w:ascii="Lucida Bright" w:hAnsi="Lucida Bright" w:cs="Calibri"/>
                <w:sz w:val="18"/>
                <w:szCs w:val="18"/>
                <w:lang w:val="es-ES"/>
              </w:rPr>
              <w:t> </w:t>
            </w:r>
          </w:p>
        </w:tc>
        <w:tc>
          <w:tcPr>
            <w:tcW w:w="0" w:type="auto"/>
            <w:tcBorders>
              <w:top w:val="nil"/>
              <w:left w:val="nil"/>
              <w:bottom w:val="nil"/>
              <w:right w:val="nil"/>
            </w:tcBorders>
            <w:shd w:val="clear" w:color="000000" w:fill="FFFFFF"/>
            <w:noWrap/>
            <w:hideMark/>
          </w:tcPr>
          <w:p w:rsidR="002143AE" w:rsidRPr="002143AE" w:rsidRDefault="002143AE" w:rsidP="002143AE">
            <w:pPr>
              <w:rPr>
                <w:rFonts w:ascii="Lucida Bright" w:hAnsi="Lucida Bright" w:cs="Calibri"/>
                <w:sz w:val="18"/>
                <w:szCs w:val="18"/>
                <w:lang w:val="es-ES"/>
              </w:rPr>
            </w:pPr>
            <w:r w:rsidRPr="002143AE">
              <w:rPr>
                <w:rFonts w:ascii="Lucida Bright" w:hAnsi="Lucida Bright" w:cs="Calibri"/>
                <w:sz w:val="18"/>
                <w:szCs w:val="18"/>
                <w:lang w:val="es-ES"/>
              </w:rPr>
              <w:t> </w:t>
            </w:r>
          </w:p>
        </w:tc>
      </w:tr>
      <w:tr w:rsidR="002143AE" w:rsidRPr="002143AE" w:rsidTr="00CE686F">
        <w:trPr>
          <w:trHeight w:val="720"/>
        </w:trPr>
        <w:tc>
          <w:tcPr>
            <w:tcW w:w="0" w:type="auto"/>
            <w:tcBorders>
              <w:top w:val="single" w:sz="4" w:space="0" w:color="auto"/>
              <w:left w:val="single" w:sz="4" w:space="0" w:color="auto"/>
              <w:bottom w:val="single" w:sz="4" w:space="0" w:color="auto"/>
              <w:right w:val="single" w:sz="4" w:space="0" w:color="000000"/>
            </w:tcBorders>
            <w:shd w:val="clear" w:color="000000" w:fill="CCFFCC"/>
            <w:vAlign w:val="center"/>
            <w:hideMark/>
          </w:tcPr>
          <w:p w:rsidR="002143AE" w:rsidRPr="002143AE" w:rsidRDefault="002143AE" w:rsidP="002143AE">
            <w:pPr>
              <w:jc w:val="center"/>
              <w:rPr>
                <w:rFonts w:ascii="Lucida Bright" w:hAnsi="Lucida Bright" w:cs="Calibri"/>
                <w:b/>
                <w:bCs/>
                <w:sz w:val="14"/>
                <w:szCs w:val="14"/>
                <w:lang w:val="es-ES"/>
              </w:rPr>
            </w:pPr>
            <w:r w:rsidRPr="002143AE">
              <w:rPr>
                <w:rFonts w:ascii="Lucida Bright" w:hAnsi="Lucida Bright" w:cs="Calibri"/>
                <w:b/>
                <w:bCs/>
                <w:sz w:val="14"/>
                <w:szCs w:val="14"/>
                <w:lang w:val="es-ES"/>
              </w:rPr>
              <w:t>CONCEPTO</w:t>
            </w:r>
          </w:p>
        </w:tc>
        <w:tc>
          <w:tcPr>
            <w:tcW w:w="0" w:type="auto"/>
            <w:tcBorders>
              <w:top w:val="nil"/>
              <w:left w:val="nil"/>
              <w:bottom w:val="single" w:sz="4" w:space="0" w:color="auto"/>
              <w:right w:val="single" w:sz="4" w:space="0" w:color="auto"/>
            </w:tcBorders>
            <w:shd w:val="clear" w:color="000000" w:fill="CCFFCC"/>
            <w:vAlign w:val="center"/>
            <w:hideMark/>
          </w:tcPr>
          <w:p w:rsidR="002143AE" w:rsidRPr="002143AE" w:rsidRDefault="002143AE" w:rsidP="002143AE">
            <w:pPr>
              <w:jc w:val="center"/>
              <w:rPr>
                <w:rFonts w:ascii="Lucida Bright" w:hAnsi="Lucida Bright" w:cs="Calibri"/>
                <w:sz w:val="14"/>
                <w:szCs w:val="14"/>
                <w:lang w:val="es-ES"/>
              </w:rPr>
            </w:pPr>
            <w:r w:rsidRPr="002143AE">
              <w:rPr>
                <w:rFonts w:ascii="Lucida Bright" w:hAnsi="Lucida Bright" w:cs="Calibri"/>
                <w:sz w:val="14"/>
                <w:szCs w:val="14"/>
                <w:lang w:val="es-ES"/>
              </w:rPr>
              <w:t>Saldo a</w:t>
            </w:r>
            <w:r w:rsidRPr="002143AE">
              <w:rPr>
                <w:rFonts w:ascii="Lucida Bright" w:hAnsi="Lucida Bright" w:cs="Calibri"/>
                <w:sz w:val="14"/>
                <w:szCs w:val="14"/>
                <w:lang w:val="es-ES"/>
              </w:rPr>
              <w:br/>
              <w:t>31-12-23</w:t>
            </w:r>
          </w:p>
        </w:tc>
        <w:tc>
          <w:tcPr>
            <w:tcW w:w="0" w:type="auto"/>
            <w:tcBorders>
              <w:top w:val="nil"/>
              <w:left w:val="nil"/>
              <w:bottom w:val="single" w:sz="4" w:space="0" w:color="auto"/>
              <w:right w:val="single" w:sz="4" w:space="0" w:color="auto"/>
            </w:tcBorders>
            <w:shd w:val="clear" w:color="000000" w:fill="CCFFCC"/>
            <w:vAlign w:val="center"/>
            <w:hideMark/>
          </w:tcPr>
          <w:p w:rsidR="002143AE" w:rsidRPr="002143AE" w:rsidRDefault="002143AE" w:rsidP="002143AE">
            <w:pPr>
              <w:jc w:val="center"/>
              <w:rPr>
                <w:rFonts w:ascii="Lucida Bright" w:hAnsi="Lucida Bright" w:cs="Calibri"/>
                <w:sz w:val="14"/>
                <w:szCs w:val="14"/>
                <w:lang w:val="es-ES"/>
              </w:rPr>
            </w:pPr>
            <w:r w:rsidRPr="002143AE">
              <w:rPr>
                <w:rFonts w:ascii="Lucida Bright" w:hAnsi="Lucida Bright" w:cs="Calibri"/>
                <w:sz w:val="14"/>
                <w:szCs w:val="14"/>
                <w:lang w:val="es-ES"/>
              </w:rPr>
              <w:t>Dotaciones</w:t>
            </w:r>
            <w:r w:rsidRPr="002143AE">
              <w:rPr>
                <w:rFonts w:ascii="Lucida Bright" w:hAnsi="Lucida Bright" w:cs="Calibri"/>
                <w:sz w:val="14"/>
                <w:szCs w:val="14"/>
                <w:lang w:val="es-ES"/>
              </w:rPr>
              <w:br/>
              <w:t>(+)</w:t>
            </w:r>
          </w:p>
        </w:tc>
        <w:tc>
          <w:tcPr>
            <w:tcW w:w="0" w:type="auto"/>
            <w:tcBorders>
              <w:top w:val="nil"/>
              <w:left w:val="nil"/>
              <w:bottom w:val="single" w:sz="4" w:space="0" w:color="auto"/>
              <w:right w:val="single" w:sz="4" w:space="0" w:color="auto"/>
            </w:tcBorders>
            <w:shd w:val="clear" w:color="000000" w:fill="CCFFCC"/>
            <w:vAlign w:val="center"/>
            <w:hideMark/>
          </w:tcPr>
          <w:p w:rsidR="002143AE" w:rsidRPr="002143AE" w:rsidRDefault="002143AE" w:rsidP="002143AE">
            <w:pPr>
              <w:jc w:val="center"/>
              <w:rPr>
                <w:rFonts w:ascii="Lucida Bright" w:hAnsi="Lucida Bright" w:cs="Calibri"/>
                <w:sz w:val="14"/>
                <w:szCs w:val="14"/>
                <w:lang w:val="es-ES"/>
              </w:rPr>
            </w:pPr>
            <w:r w:rsidRPr="002143AE">
              <w:rPr>
                <w:rFonts w:ascii="Lucida Bright" w:hAnsi="Lucida Bright" w:cs="Calibri"/>
                <w:sz w:val="14"/>
                <w:szCs w:val="14"/>
                <w:lang w:val="es-ES"/>
              </w:rPr>
              <w:t>Ventas, retiros y bajas (-)</w:t>
            </w:r>
          </w:p>
        </w:tc>
        <w:tc>
          <w:tcPr>
            <w:tcW w:w="0" w:type="auto"/>
            <w:tcBorders>
              <w:top w:val="nil"/>
              <w:left w:val="nil"/>
              <w:bottom w:val="single" w:sz="4" w:space="0" w:color="auto"/>
              <w:right w:val="single" w:sz="4" w:space="0" w:color="auto"/>
            </w:tcBorders>
            <w:shd w:val="clear" w:color="000000" w:fill="CCFFCC"/>
            <w:vAlign w:val="center"/>
            <w:hideMark/>
          </w:tcPr>
          <w:p w:rsidR="002143AE" w:rsidRPr="002143AE" w:rsidRDefault="002143AE" w:rsidP="002143AE">
            <w:pPr>
              <w:jc w:val="center"/>
              <w:rPr>
                <w:rFonts w:ascii="Lucida Bright" w:hAnsi="Lucida Bright" w:cs="Calibri"/>
                <w:sz w:val="14"/>
                <w:szCs w:val="14"/>
                <w:lang w:val="es-ES"/>
              </w:rPr>
            </w:pPr>
            <w:r w:rsidRPr="002143AE">
              <w:rPr>
                <w:rFonts w:ascii="Lucida Bright" w:hAnsi="Lucida Bright" w:cs="Calibri"/>
                <w:sz w:val="14"/>
                <w:szCs w:val="14"/>
                <w:lang w:val="es-ES"/>
              </w:rPr>
              <w:t>Reclasificaciones (+/-)</w:t>
            </w:r>
          </w:p>
        </w:tc>
        <w:tc>
          <w:tcPr>
            <w:tcW w:w="0" w:type="auto"/>
            <w:tcBorders>
              <w:top w:val="nil"/>
              <w:left w:val="nil"/>
              <w:bottom w:val="single" w:sz="4" w:space="0" w:color="auto"/>
              <w:right w:val="single" w:sz="4" w:space="0" w:color="auto"/>
            </w:tcBorders>
            <w:shd w:val="clear" w:color="000000" w:fill="CCFFCC"/>
            <w:vAlign w:val="center"/>
            <w:hideMark/>
          </w:tcPr>
          <w:p w:rsidR="002143AE" w:rsidRPr="002143AE" w:rsidRDefault="002143AE" w:rsidP="002143AE">
            <w:pPr>
              <w:jc w:val="center"/>
              <w:rPr>
                <w:rFonts w:ascii="Lucida Bright" w:hAnsi="Lucida Bright" w:cs="Calibri"/>
                <w:sz w:val="14"/>
                <w:szCs w:val="14"/>
                <w:lang w:val="es-ES"/>
              </w:rPr>
            </w:pPr>
            <w:r w:rsidRPr="002143AE">
              <w:rPr>
                <w:rFonts w:ascii="Lucida Bright" w:hAnsi="Lucida Bright" w:cs="Calibri"/>
                <w:sz w:val="14"/>
                <w:szCs w:val="14"/>
                <w:lang w:val="es-ES"/>
              </w:rPr>
              <w:t>Traspaso a/de inmovilizado material (+/-)</w:t>
            </w:r>
          </w:p>
        </w:tc>
        <w:tc>
          <w:tcPr>
            <w:tcW w:w="0" w:type="auto"/>
            <w:tcBorders>
              <w:top w:val="single" w:sz="4" w:space="0" w:color="auto"/>
              <w:left w:val="nil"/>
              <w:bottom w:val="single" w:sz="4" w:space="0" w:color="auto"/>
              <w:right w:val="single" w:sz="4" w:space="0" w:color="auto"/>
            </w:tcBorders>
            <w:shd w:val="clear" w:color="000000" w:fill="CCFFCC"/>
            <w:vAlign w:val="center"/>
            <w:hideMark/>
          </w:tcPr>
          <w:p w:rsidR="002143AE" w:rsidRPr="002143AE" w:rsidRDefault="002143AE" w:rsidP="002143AE">
            <w:pPr>
              <w:jc w:val="center"/>
              <w:rPr>
                <w:rFonts w:ascii="Lucida Bright" w:hAnsi="Lucida Bright" w:cs="Calibri"/>
                <w:sz w:val="14"/>
                <w:szCs w:val="14"/>
                <w:lang w:val="es-ES"/>
              </w:rPr>
            </w:pPr>
            <w:r w:rsidRPr="002143AE">
              <w:rPr>
                <w:rFonts w:ascii="Lucida Bright" w:hAnsi="Lucida Bright" w:cs="Calibri"/>
                <w:sz w:val="14"/>
                <w:szCs w:val="14"/>
                <w:lang w:val="es-ES"/>
              </w:rPr>
              <w:t>Trasp. a activo no corriente mantenido para la venta (-)</w:t>
            </w:r>
          </w:p>
        </w:tc>
        <w:tc>
          <w:tcPr>
            <w:tcW w:w="0" w:type="auto"/>
            <w:tcBorders>
              <w:top w:val="single" w:sz="4" w:space="0" w:color="auto"/>
              <w:left w:val="nil"/>
              <w:bottom w:val="single" w:sz="4" w:space="0" w:color="auto"/>
              <w:right w:val="single" w:sz="4" w:space="0" w:color="auto"/>
            </w:tcBorders>
            <w:shd w:val="clear" w:color="000000" w:fill="CCFFCC"/>
            <w:vAlign w:val="center"/>
            <w:hideMark/>
          </w:tcPr>
          <w:p w:rsidR="002143AE" w:rsidRPr="002143AE" w:rsidRDefault="002143AE" w:rsidP="002143AE">
            <w:pPr>
              <w:jc w:val="center"/>
              <w:rPr>
                <w:rFonts w:ascii="Lucida Bright" w:hAnsi="Lucida Bright" w:cs="Calibri"/>
                <w:sz w:val="14"/>
                <w:szCs w:val="14"/>
                <w:lang w:val="es-ES"/>
              </w:rPr>
            </w:pPr>
            <w:r w:rsidRPr="002143AE">
              <w:rPr>
                <w:rFonts w:ascii="Lucida Bright" w:hAnsi="Lucida Bright" w:cs="Calibri"/>
                <w:sz w:val="14"/>
                <w:szCs w:val="14"/>
                <w:lang w:val="es-ES"/>
              </w:rPr>
              <w:t>Transf. a otros Org. Públ. y Ajustes contra patrimonio (+/-)</w:t>
            </w:r>
          </w:p>
        </w:tc>
        <w:tc>
          <w:tcPr>
            <w:tcW w:w="0" w:type="auto"/>
            <w:tcBorders>
              <w:top w:val="single" w:sz="4" w:space="0" w:color="auto"/>
              <w:left w:val="nil"/>
              <w:bottom w:val="single" w:sz="4" w:space="0" w:color="auto"/>
              <w:right w:val="single" w:sz="4" w:space="0" w:color="auto"/>
            </w:tcBorders>
            <w:shd w:val="clear" w:color="000000" w:fill="CCFFCC"/>
            <w:vAlign w:val="center"/>
            <w:hideMark/>
          </w:tcPr>
          <w:p w:rsidR="002143AE" w:rsidRPr="002143AE" w:rsidRDefault="002143AE" w:rsidP="002143AE">
            <w:pPr>
              <w:jc w:val="center"/>
              <w:rPr>
                <w:rFonts w:ascii="Lucida Bright" w:hAnsi="Lucida Bright" w:cs="Calibri"/>
                <w:sz w:val="14"/>
                <w:szCs w:val="14"/>
                <w:lang w:val="es-ES"/>
              </w:rPr>
            </w:pPr>
            <w:r w:rsidRPr="002143AE">
              <w:rPr>
                <w:rFonts w:ascii="Lucida Bright" w:hAnsi="Lucida Bright" w:cs="Calibri"/>
                <w:sz w:val="14"/>
                <w:szCs w:val="14"/>
                <w:lang w:val="es-ES"/>
              </w:rPr>
              <w:t>Saldo a</w:t>
            </w:r>
            <w:r w:rsidRPr="002143AE">
              <w:rPr>
                <w:rFonts w:ascii="Lucida Bright" w:hAnsi="Lucida Bright" w:cs="Calibri"/>
                <w:sz w:val="14"/>
                <w:szCs w:val="14"/>
                <w:lang w:val="es-ES"/>
              </w:rPr>
              <w:br/>
              <w:t>31-12-24</w:t>
            </w:r>
          </w:p>
        </w:tc>
      </w:tr>
      <w:tr w:rsidR="002143AE" w:rsidRPr="002143AE" w:rsidTr="00CE686F">
        <w:trPr>
          <w:trHeight w:val="210"/>
        </w:trPr>
        <w:tc>
          <w:tcPr>
            <w:tcW w:w="0" w:type="auto"/>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143AE" w:rsidRPr="002143AE" w:rsidRDefault="002143AE" w:rsidP="002143AE">
            <w:pPr>
              <w:rPr>
                <w:rFonts w:ascii="Lucida Bright" w:hAnsi="Lucida Bright" w:cs="Calibri"/>
                <w:b/>
                <w:bCs/>
                <w:sz w:val="14"/>
                <w:szCs w:val="14"/>
                <w:lang w:val="es-ES"/>
              </w:rPr>
            </w:pPr>
            <w:r w:rsidRPr="002143AE">
              <w:rPr>
                <w:rFonts w:ascii="Lucida Bright" w:hAnsi="Lucida Bright" w:cs="Calibri"/>
                <w:b/>
                <w:bCs/>
                <w:sz w:val="14"/>
                <w:szCs w:val="14"/>
                <w:lang w:val="es-ES"/>
              </w:rPr>
              <w:t xml:space="preserve"> b) Construcciones</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b/>
                <w:bCs/>
                <w:sz w:val="14"/>
                <w:szCs w:val="14"/>
                <w:lang w:val="es-ES"/>
              </w:rPr>
            </w:pPr>
            <w:r w:rsidRPr="002143AE">
              <w:rPr>
                <w:rFonts w:ascii="Lucida Bright" w:hAnsi="Lucida Bright" w:cs="Calibri"/>
                <w:b/>
                <w:bCs/>
                <w:sz w:val="14"/>
                <w:szCs w:val="14"/>
                <w:lang w:val="es-ES"/>
              </w:rPr>
              <w:t xml:space="preserve">42.484.985,38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b/>
                <w:bCs/>
                <w:sz w:val="14"/>
                <w:szCs w:val="14"/>
                <w:lang w:val="es-ES"/>
              </w:rPr>
            </w:pPr>
            <w:r w:rsidRPr="002143AE">
              <w:rPr>
                <w:rFonts w:ascii="Lucida Bright" w:hAnsi="Lucida Bright" w:cs="Calibri"/>
                <w:b/>
                <w:bCs/>
                <w:sz w:val="14"/>
                <w:szCs w:val="14"/>
                <w:lang w:val="es-ES"/>
              </w:rPr>
              <w:t xml:space="preserve">1.526.486,45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b/>
                <w:bCs/>
                <w:sz w:val="14"/>
                <w:szCs w:val="14"/>
                <w:lang w:val="es-ES"/>
              </w:rPr>
            </w:pPr>
            <w:r w:rsidRPr="002143AE">
              <w:rPr>
                <w:rFonts w:ascii="Lucida Bright" w:hAnsi="Lucida Bright" w:cs="Calibri"/>
                <w:b/>
                <w:bCs/>
                <w:sz w:val="14"/>
                <w:szCs w:val="14"/>
                <w:lang w:val="es-ES"/>
              </w:rPr>
              <w:t xml:space="preserve">(47.012,53)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b/>
                <w:bCs/>
                <w:sz w:val="14"/>
                <w:szCs w:val="14"/>
                <w:lang w:val="es-ES"/>
              </w:rPr>
            </w:pPr>
            <w:r w:rsidRPr="002143A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b/>
                <w:bCs/>
                <w:sz w:val="14"/>
                <w:szCs w:val="14"/>
                <w:lang w:val="es-ES"/>
              </w:rPr>
            </w:pPr>
            <w:r w:rsidRPr="002143A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b/>
                <w:bCs/>
                <w:sz w:val="14"/>
                <w:szCs w:val="14"/>
                <w:lang w:val="es-ES"/>
              </w:rPr>
            </w:pPr>
            <w:r w:rsidRPr="002143A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b/>
                <w:bCs/>
                <w:sz w:val="14"/>
                <w:szCs w:val="14"/>
                <w:lang w:val="es-ES"/>
              </w:rPr>
            </w:pPr>
            <w:r w:rsidRPr="002143A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b/>
                <w:bCs/>
                <w:sz w:val="14"/>
                <w:szCs w:val="14"/>
                <w:lang w:val="es-ES"/>
              </w:rPr>
            </w:pPr>
            <w:r w:rsidRPr="002143AE">
              <w:rPr>
                <w:rFonts w:ascii="Lucida Bright" w:hAnsi="Lucida Bright" w:cs="Calibri"/>
                <w:b/>
                <w:bCs/>
                <w:sz w:val="14"/>
                <w:szCs w:val="14"/>
                <w:lang w:val="es-ES"/>
              </w:rPr>
              <w:t xml:space="preserve">43.964.459,30 </w:t>
            </w:r>
          </w:p>
        </w:tc>
      </w:tr>
      <w:tr w:rsidR="002143AE" w:rsidRPr="002143AE" w:rsidTr="00CE686F">
        <w:trPr>
          <w:trHeight w:val="21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xml:space="preserve">    Accesos marítimos</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r>
      <w:tr w:rsidR="002143AE" w:rsidRPr="002143AE" w:rsidTr="00CE686F">
        <w:trPr>
          <w:trHeight w:val="21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xml:space="preserve">    Obras de abrigo y defensa</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r>
      <w:tr w:rsidR="002143AE" w:rsidRPr="002143AE" w:rsidTr="00CE686F">
        <w:trPr>
          <w:trHeight w:val="21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xml:space="preserve">    Obras de atraque</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sz w:val="14"/>
                <w:szCs w:val="14"/>
                <w:lang w:val="es-ES"/>
              </w:rPr>
            </w:pPr>
            <w:r w:rsidRPr="002143AE">
              <w:rPr>
                <w:rFonts w:ascii="Lucida Bright" w:hAnsi="Lucida Bright" w:cs="Calibri"/>
                <w:sz w:val="14"/>
                <w:szCs w:val="14"/>
                <w:lang w:val="es-ES"/>
              </w:rPr>
              <w:t xml:space="preserve">949.761,84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sz w:val="14"/>
                <w:szCs w:val="14"/>
                <w:lang w:val="es-ES"/>
              </w:rPr>
            </w:pPr>
            <w:r w:rsidRPr="002143AE">
              <w:rPr>
                <w:rFonts w:ascii="Lucida Bright" w:hAnsi="Lucida Bright" w:cs="Calibri"/>
                <w:sz w:val="14"/>
                <w:szCs w:val="14"/>
                <w:lang w:val="es-ES"/>
              </w:rPr>
              <w:t xml:space="preserve">577.435,67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sz w:val="14"/>
                <w:szCs w:val="14"/>
                <w:lang w:val="es-ES"/>
              </w:rPr>
            </w:pPr>
            <w:r w:rsidRPr="002143AE">
              <w:rPr>
                <w:rFonts w:ascii="Lucida Bright" w:hAnsi="Lucida Bright" w:cs="Calibri"/>
                <w:sz w:val="14"/>
                <w:szCs w:val="14"/>
                <w:lang w:val="es-ES"/>
              </w:rPr>
              <w:t xml:space="preserve">1.527.197,51 </w:t>
            </w:r>
          </w:p>
        </w:tc>
      </w:tr>
      <w:tr w:rsidR="002143AE" w:rsidRPr="002143AE" w:rsidTr="00CE686F">
        <w:trPr>
          <w:trHeight w:val="21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xml:space="preserve">    Instalaciones para reparación de barcos</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sz w:val="14"/>
                <w:szCs w:val="14"/>
                <w:lang w:val="es-ES"/>
              </w:rPr>
            </w:pPr>
            <w:r w:rsidRPr="002143AE">
              <w:rPr>
                <w:rFonts w:ascii="Lucida Bright" w:hAnsi="Lucida Bright" w:cs="Calibri"/>
                <w:sz w:val="14"/>
                <w:szCs w:val="14"/>
                <w:lang w:val="es-ES"/>
              </w:rPr>
              <w:t xml:space="preserve">1.575.024,57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sz w:val="14"/>
                <w:szCs w:val="14"/>
                <w:lang w:val="es-ES"/>
              </w:rPr>
            </w:pPr>
            <w:r w:rsidRPr="002143AE">
              <w:rPr>
                <w:rFonts w:ascii="Lucida Bright" w:hAnsi="Lucida Bright" w:cs="Calibri"/>
                <w:sz w:val="14"/>
                <w:szCs w:val="14"/>
                <w:lang w:val="es-ES"/>
              </w:rPr>
              <w:t xml:space="preserve">5.419,14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sz w:val="14"/>
                <w:szCs w:val="14"/>
                <w:lang w:val="es-ES"/>
              </w:rPr>
            </w:pPr>
            <w:r w:rsidRPr="002143AE">
              <w:rPr>
                <w:rFonts w:ascii="Lucida Bright" w:hAnsi="Lucida Bright" w:cs="Calibri"/>
                <w:sz w:val="14"/>
                <w:szCs w:val="14"/>
                <w:lang w:val="es-ES"/>
              </w:rPr>
              <w:t xml:space="preserve">1.580.443,71 </w:t>
            </w:r>
          </w:p>
        </w:tc>
      </w:tr>
      <w:tr w:rsidR="002143AE" w:rsidRPr="002143AE" w:rsidTr="00CE686F">
        <w:trPr>
          <w:trHeight w:val="21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xml:space="preserve">    Edificaciones</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sz w:val="14"/>
                <w:szCs w:val="14"/>
                <w:lang w:val="es-ES"/>
              </w:rPr>
            </w:pPr>
            <w:r w:rsidRPr="002143AE">
              <w:rPr>
                <w:rFonts w:ascii="Lucida Bright" w:hAnsi="Lucida Bright" w:cs="Calibri"/>
                <w:sz w:val="14"/>
                <w:szCs w:val="14"/>
                <w:lang w:val="es-ES"/>
              </w:rPr>
              <w:t xml:space="preserve">12.403.301,49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sz w:val="14"/>
                <w:szCs w:val="14"/>
                <w:lang w:val="es-ES"/>
              </w:rPr>
            </w:pPr>
            <w:r w:rsidRPr="002143AE">
              <w:rPr>
                <w:rFonts w:ascii="Lucida Bright" w:hAnsi="Lucida Bright" w:cs="Calibri"/>
                <w:sz w:val="14"/>
                <w:szCs w:val="14"/>
                <w:lang w:val="es-ES"/>
              </w:rPr>
              <w:t xml:space="preserve">764.103,86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sz w:val="14"/>
                <w:szCs w:val="14"/>
                <w:lang w:val="es-ES"/>
              </w:rPr>
            </w:pPr>
            <w:r w:rsidRPr="002143AE">
              <w:rPr>
                <w:rFonts w:ascii="Lucida Bright" w:hAnsi="Lucida Bright" w:cs="Calibri"/>
                <w:sz w:val="14"/>
                <w:szCs w:val="14"/>
                <w:lang w:val="es-ES"/>
              </w:rPr>
              <w:t xml:space="preserve">(47.012,53)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sz w:val="14"/>
                <w:szCs w:val="14"/>
                <w:lang w:val="es-ES"/>
              </w:rPr>
            </w:pPr>
            <w:r w:rsidRPr="002143AE">
              <w:rPr>
                <w:rFonts w:ascii="Lucida Bright" w:hAnsi="Lucida Bright" w:cs="Calibri"/>
                <w:sz w:val="14"/>
                <w:szCs w:val="14"/>
                <w:lang w:val="es-ES"/>
              </w:rPr>
              <w:t xml:space="preserve">13.120.392,82 </w:t>
            </w:r>
          </w:p>
        </w:tc>
      </w:tr>
      <w:tr w:rsidR="002143AE" w:rsidRPr="002143AE" w:rsidTr="00CE686F">
        <w:trPr>
          <w:trHeight w:val="21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xml:space="preserve">    Instalaciones generales</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sz w:val="14"/>
                <w:szCs w:val="14"/>
                <w:lang w:val="es-ES"/>
              </w:rPr>
            </w:pPr>
            <w:r w:rsidRPr="002143AE">
              <w:rPr>
                <w:rFonts w:ascii="Lucida Bright" w:hAnsi="Lucida Bright" w:cs="Calibri"/>
                <w:sz w:val="14"/>
                <w:szCs w:val="14"/>
                <w:lang w:val="es-ES"/>
              </w:rPr>
              <w:t xml:space="preserve">1.141.139,40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sz w:val="14"/>
                <w:szCs w:val="14"/>
                <w:lang w:val="es-ES"/>
              </w:rPr>
            </w:pPr>
            <w:r w:rsidRPr="002143AE">
              <w:rPr>
                <w:rFonts w:ascii="Lucida Bright" w:hAnsi="Lucida Bright" w:cs="Calibri"/>
                <w:sz w:val="14"/>
                <w:szCs w:val="14"/>
                <w:lang w:val="es-ES"/>
              </w:rPr>
              <w:t xml:space="preserve">138.170,46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sz w:val="14"/>
                <w:szCs w:val="14"/>
                <w:lang w:val="es-ES"/>
              </w:rPr>
            </w:pPr>
            <w:r w:rsidRPr="002143AE">
              <w:rPr>
                <w:rFonts w:ascii="Lucida Bright" w:hAnsi="Lucida Bright" w:cs="Calibri"/>
                <w:sz w:val="14"/>
                <w:szCs w:val="14"/>
                <w:lang w:val="es-ES"/>
              </w:rPr>
              <w:t xml:space="preserve">1.279.309,86 </w:t>
            </w:r>
          </w:p>
        </w:tc>
      </w:tr>
      <w:tr w:rsidR="002143AE" w:rsidRPr="002143AE" w:rsidTr="00CE686F">
        <w:trPr>
          <w:trHeight w:val="21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xml:space="preserve">    Pavimentos, calzadas y vías de circulación</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sz w:val="14"/>
                <w:szCs w:val="14"/>
                <w:lang w:val="es-ES"/>
              </w:rPr>
            </w:pPr>
            <w:r w:rsidRPr="002143AE">
              <w:rPr>
                <w:rFonts w:ascii="Lucida Bright" w:hAnsi="Lucida Bright" w:cs="Calibri"/>
                <w:sz w:val="14"/>
                <w:szCs w:val="14"/>
                <w:lang w:val="es-ES"/>
              </w:rPr>
              <w:t xml:space="preserve">26.415.758,08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sz w:val="14"/>
                <w:szCs w:val="14"/>
                <w:lang w:val="es-ES"/>
              </w:rPr>
            </w:pPr>
            <w:r w:rsidRPr="002143AE">
              <w:rPr>
                <w:rFonts w:ascii="Lucida Bright" w:hAnsi="Lucida Bright" w:cs="Calibri"/>
                <w:sz w:val="14"/>
                <w:szCs w:val="14"/>
                <w:lang w:val="es-ES"/>
              </w:rPr>
              <w:t xml:space="preserve">41.357,32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rPr>
                <w:rFonts w:ascii="Lucida Bright" w:hAnsi="Lucida Bright" w:cs="Calibri"/>
                <w:sz w:val="14"/>
                <w:szCs w:val="14"/>
                <w:lang w:val="es-ES"/>
              </w:rPr>
            </w:pPr>
            <w:r w:rsidRPr="002143A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sz w:val="14"/>
                <w:szCs w:val="14"/>
                <w:lang w:val="es-ES"/>
              </w:rPr>
            </w:pPr>
            <w:r w:rsidRPr="002143AE">
              <w:rPr>
                <w:rFonts w:ascii="Lucida Bright" w:hAnsi="Lucida Bright" w:cs="Calibri"/>
                <w:sz w:val="14"/>
                <w:szCs w:val="14"/>
                <w:lang w:val="es-ES"/>
              </w:rPr>
              <w:t xml:space="preserve">26.457.115,40 </w:t>
            </w:r>
          </w:p>
        </w:tc>
      </w:tr>
      <w:tr w:rsidR="002143AE" w:rsidRPr="002143AE" w:rsidTr="00CE686F">
        <w:trPr>
          <w:trHeight w:val="210"/>
        </w:trPr>
        <w:tc>
          <w:tcPr>
            <w:tcW w:w="0" w:type="auto"/>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143AE" w:rsidRPr="002143AE" w:rsidRDefault="002143AE" w:rsidP="002143AE">
            <w:pPr>
              <w:jc w:val="center"/>
              <w:rPr>
                <w:rFonts w:ascii="Lucida Bright" w:hAnsi="Lucida Bright" w:cs="Calibri"/>
                <w:b/>
                <w:bCs/>
                <w:sz w:val="14"/>
                <w:szCs w:val="14"/>
                <w:lang w:val="es-ES"/>
              </w:rPr>
            </w:pPr>
            <w:r w:rsidRPr="002143AE">
              <w:rPr>
                <w:rFonts w:ascii="Lucida Bright" w:hAnsi="Lucida Bright" w:cs="Calibri"/>
                <w:b/>
                <w:bCs/>
                <w:sz w:val="14"/>
                <w:szCs w:val="14"/>
                <w:lang w:val="es-ES"/>
              </w:rPr>
              <w:t>TOTAL</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b/>
                <w:bCs/>
                <w:sz w:val="14"/>
                <w:szCs w:val="14"/>
                <w:lang w:val="es-ES"/>
              </w:rPr>
            </w:pPr>
            <w:r w:rsidRPr="002143AE">
              <w:rPr>
                <w:rFonts w:ascii="Lucida Bright" w:hAnsi="Lucida Bright" w:cs="Calibri"/>
                <w:b/>
                <w:bCs/>
                <w:sz w:val="14"/>
                <w:szCs w:val="14"/>
                <w:lang w:val="es-ES"/>
              </w:rPr>
              <w:t xml:space="preserve">42.484.985,38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b/>
                <w:bCs/>
                <w:sz w:val="14"/>
                <w:szCs w:val="14"/>
                <w:lang w:val="es-ES"/>
              </w:rPr>
            </w:pPr>
            <w:r w:rsidRPr="002143AE">
              <w:rPr>
                <w:rFonts w:ascii="Lucida Bright" w:hAnsi="Lucida Bright" w:cs="Calibri"/>
                <w:b/>
                <w:bCs/>
                <w:sz w:val="14"/>
                <w:szCs w:val="14"/>
                <w:lang w:val="es-ES"/>
              </w:rPr>
              <w:t xml:space="preserve">1.526.486,45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b/>
                <w:bCs/>
                <w:sz w:val="14"/>
                <w:szCs w:val="14"/>
                <w:lang w:val="es-ES"/>
              </w:rPr>
            </w:pPr>
            <w:r w:rsidRPr="002143AE">
              <w:rPr>
                <w:rFonts w:ascii="Lucida Bright" w:hAnsi="Lucida Bright" w:cs="Calibri"/>
                <w:b/>
                <w:bCs/>
                <w:sz w:val="14"/>
                <w:szCs w:val="14"/>
                <w:lang w:val="es-ES"/>
              </w:rPr>
              <w:t xml:space="preserve">(47.012,53)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b/>
                <w:bCs/>
                <w:sz w:val="14"/>
                <w:szCs w:val="14"/>
                <w:lang w:val="es-ES"/>
              </w:rPr>
            </w:pPr>
            <w:r w:rsidRPr="002143A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b/>
                <w:bCs/>
                <w:sz w:val="14"/>
                <w:szCs w:val="14"/>
                <w:lang w:val="es-ES"/>
              </w:rPr>
            </w:pPr>
            <w:r w:rsidRPr="002143A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b/>
                <w:bCs/>
                <w:sz w:val="14"/>
                <w:szCs w:val="14"/>
                <w:lang w:val="es-ES"/>
              </w:rPr>
            </w:pPr>
            <w:r w:rsidRPr="002143A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b/>
                <w:bCs/>
                <w:sz w:val="14"/>
                <w:szCs w:val="14"/>
                <w:lang w:val="es-ES"/>
              </w:rPr>
            </w:pPr>
            <w:r w:rsidRPr="002143A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2143AE" w:rsidRPr="002143AE" w:rsidRDefault="002143AE" w:rsidP="002143AE">
            <w:pPr>
              <w:jc w:val="right"/>
              <w:rPr>
                <w:rFonts w:ascii="Lucida Bright" w:hAnsi="Lucida Bright" w:cs="Calibri"/>
                <w:b/>
                <w:bCs/>
                <w:sz w:val="14"/>
                <w:szCs w:val="14"/>
                <w:lang w:val="es-ES"/>
              </w:rPr>
            </w:pPr>
            <w:r w:rsidRPr="002143AE">
              <w:rPr>
                <w:rFonts w:ascii="Lucida Bright" w:hAnsi="Lucida Bright" w:cs="Calibri"/>
                <w:b/>
                <w:bCs/>
                <w:sz w:val="14"/>
                <w:szCs w:val="14"/>
                <w:lang w:val="es-ES"/>
              </w:rPr>
              <w:t xml:space="preserve">43.964.459,30 </w:t>
            </w:r>
          </w:p>
        </w:tc>
      </w:tr>
    </w:tbl>
    <w:p w:rsidR="003A3F89" w:rsidRDefault="003A3F89" w:rsidP="008323F0">
      <w:pPr>
        <w:ind w:right="35"/>
        <w:rPr>
          <w:rFonts w:ascii="Lucida Bright" w:eastAsia="Lucida Bright" w:hAnsi="Lucida Bright" w:cs="Lucida Bright"/>
          <w:b/>
          <w:bCs/>
          <w:color w:val="000000"/>
          <w:sz w:val="14"/>
        </w:rPr>
        <w:sectPr w:rsidR="003A3F89" w:rsidSect="006351FC">
          <w:pgSz w:w="16840" w:h="11907" w:orient="landscape" w:code="9"/>
          <w:pgMar w:top="1276" w:right="1701" w:bottom="1418" w:left="1701" w:header="567" w:footer="720" w:gutter="0"/>
          <w:cols w:space="720"/>
          <w:docGrid w:linePitch="272"/>
        </w:sectPr>
      </w:pPr>
    </w:p>
    <w:tbl>
      <w:tblPr>
        <w:tblW w:w="5246" w:type="pct"/>
        <w:tblLayout w:type="fixed"/>
        <w:tblCellMar>
          <w:left w:w="70" w:type="dxa"/>
          <w:right w:w="70" w:type="dxa"/>
        </w:tblCellMar>
        <w:tblLook w:val="04A0" w:firstRow="1" w:lastRow="0" w:firstColumn="1" w:lastColumn="0" w:noHBand="0" w:noVBand="1"/>
      </w:tblPr>
      <w:tblGrid>
        <w:gridCol w:w="71"/>
        <w:gridCol w:w="3014"/>
        <w:gridCol w:w="197"/>
        <w:gridCol w:w="57"/>
        <w:gridCol w:w="1157"/>
        <w:gridCol w:w="51"/>
        <w:gridCol w:w="1071"/>
        <w:gridCol w:w="128"/>
        <w:gridCol w:w="835"/>
        <w:gridCol w:w="179"/>
        <w:gridCol w:w="841"/>
        <w:gridCol w:w="556"/>
        <w:gridCol w:w="433"/>
        <w:gridCol w:w="396"/>
        <w:gridCol w:w="1009"/>
        <w:gridCol w:w="66"/>
        <w:gridCol w:w="1074"/>
        <w:gridCol w:w="852"/>
        <w:gridCol w:w="994"/>
        <w:gridCol w:w="1265"/>
      </w:tblGrid>
      <w:tr w:rsidR="000C7AB7" w:rsidRPr="001B6503" w:rsidTr="00CE686F">
        <w:trPr>
          <w:trHeight w:val="300"/>
        </w:trPr>
        <w:tc>
          <w:tcPr>
            <w:tcW w:w="2309" w:type="pct"/>
            <w:gridSpan w:val="9"/>
            <w:tcBorders>
              <w:top w:val="nil"/>
              <w:left w:val="nil"/>
              <w:bottom w:val="single" w:sz="4" w:space="0" w:color="auto"/>
              <w:right w:val="nil"/>
            </w:tcBorders>
            <w:shd w:val="clear" w:color="auto" w:fill="auto"/>
            <w:noWrap/>
            <w:vAlign w:val="bottom"/>
            <w:hideMark/>
          </w:tcPr>
          <w:p w:rsidR="001B6503" w:rsidRPr="001B6503" w:rsidRDefault="001B6503" w:rsidP="001B6503">
            <w:pPr>
              <w:rPr>
                <w:rFonts w:ascii="Lucida Bright" w:hAnsi="Lucida Bright" w:cs="Calibri"/>
                <w:b/>
                <w:bCs/>
                <w:sz w:val="18"/>
                <w:szCs w:val="18"/>
                <w:lang w:val="es-ES"/>
              </w:rPr>
            </w:pPr>
            <w:r w:rsidRPr="001B6503">
              <w:rPr>
                <w:rFonts w:ascii="Lucida Bright" w:hAnsi="Lucida Bright" w:cs="Calibri"/>
                <w:b/>
                <w:bCs/>
                <w:sz w:val="18"/>
                <w:szCs w:val="18"/>
                <w:lang w:val="es-ES"/>
              </w:rPr>
              <w:lastRenderedPageBreak/>
              <w:t>CUADRO: INVERSIONES INMOBILIARIAS 2023</w:t>
            </w:r>
          </w:p>
        </w:tc>
        <w:tc>
          <w:tcPr>
            <w:tcW w:w="358" w:type="pct"/>
            <w:gridSpan w:val="2"/>
            <w:tcBorders>
              <w:top w:val="nil"/>
              <w:left w:val="nil"/>
              <w:bottom w:val="nil"/>
              <w:right w:val="nil"/>
            </w:tcBorders>
            <w:shd w:val="clear" w:color="000000" w:fill="FFFFFF"/>
            <w:noWrap/>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47" w:type="pct"/>
            <w:gridSpan w:val="2"/>
            <w:tcBorders>
              <w:top w:val="nil"/>
              <w:left w:val="nil"/>
              <w:bottom w:val="nil"/>
              <w:right w:val="nil"/>
            </w:tcBorders>
            <w:shd w:val="clear" w:color="000000" w:fill="FFFFFF"/>
            <w:noWrap/>
            <w:vAlign w:val="bottom"/>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(en euros)</w:t>
            </w:r>
          </w:p>
        </w:tc>
        <w:tc>
          <w:tcPr>
            <w:tcW w:w="493" w:type="pct"/>
            <w:gridSpan w:val="2"/>
            <w:tcBorders>
              <w:top w:val="nil"/>
              <w:left w:val="nil"/>
              <w:bottom w:val="nil"/>
              <w:right w:val="nil"/>
            </w:tcBorders>
            <w:shd w:val="clear" w:color="000000" w:fill="FFFFFF"/>
            <w:noWrap/>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99" w:type="pct"/>
            <w:gridSpan w:val="2"/>
            <w:tcBorders>
              <w:top w:val="nil"/>
              <w:left w:val="nil"/>
              <w:bottom w:val="nil"/>
              <w:right w:val="nil"/>
            </w:tcBorders>
            <w:shd w:val="clear" w:color="000000" w:fill="FFFFFF"/>
            <w:noWrap/>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299" w:type="pct"/>
            <w:tcBorders>
              <w:top w:val="nil"/>
              <w:left w:val="nil"/>
              <w:bottom w:val="nil"/>
              <w:right w:val="nil"/>
            </w:tcBorders>
            <w:shd w:val="clear" w:color="000000" w:fill="FFFFFF"/>
            <w:noWrap/>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49" w:type="pct"/>
            <w:tcBorders>
              <w:top w:val="nil"/>
              <w:left w:val="nil"/>
              <w:bottom w:val="nil"/>
              <w:right w:val="nil"/>
            </w:tcBorders>
            <w:shd w:val="clear" w:color="000000" w:fill="FFFFFF"/>
            <w:noWrap/>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445" w:type="pct"/>
            <w:tcBorders>
              <w:top w:val="nil"/>
              <w:left w:val="nil"/>
              <w:bottom w:val="nil"/>
              <w:right w:val="nil"/>
            </w:tcBorders>
            <w:shd w:val="clear" w:color="000000" w:fill="FFFFFF"/>
            <w:noWrap/>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r>
      <w:tr w:rsidR="000C7AB7" w:rsidRPr="001B6503" w:rsidTr="00CE686F">
        <w:trPr>
          <w:trHeight w:val="900"/>
        </w:trPr>
        <w:tc>
          <w:tcPr>
            <w:tcW w:w="1083" w:type="pct"/>
            <w:gridSpan w:val="2"/>
            <w:tcBorders>
              <w:top w:val="nil"/>
              <w:left w:val="single" w:sz="4" w:space="0" w:color="auto"/>
              <w:bottom w:val="single" w:sz="4" w:space="0" w:color="auto"/>
              <w:right w:val="nil"/>
            </w:tcBorders>
            <w:shd w:val="clear" w:color="000000" w:fill="CCFFCC"/>
            <w:noWrap/>
            <w:vAlign w:val="center"/>
            <w:hideMark/>
          </w:tcPr>
          <w:p w:rsidR="001B6503" w:rsidRPr="001B6503" w:rsidRDefault="001B6503" w:rsidP="001B6503">
            <w:pPr>
              <w:jc w:val="center"/>
              <w:rPr>
                <w:rFonts w:ascii="Lucida Bright" w:hAnsi="Lucida Bright" w:cs="Calibri"/>
                <w:b/>
                <w:bCs/>
                <w:sz w:val="14"/>
                <w:szCs w:val="14"/>
                <w:lang w:val="es-ES"/>
              </w:rPr>
            </w:pPr>
            <w:r w:rsidRPr="001B6503">
              <w:rPr>
                <w:rFonts w:ascii="Lucida Bright" w:hAnsi="Lucida Bright" w:cs="Calibri"/>
                <w:b/>
                <w:bCs/>
                <w:sz w:val="14"/>
                <w:szCs w:val="14"/>
                <w:lang w:val="es-ES"/>
              </w:rPr>
              <w:t>CONCEPTO</w:t>
            </w:r>
          </w:p>
        </w:tc>
        <w:tc>
          <w:tcPr>
            <w:tcW w:w="68" w:type="pct"/>
            <w:tcBorders>
              <w:top w:val="nil"/>
              <w:left w:val="nil"/>
              <w:bottom w:val="single" w:sz="4" w:space="0" w:color="auto"/>
              <w:right w:val="single" w:sz="4" w:space="0" w:color="auto"/>
            </w:tcBorders>
            <w:shd w:val="clear" w:color="000000" w:fill="CCFFCC"/>
            <w:noWrap/>
            <w:vAlign w:val="bottom"/>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426" w:type="pct"/>
            <w:gridSpan w:val="2"/>
            <w:tcBorders>
              <w:top w:val="nil"/>
              <w:left w:val="nil"/>
              <w:bottom w:val="nil"/>
              <w:right w:val="single" w:sz="4" w:space="0" w:color="auto"/>
            </w:tcBorders>
            <w:shd w:val="clear" w:color="000000" w:fill="CCFFCC"/>
            <w:vAlign w:val="center"/>
            <w:hideMark/>
          </w:tcPr>
          <w:p w:rsidR="001B6503" w:rsidRPr="001B6503" w:rsidRDefault="001B6503" w:rsidP="001B6503">
            <w:pPr>
              <w:jc w:val="center"/>
              <w:rPr>
                <w:rFonts w:ascii="Lucida Bright" w:hAnsi="Lucida Bright" w:cs="Calibri"/>
                <w:sz w:val="14"/>
                <w:szCs w:val="14"/>
                <w:lang w:val="es-ES"/>
              </w:rPr>
            </w:pPr>
            <w:r w:rsidRPr="001B6503">
              <w:rPr>
                <w:rFonts w:ascii="Lucida Bright" w:hAnsi="Lucida Bright" w:cs="Calibri"/>
                <w:sz w:val="14"/>
                <w:szCs w:val="14"/>
                <w:lang w:val="es-ES"/>
              </w:rPr>
              <w:t>Saldo a</w:t>
            </w:r>
            <w:r w:rsidRPr="001B6503">
              <w:rPr>
                <w:rFonts w:ascii="Lucida Bright" w:hAnsi="Lucida Bright" w:cs="Calibri"/>
                <w:sz w:val="14"/>
                <w:szCs w:val="14"/>
                <w:lang w:val="es-ES"/>
              </w:rPr>
              <w:br/>
              <w:t>31-12-22</w:t>
            </w:r>
          </w:p>
        </w:tc>
        <w:tc>
          <w:tcPr>
            <w:tcW w:w="394" w:type="pct"/>
            <w:gridSpan w:val="2"/>
            <w:tcBorders>
              <w:top w:val="nil"/>
              <w:left w:val="nil"/>
              <w:bottom w:val="single" w:sz="4" w:space="0" w:color="auto"/>
              <w:right w:val="single" w:sz="4" w:space="0" w:color="auto"/>
            </w:tcBorders>
            <w:shd w:val="clear" w:color="000000" w:fill="CCFFCC"/>
            <w:vAlign w:val="center"/>
            <w:hideMark/>
          </w:tcPr>
          <w:p w:rsidR="001B6503" w:rsidRPr="001B6503" w:rsidRDefault="001B6503" w:rsidP="001B6503">
            <w:pPr>
              <w:jc w:val="center"/>
              <w:rPr>
                <w:rFonts w:ascii="Lucida Bright" w:hAnsi="Lucida Bright" w:cs="Calibri"/>
                <w:sz w:val="14"/>
                <w:szCs w:val="14"/>
                <w:lang w:val="es-ES"/>
              </w:rPr>
            </w:pPr>
            <w:r w:rsidRPr="001B6503">
              <w:rPr>
                <w:rFonts w:ascii="Lucida Bright" w:hAnsi="Lucida Bright" w:cs="Calibri"/>
                <w:sz w:val="14"/>
                <w:szCs w:val="14"/>
                <w:lang w:val="es-ES"/>
              </w:rPr>
              <w:t>Adquisiciones (+)</w:t>
            </w:r>
          </w:p>
        </w:tc>
        <w:tc>
          <w:tcPr>
            <w:tcW w:w="338" w:type="pct"/>
            <w:gridSpan w:val="2"/>
            <w:tcBorders>
              <w:top w:val="nil"/>
              <w:left w:val="nil"/>
              <w:bottom w:val="single" w:sz="4" w:space="0" w:color="auto"/>
              <w:right w:val="single" w:sz="4" w:space="0" w:color="auto"/>
            </w:tcBorders>
            <w:shd w:val="clear" w:color="000000" w:fill="CCFFCC"/>
            <w:vAlign w:val="center"/>
            <w:hideMark/>
          </w:tcPr>
          <w:p w:rsidR="001B6503" w:rsidRPr="001B6503" w:rsidRDefault="001B6503" w:rsidP="001B6503">
            <w:pPr>
              <w:jc w:val="center"/>
              <w:rPr>
                <w:rFonts w:ascii="Lucida Bright" w:hAnsi="Lucida Bright" w:cs="Calibri"/>
                <w:sz w:val="14"/>
                <w:szCs w:val="14"/>
                <w:lang w:val="es-ES"/>
              </w:rPr>
            </w:pPr>
            <w:r w:rsidRPr="001B6503">
              <w:rPr>
                <w:rFonts w:ascii="Lucida Bright" w:hAnsi="Lucida Bright" w:cs="Calibri"/>
                <w:sz w:val="14"/>
                <w:szCs w:val="14"/>
                <w:lang w:val="es-ES"/>
              </w:rPr>
              <w:t>Concesiones revertidas, donaciones y legados (+)</w:t>
            </w:r>
          </w:p>
        </w:tc>
        <w:tc>
          <w:tcPr>
            <w:tcW w:w="358" w:type="pct"/>
            <w:gridSpan w:val="2"/>
            <w:tcBorders>
              <w:top w:val="single" w:sz="4" w:space="0" w:color="auto"/>
              <w:left w:val="nil"/>
              <w:bottom w:val="single" w:sz="4" w:space="0" w:color="auto"/>
              <w:right w:val="single" w:sz="4" w:space="0" w:color="auto"/>
            </w:tcBorders>
            <w:shd w:val="clear" w:color="000000" w:fill="CCFFCC"/>
            <w:vAlign w:val="center"/>
            <w:hideMark/>
          </w:tcPr>
          <w:p w:rsidR="001B6503" w:rsidRPr="001B6503" w:rsidRDefault="001B6503" w:rsidP="001B6503">
            <w:pPr>
              <w:jc w:val="center"/>
              <w:rPr>
                <w:rFonts w:ascii="Lucida Bright" w:hAnsi="Lucida Bright" w:cs="Calibri"/>
                <w:sz w:val="14"/>
                <w:szCs w:val="14"/>
                <w:lang w:val="es-ES"/>
              </w:rPr>
            </w:pPr>
            <w:r w:rsidRPr="001B6503">
              <w:rPr>
                <w:rFonts w:ascii="Lucida Bright" w:hAnsi="Lucida Bright" w:cs="Calibri"/>
                <w:sz w:val="14"/>
                <w:szCs w:val="14"/>
                <w:lang w:val="es-ES"/>
              </w:rPr>
              <w:t>Rescate anticipado de concesiones (+)</w:t>
            </w:r>
          </w:p>
        </w:tc>
        <w:tc>
          <w:tcPr>
            <w:tcW w:w="347" w:type="pct"/>
            <w:gridSpan w:val="2"/>
            <w:tcBorders>
              <w:top w:val="single" w:sz="4" w:space="0" w:color="auto"/>
              <w:left w:val="nil"/>
              <w:bottom w:val="single" w:sz="4" w:space="0" w:color="auto"/>
              <w:right w:val="single" w:sz="4" w:space="0" w:color="auto"/>
            </w:tcBorders>
            <w:shd w:val="clear" w:color="000000" w:fill="CCFFCC"/>
            <w:vAlign w:val="center"/>
            <w:hideMark/>
          </w:tcPr>
          <w:p w:rsidR="001B6503" w:rsidRPr="001B6503" w:rsidRDefault="001B6503" w:rsidP="001B6503">
            <w:pPr>
              <w:jc w:val="center"/>
              <w:rPr>
                <w:rFonts w:ascii="Lucida Bright" w:hAnsi="Lucida Bright" w:cs="Calibri"/>
                <w:sz w:val="14"/>
                <w:szCs w:val="14"/>
                <w:lang w:val="es-ES"/>
              </w:rPr>
            </w:pPr>
            <w:r w:rsidRPr="001B6503">
              <w:rPr>
                <w:rFonts w:ascii="Lucida Bright" w:hAnsi="Lucida Bright" w:cs="Calibri"/>
                <w:sz w:val="14"/>
                <w:szCs w:val="14"/>
                <w:lang w:val="es-ES"/>
              </w:rPr>
              <w:t>Ventas, retiros y bajas (-)</w:t>
            </w:r>
          </w:p>
        </w:tc>
        <w:tc>
          <w:tcPr>
            <w:tcW w:w="493" w:type="pct"/>
            <w:gridSpan w:val="2"/>
            <w:tcBorders>
              <w:top w:val="single" w:sz="4" w:space="0" w:color="auto"/>
              <w:left w:val="nil"/>
              <w:bottom w:val="nil"/>
              <w:right w:val="single" w:sz="4" w:space="0" w:color="auto"/>
            </w:tcBorders>
            <w:shd w:val="clear" w:color="000000" w:fill="CCFFCC"/>
            <w:vAlign w:val="center"/>
            <w:hideMark/>
          </w:tcPr>
          <w:p w:rsidR="001B6503" w:rsidRPr="001B6503" w:rsidRDefault="001B6503" w:rsidP="001B6503">
            <w:pPr>
              <w:jc w:val="center"/>
              <w:rPr>
                <w:rFonts w:ascii="Lucida Bright" w:hAnsi="Lucida Bright" w:cs="Calibri"/>
                <w:sz w:val="14"/>
                <w:szCs w:val="14"/>
                <w:lang w:val="es-ES"/>
              </w:rPr>
            </w:pPr>
            <w:r w:rsidRPr="001B6503">
              <w:rPr>
                <w:rFonts w:ascii="Lucida Bright" w:hAnsi="Lucida Bright" w:cs="Calibri"/>
                <w:sz w:val="14"/>
                <w:szCs w:val="14"/>
                <w:lang w:val="es-ES"/>
              </w:rPr>
              <w:t>Reclasificaciones (+/-)</w:t>
            </w:r>
          </w:p>
        </w:tc>
        <w:tc>
          <w:tcPr>
            <w:tcW w:w="399" w:type="pct"/>
            <w:gridSpan w:val="2"/>
            <w:tcBorders>
              <w:top w:val="single" w:sz="4" w:space="0" w:color="auto"/>
              <w:left w:val="nil"/>
              <w:bottom w:val="nil"/>
              <w:right w:val="single" w:sz="4" w:space="0" w:color="auto"/>
            </w:tcBorders>
            <w:shd w:val="clear" w:color="000000" w:fill="CCFFCC"/>
            <w:vAlign w:val="center"/>
            <w:hideMark/>
          </w:tcPr>
          <w:p w:rsidR="001B6503" w:rsidRPr="001B6503" w:rsidRDefault="001B6503" w:rsidP="001B6503">
            <w:pPr>
              <w:jc w:val="center"/>
              <w:rPr>
                <w:rFonts w:ascii="Lucida Bright" w:hAnsi="Lucida Bright" w:cs="Calibri"/>
                <w:sz w:val="14"/>
                <w:szCs w:val="14"/>
                <w:lang w:val="es-ES"/>
              </w:rPr>
            </w:pPr>
            <w:r w:rsidRPr="001B6503">
              <w:rPr>
                <w:rFonts w:ascii="Lucida Bright" w:hAnsi="Lucida Bright" w:cs="Calibri"/>
                <w:sz w:val="14"/>
                <w:szCs w:val="14"/>
                <w:lang w:val="es-ES"/>
              </w:rPr>
              <w:t>Traspaso a/de inmovilizado material (+/-)</w:t>
            </w:r>
          </w:p>
        </w:tc>
        <w:tc>
          <w:tcPr>
            <w:tcW w:w="299" w:type="pct"/>
            <w:tcBorders>
              <w:top w:val="single" w:sz="4" w:space="0" w:color="auto"/>
              <w:left w:val="nil"/>
              <w:bottom w:val="nil"/>
              <w:right w:val="single" w:sz="4" w:space="0" w:color="auto"/>
            </w:tcBorders>
            <w:shd w:val="clear" w:color="000000" w:fill="CCFFCC"/>
            <w:vAlign w:val="center"/>
            <w:hideMark/>
          </w:tcPr>
          <w:p w:rsidR="001B6503" w:rsidRPr="001B6503" w:rsidRDefault="001B6503" w:rsidP="001B6503">
            <w:pPr>
              <w:jc w:val="center"/>
              <w:rPr>
                <w:rFonts w:ascii="Lucida Bright" w:hAnsi="Lucida Bright" w:cs="Calibri"/>
                <w:sz w:val="14"/>
                <w:szCs w:val="14"/>
                <w:lang w:val="es-ES"/>
              </w:rPr>
            </w:pPr>
            <w:r w:rsidRPr="001B6503">
              <w:rPr>
                <w:rFonts w:ascii="Lucida Bright" w:hAnsi="Lucida Bright" w:cs="Calibri"/>
                <w:sz w:val="14"/>
                <w:szCs w:val="14"/>
                <w:lang w:val="es-ES"/>
              </w:rPr>
              <w:t>Traspaso a activo no corriente mantenido para la venta (-)</w:t>
            </w:r>
          </w:p>
        </w:tc>
        <w:tc>
          <w:tcPr>
            <w:tcW w:w="349" w:type="pct"/>
            <w:tcBorders>
              <w:top w:val="single" w:sz="4" w:space="0" w:color="auto"/>
              <w:left w:val="nil"/>
              <w:bottom w:val="nil"/>
              <w:right w:val="single" w:sz="4" w:space="0" w:color="auto"/>
            </w:tcBorders>
            <w:shd w:val="clear" w:color="000000" w:fill="CCFFCC"/>
            <w:vAlign w:val="center"/>
            <w:hideMark/>
          </w:tcPr>
          <w:p w:rsidR="001B6503" w:rsidRPr="001B6503" w:rsidRDefault="001B6503" w:rsidP="001B6503">
            <w:pPr>
              <w:jc w:val="center"/>
              <w:rPr>
                <w:rFonts w:ascii="Lucida Bright" w:hAnsi="Lucida Bright" w:cs="Calibri"/>
                <w:sz w:val="14"/>
                <w:szCs w:val="14"/>
                <w:lang w:val="es-ES"/>
              </w:rPr>
            </w:pPr>
            <w:r w:rsidRPr="001B6503">
              <w:rPr>
                <w:rFonts w:ascii="Lucida Bright" w:hAnsi="Lucida Bright" w:cs="Calibri"/>
                <w:sz w:val="14"/>
                <w:szCs w:val="14"/>
                <w:lang w:val="es-ES"/>
              </w:rPr>
              <w:t>Transf. a otros Org. Públ. y Ajustes contra patrimonio (+/-)</w:t>
            </w:r>
          </w:p>
        </w:tc>
        <w:tc>
          <w:tcPr>
            <w:tcW w:w="445" w:type="pct"/>
            <w:tcBorders>
              <w:top w:val="single" w:sz="4" w:space="0" w:color="auto"/>
              <w:left w:val="nil"/>
              <w:bottom w:val="nil"/>
              <w:right w:val="single" w:sz="4" w:space="0" w:color="auto"/>
            </w:tcBorders>
            <w:shd w:val="clear" w:color="000000" w:fill="CCFFCC"/>
            <w:vAlign w:val="center"/>
            <w:hideMark/>
          </w:tcPr>
          <w:p w:rsidR="001B6503" w:rsidRPr="001B6503" w:rsidRDefault="001B6503" w:rsidP="001B6503">
            <w:pPr>
              <w:jc w:val="center"/>
              <w:rPr>
                <w:rFonts w:ascii="Lucida Bright" w:hAnsi="Lucida Bright" w:cs="Calibri"/>
                <w:sz w:val="14"/>
                <w:szCs w:val="14"/>
                <w:lang w:val="es-ES"/>
              </w:rPr>
            </w:pPr>
            <w:r w:rsidRPr="001B6503">
              <w:rPr>
                <w:rFonts w:ascii="Lucida Bright" w:hAnsi="Lucida Bright" w:cs="Calibri"/>
                <w:sz w:val="14"/>
                <w:szCs w:val="14"/>
                <w:lang w:val="es-ES"/>
              </w:rPr>
              <w:t>Saldo a</w:t>
            </w:r>
            <w:r w:rsidRPr="001B6503">
              <w:rPr>
                <w:rFonts w:ascii="Lucida Bright" w:hAnsi="Lucida Bright" w:cs="Calibri"/>
                <w:sz w:val="14"/>
                <w:szCs w:val="14"/>
                <w:lang w:val="es-ES"/>
              </w:rPr>
              <w:br/>
              <w:t>31-12-23</w:t>
            </w:r>
          </w:p>
        </w:tc>
      </w:tr>
      <w:tr w:rsidR="000C7AB7" w:rsidRPr="001B6503" w:rsidTr="00CE686F">
        <w:trPr>
          <w:trHeight w:val="210"/>
        </w:trPr>
        <w:tc>
          <w:tcPr>
            <w:tcW w:w="1152"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b/>
                <w:bCs/>
                <w:sz w:val="14"/>
                <w:szCs w:val="14"/>
                <w:lang w:val="es-ES"/>
              </w:rPr>
            </w:pPr>
            <w:r w:rsidRPr="001B6503">
              <w:rPr>
                <w:rFonts w:ascii="Lucida Bright" w:hAnsi="Lucida Bright" w:cs="Calibri"/>
                <w:b/>
                <w:bCs/>
                <w:sz w:val="14"/>
                <w:szCs w:val="14"/>
                <w:lang w:val="es-ES"/>
              </w:rPr>
              <w:t xml:space="preserve"> a) Terrenos</w:t>
            </w:r>
          </w:p>
        </w:tc>
        <w:tc>
          <w:tcPr>
            <w:tcW w:w="426"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64.033.614,39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b/>
                <w:bCs/>
                <w:sz w:val="14"/>
                <w:szCs w:val="14"/>
                <w:lang w:val="es-ES"/>
              </w:rPr>
            </w:pPr>
            <w:r w:rsidRPr="001B6503">
              <w:rPr>
                <w:rFonts w:ascii="Lucida Bright" w:hAnsi="Lucida Bright" w:cs="Calibri"/>
                <w:b/>
                <w:bCs/>
                <w:sz w:val="14"/>
                <w:szCs w:val="14"/>
                <w:lang w:val="es-ES"/>
              </w:rPr>
              <w:t> </w:t>
            </w:r>
          </w:p>
        </w:tc>
        <w:tc>
          <w:tcPr>
            <w:tcW w:w="33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b/>
                <w:bCs/>
                <w:sz w:val="14"/>
                <w:szCs w:val="14"/>
                <w:lang w:val="es-ES"/>
              </w:rPr>
            </w:pPr>
            <w:r w:rsidRPr="001B6503">
              <w:rPr>
                <w:rFonts w:ascii="Lucida Bright" w:hAnsi="Lucida Bright" w:cs="Calibri"/>
                <w:b/>
                <w:bCs/>
                <w:sz w:val="14"/>
                <w:szCs w:val="14"/>
                <w:lang w:val="es-ES"/>
              </w:rPr>
              <w:t> </w:t>
            </w:r>
          </w:p>
        </w:tc>
        <w:tc>
          <w:tcPr>
            <w:tcW w:w="35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b/>
                <w:bCs/>
                <w:sz w:val="14"/>
                <w:szCs w:val="14"/>
                <w:lang w:val="es-ES"/>
              </w:rPr>
            </w:pPr>
            <w:r w:rsidRPr="001B6503">
              <w:rPr>
                <w:rFonts w:ascii="Lucida Bright" w:hAnsi="Lucida Bright" w:cs="Calibri"/>
                <w:b/>
                <w:bCs/>
                <w:sz w:val="14"/>
                <w:szCs w:val="14"/>
                <w:lang w:val="es-ES"/>
              </w:rPr>
              <w:t> </w:t>
            </w:r>
          </w:p>
        </w:tc>
        <w:tc>
          <w:tcPr>
            <w:tcW w:w="347"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b/>
                <w:bCs/>
                <w:sz w:val="14"/>
                <w:szCs w:val="14"/>
                <w:lang w:val="es-ES"/>
              </w:rPr>
            </w:pPr>
            <w:r w:rsidRPr="001B6503">
              <w:rPr>
                <w:rFonts w:ascii="Lucida Bright" w:hAnsi="Lucida Bright" w:cs="Calibri"/>
                <w:b/>
                <w:bCs/>
                <w:sz w:val="14"/>
                <w:szCs w:val="14"/>
                <w:lang w:val="es-ES"/>
              </w:rPr>
              <w:t> </w:t>
            </w:r>
          </w:p>
        </w:tc>
        <w:tc>
          <w:tcPr>
            <w:tcW w:w="493"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b/>
                <w:bCs/>
                <w:sz w:val="14"/>
                <w:szCs w:val="14"/>
                <w:lang w:val="es-ES"/>
              </w:rPr>
            </w:pPr>
            <w:r w:rsidRPr="001B6503">
              <w:rPr>
                <w:rFonts w:ascii="Lucida Bright" w:hAnsi="Lucida Bright" w:cs="Calibri"/>
                <w:b/>
                <w:bCs/>
                <w:sz w:val="14"/>
                <w:szCs w:val="14"/>
                <w:lang w:val="es-ES"/>
              </w:rPr>
              <w:t> </w:t>
            </w:r>
          </w:p>
        </w:tc>
        <w:tc>
          <w:tcPr>
            <w:tcW w:w="39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b/>
                <w:bCs/>
                <w:sz w:val="14"/>
                <w:szCs w:val="14"/>
                <w:lang w:val="es-ES"/>
              </w:rPr>
            </w:pPr>
            <w:r w:rsidRPr="001B6503">
              <w:rPr>
                <w:rFonts w:ascii="Lucida Bright" w:hAnsi="Lucida Bright" w:cs="Calibri"/>
                <w:b/>
                <w:bCs/>
                <w:sz w:val="14"/>
                <w:szCs w:val="14"/>
                <w:lang w:val="es-ES"/>
              </w:rPr>
              <w:t> </w:t>
            </w:r>
          </w:p>
        </w:tc>
        <w:tc>
          <w:tcPr>
            <w:tcW w:w="299" w:type="pct"/>
            <w:tcBorders>
              <w:top w:val="single" w:sz="4" w:space="0" w:color="auto"/>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b/>
                <w:bCs/>
                <w:sz w:val="14"/>
                <w:szCs w:val="14"/>
                <w:lang w:val="es-ES"/>
              </w:rPr>
            </w:pPr>
            <w:r w:rsidRPr="001B6503">
              <w:rPr>
                <w:rFonts w:ascii="Lucida Bright" w:hAnsi="Lucida Bright" w:cs="Calibri"/>
                <w:b/>
                <w:bCs/>
                <w:sz w:val="14"/>
                <w:szCs w:val="14"/>
                <w:lang w:val="es-ES"/>
              </w:rPr>
              <w:t> </w:t>
            </w:r>
          </w:p>
        </w:tc>
        <w:tc>
          <w:tcPr>
            <w:tcW w:w="349" w:type="pct"/>
            <w:tcBorders>
              <w:top w:val="single" w:sz="4" w:space="0" w:color="auto"/>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b/>
                <w:bCs/>
                <w:sz w:val="14"/>
                <w:szCs w:val="14"/>
                <w:lang w:val="es-ES"/>
              </w:rPr>
            </w:pPr>
            <w:r w:rsidRPr="001B6503">
              <w:rPr>
                <w:rFonts w:ascii="Lucida Bright" w:hAnsi="Lucida Bright" w:cs="Calibri"/>
                <w:b/>
                <w:bCs/>
                <w:sz w:val="14"/>
                <w:szCs w:val="14"/>
                <w:lang w:val="es-ES"/>
              </w:rPr>
              <w:t> </w:t>
            </w:r>
          </w:p>
        </w:tc>
        <w:tc>
          <w:tcPr>
            <w:tcW w:w="445" w:type="pct"/>
            <w:tcBorders>
              <w:top w:val="single" w:sz="4" w:space="0" w:color="auto"/>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64.033.614,39 </w:t>
            </w:r>
          </w:p>
        </w:tc>
      </w:tr>
      <w:tr w:rsidR="000C7AB7" w:rsidRPr="001B6503" w:rsidTr="00CE686F">
        <w:trPr>
          <w:trHeight w:val="210"/>
        </w:trPr>
        <w:tc>
          <w:tcPr>
            <w:tcW w:w="1152"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b/>
                <w:bCs/>
                <w:sz w:val="14"/>
                <w:szCs w:val="14"/>
                <w:lang w:val="es-ES"/>
              </w:rPr>
            </w:pPr>
            <w:r w:rsidRPr="001B6503">
              <w:rPr>
                <w:rFonts w:ascii="Lucida Bright" w:hAnsi="Lucida Bright" w:cs="Calibri"/>
                <w:b/>
                <w:bCs/>
                <w:sz w:val="14"/>
                <w:szCs w:val="14"/>
                <w:lang w:val="es-ES"/>
              </w:rPr>
              <w:t xml:space="preserve"> b) Construcciones</w:t>
            </w:r>
          </w:p>
        </w:tc>
        <w:tc>
          <w:tcPr>
            <w:tcW w:w="426"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61.926.308,18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 </w:t>
            </w:r>
          </w:p>
        </w:tc>
        <w:tc>
          <w:tcPr>
            <w:tcW w:w="33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 </w:t>
            </w:r>
          </w:p>
        </w:tc>
        <w:tc>
          <w:tcPr>
            <w:tcW w:w="35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 </w:t>
            </w:r>
          </w:p>
        </w:tc>
        <w:tc>
          <w:tcPr>
            <w:tcW w:w="347"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(91.671,62) </w:t>
            </w:r>
          </w:p>
        </w:tc>
        <w:tc>
          <w:tcPr>
            <w:tcW w:w="493"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(1,98) </w:t>
            </w:r>
          </w:p>
        </w:tc>
        <w:tc>
          <w:tcPr>
            <w:tcW w:w="399"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672.674,78 </w:t>
            </w:r>
          </w:p>
        </w:tc>
        <w:tc>
          <w:tcPr>
            <w:tcW w:w="299"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 </w:t>
            </w:r>
          </w:p>
        </w:tc>
        <w:tc>
          <w:tcPr>
            <w:tcW w:w="349"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 </w:t>
            </w:r>
          </w:p>
        </w:tc>
        <w:tc>
          <w:tcPr>
            <w:tcW w:w="445"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62.507.309,36 </w:t>
            </w:r>
          </w:p>
        </w:tc>
      </w:tr>
      <w:tr w:rsidR="000C7AB7" w:rsidRPr="001B6503" w:rsidTr="00CE686F">
        <w:trPr>
          <w:trHeight w:val="210"/>
        </w:trPr>
        <w:tc>
          <w:tcPr>
            <w:tcW w:w="1152"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xml:space="preserve">      Accesos marítimos</w:t>
            </w:r>
          </w:p>
        </w:tc>
        <w:tc>
          <w:tcPr>
            <w:tcW w:w="426"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3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5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47"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493"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99"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299"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49"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b/>
                <w:bCs/>
                <w:sz w:val="14"/>
                <w:szCs w:val="14"/>
                <w:lang w:val="es-ES"/>
              </w:rPr>
            </w:pPr>
            <w:r w:rsidRPr="001B6503">
              <w:rPr>
                <w:rFonts w:ascii="Lucida Bright" w:hAnsi="Lucida Bright" w:cs="Calibri"/>
                <w:b/>
                <w:bCs/>
                <w:sz w:val="14"/>
                <w:szCs w:val="14"/>
                <w:lang w:val="es-ES"/>
              </w:rPr>
              <w:t> </w:t>
            </w:r>
          </w:p>
        </w:tc>
      </w:tr>
      <w:tr w:rsidR="000C7AB7" w:rsidRPr="001B6503" w:rsidTr="00CE686F">
        <w:trPr>
          <w:trHeight w:val="210"/>
        </w:trPr>
        <w:tc>
          <w:tcPr>
            <w:tcW w:w="1152"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xml:space="preserve">      Obras de abrigo y defensa</w:t>
            </w:r>
          </w:p>
        </w:tc>
        <w:tc>
          <w:tcPr>
            <w:tcW w:w="426"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3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5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47"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493"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99"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299"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49"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b/>
                <w:bCs/>
                <w:sz w:val="14"/>
                <w:szCs w:val="14"/>
                <w:lang w:val="es-ES"/>
              </w:rPr>
            </w:pPr>
            <w:r w:rsidRPr="001B6503">
              <w:rPr>
                <w:rFonts w:ascii="Lucida Bright" w:hAnsi="Lucida Bright" w:cs="Calibri"/>
                <w:b/>
                <w:bCs/>
                <w:sz w:val="14"/>
                <w:szCs w:val="14"/>
                <w:lang w:val="es-ES"/>
              </w:rPr>
              <w:t> </w:t>
            </w:r>
          </w:p>
        </w:tc>
      </w:tr>
      <w:tr w:rsidR="000C7AB7" w:rsidRPr="001B6503" w:rsidTr="00CE686F">
        <w:trPr>
          <w:trHeight w:val="210"/>
        </w:trPr>
        <w:tc>
          <w:tcPr>
            <w:tcW w:w="1152"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xml:space="preserve">      Obras de atraque</w:t>
            </w:r>
          </w:p>
        </w:tc>
        <w:tc>
          <w:tcPr>
            <w:tcW w:w="426"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sz w:val="14"/>
                <w:szCs w:val="14"/>
                <w:lang w:val="es-ES"/>
              </w:rPr>
            </w:pPr>
            <w:r w:rsidRPr="001B6503">
              <w:rPr>
                <w:rFonts w:ascii="Lucida Bright" w:hAnsi="Lucida Bright" w:cs="Calibri"/>
                <w:sz w:val="14"/>
                <w:szCs w:val="14"/>
                <w:lang w:val="es-ES"/>
              </w:rPr>
              <w:t xml:space="preserve">4.650.022,86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3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5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47"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493"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99"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299"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49"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sz w:val="14"/>
                <w:szCs w:val="14"/>
                <w:lang w:val="es-ES"/>
              </w:rPr>
            </w:pPr>
            <w:r w:rsidRPr="001B6503">
              <w:rPr>
                <w:rFonts w:ascii="Lucida Bright" w:hAnsi="Lucida Bright" w:cs="Calibri"/>
                <w:sz w:val="14"/>
                <w:szCs w:val="14"/>
                <w:lang w:val="es-ES"/>
              </w:rPr>
              <w:t xml:space="preserve">4.650.022,86 </w:t>
            </w:r>
          </w:p>
        </w:tc>
      </w:tr>
      <w:tr w:rsidR="000C7AB7" w:rsidRPr="001B6503" w:rsidTr="00CE686F">
        <w:trPr>
          <w:trHeight w:val="210"/>
        </w:trPr>
        <w:tc>
          <w:tcPr>
            <w:tcW w:w="1152"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xml:space="preserve">      Instalaciones para reparación de barcos</w:t>
            </w:r>
          </w:p>
        </w:tc>
        <w:tc>
          <w:tcPr>
            <w:tcW w:w="426"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sz w:val="14"/>
                <w:szCs w:val="14"/>
                <w:lang w:val="es-ES"/>
              </w:rPr>
            </w:pPr>
            <w:r w:rsidRPr="001B6503">
              <w:rPr>
                <w:rFonts w:ascii="Lucida Bright" w:hAnsi="Lucida Bright" w:cs="Calibri"/>
                <w:sz w:val="14"/>
                <w:szCs w:val="14"/>
                <w:lang w:val="es-ES"/>
              </w:rPr>
              <w:t xml:space="preserve">1.578.464,86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3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5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47"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493"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sz w:val="14"/>
                <w:szCs w:val="14"/>
                <w:lang w:val="es-ES"/>
              </w:rPr>
            </w:pPr>
            <w:r w:rsidRPr="001B6503">
              <w:rPr>
                <w:rFonts w:ascii="Lucida Bright" w:hAnsi="Lucida Bright" w:cs="Calibri"/>
                <w:sz w:val="14"/>
                <w:szCs w:val="14"/>
                <w:lang w:val="es-ES"/>
              </w:rPr>
              <w:t xml:space="preserve">(1,98) </w:t>
            </w:r>
          </w:p>
        </w:tc>
        <w:tc>
          <w:tcPr>
            <w:tcW w:w="399"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299"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49"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sz w:val="14"/>
                <w:szCs w:val="14"/>
                <w:lang w:val="es-ES"/>
              </w:rPr>
            </w:pPr>
            <w:r w:rsidRPr="001B6503">
              <w:rPr>
                <w:rFonts w:ascii="Lucida Bright" w:hAnsi="Lucida Bright" w:cs="Calibri"/>
                <w:sz w:val="14"/>
                <w:szCs w:val="14"/>
                <w:lang w:val="es-ES"/>
              </w:rPr>
              <w:t xml:space="preserve">1.578.462,88 </w:t>
            </w:r>
          </w:p>
        </w:tc>
      </w:tr>
      <w:tr w:rsidR="000C7AB7" w:rsidRPr="001B6503" w:rsidTr="00CE686F">
        <w:trPr>
          <w:trHeight w:val="210"/>
        </w:trPr>
        <w:tc>
          <w:tcPr>
            <w:tcW w:w="1152"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xml:space="preserve">      Edificaciones</w:t>
            </w:r>
          </w:p>
        </w:tc>
        <w:tc>
          <w:tcPr>
            <w:tcW w:w="426"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sz w:val="14"/>
                <w:szCs w:val="14"/>
                <w:lang w:val="es-ES"/>
              </w:rPr>
            </w:pPr>
            <w:r w:rsidRPr="001B6503">
              <w:rPr>
                <w:rFonts w:ascii="Lucida Bright" w:hAnsi="Lucida Bright" w:cs="Calibri"/>
                <w:sz w:val="14"/>
                <w:szCs w:val="14"/>
                <w:lang w:val="es-ES"/>
              </w:rPr>
              <w:t xml:space="preserve">26.902.827,11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3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5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47"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sz w:val="14"/>
                <w:szCs w:val="14"/>
                <w:lang w:val="es-ES"/>
              </w:rPr>
            </w:pPr>
            <w:r w:rsidRPr="001B6503">
              <w:rPr>
                <w:rFonts w:ascii="Lucida Bright" w:hAnsi="Lucida Bright" w:cs="Calibri"/>
                <w:sz w:val="14"/>
                <w:szCs w:val="14"/>
                <w:lang w:val="es-ES"/>
              </w:rPr>
              <w:t xml:space="preserve">(91.671,62) </w:t>
            </w:r>
          </w:p>
        </w:tc>
        <w:tc>
          <w:tcPr>
            <w:tcW w:w="493"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99"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sz w:val="14"/>
                <w:szCs w:val="14"/>
                <w:lang w:val="es-ES"/>
              </w:rPr>
            </w:pPr>
            <w:r w:rsidRPr="001B6503">
              <w:rPr>
                <w:rFonts w:ascii="Lucida Bright" w:hAnsi="Lucida Bright" w:cs="Calibri"/>
                <w:sz w:val="14"/>
                <w:szCs w:val="14"/>
                <w:lang w:val="es-ES"/>
              </w:rPr>
              <w:t xml:space="preserve">672.674,78 </w:t>
            </w:r>
          </w:p>
        </w:tc>
        <w:tc>
          <w:tcPr>
            <w:tcW w:w="299"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49"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sz w:val="14"/>
                <w:szCs w:val="14"/>
                <w:lang w:val="es-ES"/>
              </w:rPr>
            </w:pPr>
            <w:r w:rsidRPr="001B6503">
              <w:rPr>
                <w:rFonts w:ascii="Lucida Bright" w:hAnsi="Lucida Bright" w:cs="Calibri"/>
                <w:sz w:val="14"/>
                <w:szCs w:val="14"/>
                <w:lang w:val="es-ES"/>
              </w:rPr>
              <w:t xml:space="preserve">27.483.830,27 </w:t>
            </w:r>
          </w:p>
        </w:tc>
      </w:tr>
      <w:tr w:rsidR="000C7AB7" w:rsidRPr="001B6503" w:rsidTr="00CE686F">
        <w:trPr>
          <w:trHeight w:val="210"/>
        </w:trPr>
        <w:tc>
          <w:tcPr>
            <w:tcW w:w="1152"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xml:space="preserve">      Instalaciones generales</w:t>
            </w:r>
          </w:p>
        </w:tc>
        <w:tc>
          <w:tcPr>
            <w:tcW w:w="426"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sz w:val="14"/>
                <w:szCs w:val="14"/>
                <w:lang w:val="es-ES"/>
              </w:rPr>
            </w:pPr>
            <w:r w:rsidRPr="001B6503">
              <w:rPr>
                <w:rFonts w:ascii="Lucida Bright" w:hAnsi="Lucida Bright" w:cs="Calibri"/>
                <w:sz w:val="14"/>
                <w:szCs w:val="14"/>
                <w:lang w:val="es-ES"/>
              </w:rPr>
              <w:t xml:space="preserve">2.194.104,23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3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5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47"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493"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99"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299"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49"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sz w:val="14"/>
                <w:szCs w:val="14"/>
                <w:lang w:val="es-ES"/>
              </w:rPr>
            </w:pPr>
            <w:r w:rsidRPr="001B6503">
              <w:rPr>
                <w:rFonts w:ascii="Lucida Bright" w:hAnsi="Lucida Bright" w:cs="Calibri"/>
                <w:sz w:val="14"/>
                <w:szCs w:val="14"/>
                <w:lang w:val="es-ES"/>
              </w:rPr>
              <w:t xml:space="preserve">2.194.104,23 </w:t>
            </w:r>
          </w:p>
        </w:tc>
      </w:tr>
      <w:tr w:rsidR="000C7AB7" w:rsidRPr="001B6503" w:rsidTr="00CE686F">
        <w:trPr>
          <w:trHeight w:val="210"/>
        </w:trPr>
        <w:tc>
          <w:tcPr>
            <w:tcW w:w="1152"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xml:space="preserve">      Pavimentos, calzadas y vías de circulación</w:t>
            </w:r>
          </w:p>
        </w:tc>
        <w:tc>
          <w:tcPr>
            <w:tcW w:w="426"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sz w:val="14"/>
                <w:szCs w:val="14"/>
                <w:lang w:val="es-ES"/>
              </w:rPr>
            </w:pPr>
            <w:r w:rsidRPr="001B6503">
              <w:rPr>
                <w:rFonts w:ascii="Lucida Bright" w:hAnsi="Lucida Bright" w:cs="Calibri"/>
                <w:sz w:val="14"/>
                <w:szCs w:val="14"/>
                <w:lang w:val="es-ES"/>
              </w:rPr>
              <w:t xml:space="preserve">26.600.889,12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3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5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47"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493"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99"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299"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349"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rPr>
                <w:rFonts w:ascii="Lucida Bright" w:hAnsi="Lucida Bright" w:cs="Calibri"/>
                <w:sz w:val="14"/>
                <w:szCs w:val="14"/>
                <w:lang w:val="es-ES"/>
              </w:rPr>
            </w:pPr>
            <w:r w:rsidRPr="001B6503">
              <w:rPr>
                <w:rFonts w:ascii="Lucida Bright" w:hAnsi="Lucida Bright" w:cs="Calibri"/>
                <w:sz w:val="14"/>
                <w:szCs w:val="14"/>
                <w:lang w:val="es-ES"/>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sz w:val="14"/>
                <w:szCs w:val="14"/>
                <w:lang w:val="es-ES"/>
              </w:rPr>
            </w:pPr>
            <w:r w:rsidRPr="001B6503">
              <w:rPr>
                <w:rFonts w:ascii="Lucida Bright" w:hAnsi="Lucida Bright" w:cs="Calibri"/>
                <w:sz w:val="14"/>
                <w:szCs w:val="14"/>
                <w:lang w:val="es-ES"/>
              </w:rPr>
              <w:t xml:space="preserve">26.600.889,12 </w:t>
            </w:r>
          </w:p>
        </w:tc>
      </w:tr>
      <w:tr w:rsidR="000C7AB7" w:rsidRPr="001B6503" w:rsidTr="00CE686F">
        <w:trPr>
          <w:trHeight w:val="210"/>
        </w:trPr>
        <w:tc>
          <w:tcPr>
            <w:tcW w:w="1152"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B6503" w:rsidRPr="001B6503" w:rsidRDefault="001B6503" w:rsidP="001B6503">
            <w:pPr>
              <w:jc w:val="center"/>
              <w:rPr>
                <w:rFonts w:ascii="Lucida Bright" w:hAnsi="Lucida Bright" w:cs="Calibri"/>
                <w:b/>
                <w:bCs/>
                <w:sz w:val="14"/>
                <w:szCs w:val="14"/>
                <w:lang w:val="es-ES"/>
              </w:rPr>
            </w:pPr>
            <w:r w:rsidRPr="001B6503">
              <w:rPr>
                <w:rFonts w:ascii="Lucida Bright" w:hAnsi="Lucida Bright" w:cs="Calibri"/>
                <w:b/>
                <w:bCs/>
                <w:sz w:val="14"/>
                <w:szCs w:val="14"/>
                <w:lang w:val="es-ES"/>
              </w:rPr>
              <w:t>TOTAL</w:t>
            </w:r>
          </w:p>
        </w:tc>
        <w:tc>
          <w:tcPr>
            <w:tcW w:w="426"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125.959.922,57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 </w:t>
            </w:r>
          </w:p>
        </w:tc>
        <w:tc>
          <w:tcPr>
            <w:tcW w:w="33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 </w:t>
            </w:r>
          </w:p>
        </w:tc>
        <w:tc>
          <w:tcPr>
            <w:tcW w:w="358"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 </w:t>
            </w:r>
          </w:p>
        </w:tc>
        <w:tc>
          <w:tcPr>
            <w:tcW w:w="347"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(91.671,62) </w:t>
            </w:r>
          </w:p>
        </w:tc>
        <w:tc>
          <w:tcPr>
            <w:tcW w:w="493"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(1,98) </w:t>
            </w:r>
          </w:p>
        </w:tc>
        <w:tc>
          <w:tcPr>
            <w:tcW w:w="399" w:type="pct"/>
            <w:gridSpan w:val="2"/>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672.674,78 </w:t>
            </w:r>
          </w:p>
        </w:tc>
        <w:tc>
          <w:tcPr>
            <w:tcW w:w="299"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 </w:t>
            </w:r>
          </w:p>
        </w:tc>
        <w:tc>
          <w:tcPr>
            <w:tcW w:w="349"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 </w:t>
            </w:r>
          </w:p>
        </w:tc>
        <w:tc>
          <w:tcPr>
            <w:tcW w:w="445" w:type="pct"/>
            <w:tcBorders>
              <w:top w:val="nil"/>
              <w:left w:val="nil"/>
              <w:bottom w:val="single" w:sz="4" w:space="0" w:color="auto"/>
              <w:right w:val="single" w:sz="4" w:space="0" w:color="auto"/>
            </w:tcBorders>
            <w:shd w:val="clear" w:color="000000" w:fill="FFFFFF"/>
            <w:noWrap/>
            <w:vAlign w:val="center"/>
            <w:hideMark/>
          </w:tcPr>
          <w:p w:rsidR="001B6503" w:rsidRPr="001B6503" w:rsidRDefault="001B6503" w:rsidP="001B6503">
            <w:pPr>
              <w:jc w:val="right"/>
              <w:rPr>
                <w:rFonts w:ascii="Lucida Bright" w:hAnsi="Lucida Bright" w:cs="Calibri"/>
                <w:b/>
                <w:bCs/>
                <w:sz w:val="14"/>
                <w:szCs w:val="14"/>
                <w:lang w:val="es-ES"/>
              </w:rPr>
            </w:pPr>
            <w:r w:rsidRPr="001B6503">
              <w:rPr>
                <w:rFonts w:ascii="Lucida Bright" w:hAnsi="Lucida Bright" w:cs="Calibri"/>
                <w:b/>
                <w:bCs/>
                <w:sz w:val="14"/>
                <w:szCs w:val="14"/>
                <w:lang w:val="es-ES"/>
              </w:rPr>
              <w:t xml:space="preserve">126.540.923,75 </w:t>
            </w:r>
          </w:p>
        </w:tc>
      </w:tr>
      <w:tr w:rsidR="000C7AB7" w:rsidRPr="00D71FE9" w:rsidTr="00CE686F">
        <w:trPr>
          <w:gridBefore w:val="1"/>
          <w:gridAfter w:val="1"/>
          <w:wBefore w:w="25" w:type="pct"/>
          <w:wAfter w:w="445" w:type="pct"/>
          <w:trHeight w:val="300"/>
        </w:trPr>
        <w:tc>
          <w:tcPr>
            <w:tcW w:w="3128" w:type="pct"/>
            <w:gridSpan w:val="13"/>
            <w:tcBorders>
              <w:top w:val="nil"/>
              <w:left w:val="nil"/>
              <w:bottom w:val="single" w:sz="4" w:space="0" w:color="auto"/>
              <w:right w:val="nil"/>
            </w:tcBorders>
            <w:shd w:val="clear" w:color="auto" w:fill="auto"/>
            <w:noWrap/>
            <w:vAlign w:val="bottom"/>
            <w:hideMark/>
          </w:tcPr>
          <w:p w:rsidR="00D71FE9" w:rsidRDefault="00D71FE9" w:rsidP="00D71FE9">
            <w:pPr>
              <w:rPr>
                <w:rFonts w:ascii="Lucida Bright" w:hAnsi="Lucida Bright" w:cs="Calibri"/>
                <w:b/>
                <w:bCs/>
                <w:sz w:val="18"/>
                <w:szCs w:val="18"/>
                <w:lang w:val="es-ES"/>
              </w:rPr>
            </w:pPr>
          </w:p>
          <w:p w:rsidR="00D71FE9" w:rsidRPr="00D71FE9" w:rsidRDefault="00D71FE9" w:rsidP="00D71FE9">
            <w:pPr>
              <w:rPr>
                <w:rFonts w:ascii="Lucida Bright" w:hAnsi="Lucida Bright" w:cs="Calibri"/>
                <w:b/>
                <w:bCs/>
                <w:sz w:val="18"/>
                <w:szCs w:val="18"/>
                <w:lang w:val="es-ES"/>
              </w:rPr>
            </w:pPr>
            <w:r w:rsidRPr="00D71FE9">
              <w:rPr>
                <w:rFonts w:ascii="Lucida Bright" w:hAnsi="Lucida Bright" w:cs="Calibri"/>
                <w:b/>
                <w:bCs/>
                <w:sz w:val="18"/>
                <w:szCs w:val="18"/>
                <w:lang w:val="es-ES"/>
              </w:rPr>
              <w:t>CUADRO: AMORTIZACIÓN ACUMULADA DE LAS INVERSIONES INMOBILIARIAS 2023</w:t>
            </w:r>
          </w:p>
        </w:tc>
        <w:tc>
          <w:tcPr>
            <w:tcW w:w="377" w:type="pct"/>
            <w:gridSpan w:val="2"/>
            <w:tcBorders>
              <w:top w:val="nil"/>
              <w:left w:val="nil"/>
              <w:bottom w:val="nil"/>
              <w:right w:val="nil"/>
            </w:tcBorders>
            <w:shd w:val="clear" w:color="000000" w:fill="FFFFFF"/>
            <w:noWrap/>
            <w:vAlign w:val="bottom"/>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(en euros)</w:t>
            </w:r>
          </w:p>
        </w:tc>
        <w:tc>
          <w:tcPr>
            <w:tcW w:w="377" w:type="pct"/>
            <w:tcBorders>
              <w:top w:val="nil"/>
              <w:left w:val="nil"/>
              <w:bottom w:val="nil"/>
              <w:right w:val="nil"/>
            </w:tcBorders>
            <w:shd w:val="clear" w:color="000000" w:fill="FFFFFF"/>
            <w:noWrap/>
            <w:hideMark/>
          </w:tcPr>
          <w:p w:rsidR="00D71FE9" w:rsidRPr="00D71FE9" w:rsidRDefault="00D71FE9" w:rsidP="00D71FE9">
            <w:pPr>
              <w:rPr>
                <w:rFonts w:ascii="Lucida Bright" w:hAnsi="Lucida Bright" w:cs="Calibri"/>
                <w:sz w:val="18"/>
                <w:szCs w:val="18"/>
                <w:lang w:val="es-ES"/>
              </w:rPr>
            </w:pPr>
            <w:r w:rsidRPr="00D71FE9">
              <w:rPr>
                <w:rFonts w:ascii="Lucida Bright" w:hAnsi="Lucida Bright" w:cs="Calibri"/>
                <w:sz w:val="18"/>
                <w:szCs w:val="18"/>
                <w:lang w:val="es-ES"/>
              </w:rPr>
              <w:t> </w:t>
            </w:r>
          </w:p>
        </w:tc>
        <w:tc>
          <w:tcPr>
            <w:tcW w:w="648" w:type="pct"/>
            <w:gridSpan w:val="2"/>
            <w:tcBorders>
              <w:top w:val="nil"/>
              <w:left w:val="nil"/>
              <w:bottom w:val="nil"/>
              <w:right w:val="nil"/>
            </w:tcBorders>
            <w:shd w:val="clear" w:color="000000" w:fill="FFFFFF"/>
            <w:noWrap/>
            <w:hideMark/>
          </w:tcPr>
          <w:p w:rsidR="00D71FE9" w:rsidRPr="00D71FE9" w:rsidRDefault="00D71FE9" w:rsidP="00D71FE9">
            <w:pPr>
              <w:rPr>
                <w:rFonts w:ascii="Lucida Bright" w:hAnsi="Lucida Bright" w:cs="Calibri"/>
                <w:sz w:val="18"/>
                <w:szCs w:val="18"/>
                <w:lang w:val="es-ES"/>
              </w:rPr>
            </w:pPr>
            <w:r w:rsidRPr="00D71FE9">
              <w:rPr>
                <w:rFonts w:ascii="Lucida Bright" w:hAnsi="Lucida Bright" w:cs="Calibri"/>
                <w:sz w:val="18"/>
                <w:szCs w:val="18"/>
                <w:lang w:val="es-ES"/>
              </w:rPr>
              <w:t> </w:t>
            </w:r>
          </w:p>
        </w:tc>
      </w:tr>
      <w:tr w:rsidR="000C7AB7" w:rsidRPr="00D71FE9" w:rsidTr="00CE686F">
        <w:trPr>
          <w:gridBefore w:val="1"/>
          <w:gridAfter w:val="1"/>
          <w:wBefore w:w="25" w:type="pct"/>
          <w:wAfter w:w="445" w:type="pct"/>
          <w:trHeight w:val="720"/>
        </w:trPr>
        <w:tc>
          <w:tcPr>
            <w:tcW w:w="1147" w:type="pct"/>
            <w:gridSpan w:val="3"/>
            <w:tcBorders>
              <w:top w:val="single" w:sz="4" w:space="0" w:color="auto"/>
              <w:left w:val="single" w:sz="4" w:space="0" w:color="auto"/>
              <w:bottom w:val="single" w:sz="4" w:space="0" w:color="auto"/>
              <w:right w:val="single" w:sz="4" w:space="0" w:color="000000"/>
            </w:tcBorders>
            <w:shd w:val="clear" w:color="000000" w:fill="CCFFCC"/>
            <w:vAlign w:val="center"/>
            <w:hideMark/>
          </w:tcPr>
          <w:p w:rsidR="00D71FE9" w:rsidRPr="00D71FE9" w:rsidRDefault="00D71FE9" w:rsidP="00D71FE9">
            <w:pPr>
              <w:jc w:val="center"/>
              <w:rPr>
                <w:rFonts w:ascii="Lucida Bright" w:hAnsi="Lucida Bright" w:cs="Calibri"/>
                <w:b/>
                <w:bCs/>
                <w:sz w:val="14"/>
                <w:szCs w:val="14"/>
                <w:lang w:val="es-ES"/>
              </w:rPr>
            </w:pPr>
            <w:r w:rsidRPr="00D71FE9">
              <w:rPr>
                <w:rFonts w:ascii="Lucida Bright" w:hAnsi="Lucida Bright" w:cs="Calibri"/>
                <w:b/>
                <w:bCs/>
                <w:sz w:val="14"/>
                <w:szCs w:val="14"/>
                <w:lang w:val="es-ES"/>
              </w:rPr>
              <w:t>CONCEPTO</w:t>
            </w:r>
          </w:p>
        </w:tc>
        <w:tc>
          <w:tcPr>
            <w:tcW w:w="424" w:type="pct"/>
            <w:gridSpan w:val="2"/>
            <w:tcBorders>
              <w:top w:val="nil"/>
              <w:left w:val="nil"/>
              <w:bottom w:val="single" w:sz="4" w:space="0" w:color="auto"/>
              <w:right w:val="single" w:sz="4" w:space="0" w:color="auto"/>
            </w:tcBorders>
            <w:shd w:val="clear" w:color="000000" w:fill="CCFFCC"/>
            <w:vAlign w:val="center"/>
            <w:hideMark/>
          </w:tcPr>
          <w:p w:rsidR="00D71FE9" w:rsidRPr="00D71FE9" w:rsidRDefault="00D71FE9" w:rsidP="00D71FE9">
            <w:pPr>
              <w:jc w:val="center"/>
              <w:rPr>
                <w:rFonts w:ascii="Lucida Bright" w:hAnsi="Lucida Bright" w:cs="Calibri"/>
                <w:sz w:val="14"/>
                <w:szCs w:val="14"/>
                <w:lang w:val="es-ES"/>
              </w:rPr>
            </w:pPr>
            <w:r w:rsidRPr="00D71FE9">
              <w:rPr>
                <w:rFonts w:ascii="Lucida Bright" w:hAnsi="Lucida Bright" w:cs="Calibri"/>
                <w:sz w:val="14"/>
                <w:szCs w:val="14"/>
                <w:lang w:val="es-ES"/>
              </w:rPr>
              <w:t>Saldo a</w:t>
            </w:r>
            <w:r w:rsidRPr="00D71FE9">
              <w:rPr>
                <w:rFonts w:ascii="Lucida Bright" w:hAnsi="Lucida Bright" w:cs="Calibri"/>
                <w:sz w:val="14"/>
                <w:szCs w:val="14"/>
                <w:lang w:val="es-ES"/>
              </w:rPr>
              <w:br/>
              <w:t>31-12-22</w:t>
            </w:r>
          </w:p>
        </w:tc>
        <w:tc>
          <w:tcPr>
            <w:tcW w:w="421" w:type="pct"/>
            <w:gridSpan w:val="2"/>
            <w:tcBorders>
              <w:top w:val="nil"/>
              <w:left w:val="nil"/>
              <w:bottom w:val="single" w:sz="4" w:space="0" w:color="auto"/>
              <w:right w:val="single" w:sz="4" w:space="0" w:color="auto"/>
            </w:tcBorders>
            <w:shd w:val="clear" w:color="000000" w:fill="CCFFCC"/>
            <w:vAlign w:val="center"/>
            <w:hideMark/>
          </w:tcPr>
          <w:p w:rsidR="00D71FE9" w:rsidRPr="00D71FE9" w:rsidRDefault="00D71FE9" w:rsidP="00D71FE9">
            <w:pPr>
              <w:jc w:val="center"/>
              <w:rPr>
                <w:rFonts w:ascii="Lucida Bright" w:hAnsi="Lucida Bright" w:cs="Calibri"/>
                <w:sz w:val="14"/>
                <w:szCs w:val="14"/>
                <w:lang w:val="es-ES"/>
              </w:rPr>
            </w:pPr>
            <w:r w:rsidRPr="00D71FE9">
              <w:rPr>
                <w:rFonts w:ascii="Lucida Bright" w:hAnsi="Lucida Bright" w:cs="Calibri"/>
                <w:sz w:val="14"/>
                <w:szCs w:val="14"/>
                <w:lang w:val="es-ES"/>
              </w:rPr>
              <w:t>Dotaciones</w:t>
            </w:r>
            <w:r w:rsidRPr="00D71FE9">
              <w:rPr>
                <w:rFonts w:ascii="Lucida Bright" w:hAnsi="Lucida Bright" w:cs="Calibri"/>
                <w:sz w:val="14"/>
                <w:szCs w:val="14"/>
                <w:lang w:val="es-ES"/>
              </w:rPr>
              <w:br/>
              <w:t>(+)</w:t>
            </w:r>
          </w:p>
        </w:tc>
        <w:tc>
          <w:tcPr>
            <w:tcW w:w="356" w:type="pct"/>
            <w:gridSpan w:val="2"/>
            <w:tcBorders>
              <w:top w:val="nil"/>
              <w:left w:val="nil"/>
              <w:bottom w:val="single" w:sz="4" w:space="0" w:color="auto"/>
              <w:right w:val="single" w:sz="4" w:space="0" w:color="auto"/>
            </w:tcBorders>
            <w:shd w:val="clear" w:color="000000" w:fill="CCFFCC"/>
            <w:vAlign w:val="center"/>
            <w:hideMark/>
          </w:tcPr>
          <w:p w:rsidR="00D71FE9" w:rsidRPr="00D71FE9" w:rsidRDefault="00D71FE9" w:rsidP="00D71FE9">
            <w:pPr>
              <w:jc w:val="center"/>
              <w:rPr>
                <w:rFonts w:ascii="Lucida Bright" w:hAnsi="Lucida Bright" w:cs="Calibri"/>
                <w:sz w:val="14"/>
                <w:szCs w:val="14"/>
                <w:lang w:val="es-ES"/>
              </w:rPr>
            </w:pPr>
            <w:r w:rsidRPr="00D71FE9">
              <w:rPr>
                <w:rFonts w:ascii="Lucida Bright" w:hAnsi="Lucida Bright" w:cs="Calibri"/>
                <w:sz w:val="14"/>
                <w:szCs w:val="14"/>
                <w:lang w:val="es-ES"/>
              </w:rPr>
              <w:t>Ventas, retiros y bajas (-)</w:t>
            </w:r>
          </w:p>
        </w:tc>
        <w:tc>
          <w:tcPr>
            <w:tcW w:w="490" w:type="pct"/>
            <w:gridSpan w:val="2"/>
            <w:tcBorders>
              <w:top w:val="nil"/>
              <w:left w:val="nil"/>
              <w:bottom w:val="single" w:sz="4" w:space="0" w:color="auto"/>
              <w:right w:val="single" w:sz="4" w:space="0" w:color="auto"/>
            </w:tcBorders>
            <w:shd w:val="clear" w:color="000000" w:fill="CCFFCC"/>
            <w:vAlign w:val="center"/>
            <w:hideMark/>
          </w:tcPr>
          <w:p w:rsidR="00D71FE9" w:rsidRPr="00D71FE9" w:rsidRDefault="00D71FE9" w:rsidP="00D71FE9">
            <w:pPr>
              <w:jc w:val="center"/>
              <w:rPr>
                <w:rFonts w:ascii="Lucida Bright" w:hAnsi="Lucida Bright" w:cs="Calibri"/>
                <w:sz w:val="14"/>
                <w:szCs w:val="14"/>
                <w:lang w:val="es-ES"/>
              </w:rPr>
            </w:pPr>
            <w:r w:rsidRPr="00D71FE9">
              <w:rPr>
                <w:rFonts w:ascii="Lucida Bright" w:hAnsi="Lucida Bright" w:cs="Calibri"/>
                <w:sz w:val="14"/>
                <w:szCs w:val="14"/>
                <w:lang w:val="es-ES"/>
              </w:rPr>
              <w:t>Reclasificaciones (+/-)</w:t>
            </w:r>
          </w:p>
        </w:tc>
        <w:tc>
          <w:tcPr>
            <w:tcW w:w="291" w:type="pct"/>
            <w:gridSpan w:val="2"/>
            <w:tcBorders>
              <w:top w:val="nil"/>
              <w:left w:val="nil"/>
              <w:bottom w:val="single" w:sz="4" w:space="0" w:color="auto"/>
              <w:right w:val="single" w:sz="4" w:space="0" w:color="auto"/>
            </w:tcBorders>
            <w:shd w:val="clear" w:color="000000" w:fill="CCFFCC"/>
            <w:vAlign w:val="center"/>
            <w:hideMark/>
          </w:tcPr>
          <w:p w:rsidR="00D71FE9" w:rsidRPr="00D71FE9" w:rsidRDefault="00D71FE9" w:rsidP="00D71FE9">
            <w:pPr>
              <w:jc w:val="center"/>
              <w:rPr>
                <w:rFonts w:ascii="Lucida Bright" w:hAnsi="Lucida Bright" w:cs="Calibri"/>
                <w:sz w:val="14"/>
                <w:szCs w:val="14"/>
                <w:lang w:val="es-ES"/>
              </w:rPr>
            </w:pPr>
            <w:r w:rsidRPr="00D71FE9">
              <w:rPr>
                <w:rFonts w:ascii="Lucida Bright" w:hAnsi="Lucida Bright" w:cs="Calibri"/>
                <w:sz w:val="14"/>
                <w:szCs w:val="14"/>
                <w:lang w:val="es-ES"/>
              </w:rPr>
              <w:t>Traspaso a/de inmovilizado material (+/-)</w:t>
            </w:r>
          </w:p>
        </w:tc>
        <w:tc>
          <w:tcPr>
            <w:tcW w:w="377" w:type="pct"/>
            <w:gridSpan w:val="2"/>
            <w:tcBorders>
              <w:top w:val="single" w:sz="4" w:space="0" w:color="auto"/>
              <w:left w:val="nil"/>
              <w:bottom w:val="single" w:sz="4" w:space="0" w:color="auto"/>
              <w:right w:val="single" w:sz="4" w:space="0" w:color="auto"/>
            </w:tcBorders>
            <w:shd w:val="clear" w:color="000000" w:fill="CCFFCC"/>
            <w:vAlign w:val="center"/>
            <w:hideMark/>
          </w:tcPr>
          <w:p w:rsidR="00D71FE9" w:rsidRPr="00D71FE9" w:rsidRDefault="00D71FE9" w:rsidP="00D71FE9">
            <w:pPr>
              <w:jc w:val="center"/>
              <w:rPr>
                <w:rFonts w:ascii="Lucida Bright" w:hAnsi="Lucida Bright" w:cs="Calibri"/>
                <w:sz w:val="14"/>
                <w:szCs w:val="14"/>
                <w:lang w:val="es-ES"/>
              </w:rPr>
            </w:pPr>
            <w:r w:rsidRPr="00D71FE9">
              <w:rPr>
                <w:rFonts w:ascii="Lucida Bright" w:hAnsi="Lucida Bright" w:cs="Calibri"/>
                <w:sz w:val="14"/>
                <w:szCs w:val="14"/>
                <w:lang w:val="es-ES"/>
              </w:rPr>
              <w:t>Trasp. a activo no corriente mantenido para la venta (-)</w:t>
            </w:r>
          </w:p>
        </w:tc>
        <w:tc>
          <w:tcPr>
            <w:tcW w:w="377" w:type="pct"/>
            <w:tcBorders>
              <w:top w:val="single" w:sz="4" w:space="0" w:color="auto"/>
              <w:left w:val="nil"/>
              <w:bottom w:val="single" w:sz="4" w:space="0" w:color="auto"/>
              <w:right w:val="single" w:sz="4" w:space="0" w:color="auto"/>
            </w:tcBorders>
            <w:shd w:val="clear" w:color="000000" w:fill="CCFFCC"/>
            <w:vAlign w:val="center"/>
            <w:hideMark/>
          </w:tcPr>
          <w:p w:rsidR="00D71FE9" w:rsidRPr="00D71FE9" w:rsidRDefault="00D71FE9" w:rsidP="00D71FE9">
            <w:pPr>
              <w:jc w:val="center"/>
              <w:rPr>
                <w:rFonts w:ascii="Lucida Bright" w:hAnsi="Lucida Bright" w:cs="Calibri"/>
                <w:sz w:val="14"/>
                <w:szCs w:val="14"/>
                <w:lang w:val="es-ES"/>
              </w:rPr>
            </w:pPr>
            <w:r w:rsidRPr="00D71FE9">
              <w:rPr>
                <w:rFonts w:ascii="Lucida Bright" w:hAnsi="Lucida Bright" w:cs="Calibri"/>
                <w:sz w:val="14"/>
                <w:szCs w:val="14"/>
                <w:lang w:val="es-ES"/>
              </w:rPr>
              <w:t>Transf. a otros Org. Públ. y Ajustes contra patrimonio (+/-)</w:t>
            </w:r>
          </w:p>
        </w:tc>
        <w:tc>
          <w:tcPr>
            <w:tcW w:w="648" w:type="pct"/>
            <w:gridSpan w:val="2"/>
            <w:tcBorders>
              <w:top w:val="single" w:sz="4" w:space="0" w:color="auto"/>
              <w:left w:val="nil"/>
              <w:bottom w:val="single" w:sz="4" w:space="0" w:color="auto"/>
              <w:right w:val="single" w:sz="4" w:space="0" w:color="auto"/>
            </w:tcBorders>
            <w:shd w:val="clear" w:color="000000" w:fill="CCFFCC"/>
            <w:vAlign w:val="center"/>
            <w:hideMark/>
          </w:tcPr>
          <w:p w:rsidR="00D71FE9" w:rsidRPr="00D71FE9" w:rsidRDefault="00D71FE9" w:rsidP="00D71FE9">
            <w:pPr>
              <w:jc w:val="center"/>
              <w:rPr>
                <w:rFonts w:ascii="Lucida Bright" w:hAnsi="Lucida Bright" w:cs="Calibri"/>
                <w:sz w:val="14"/>
                <w:szCs w:val="14"/>
                <w:lang w:val="es-ES"/>
              </w:rPr>
            </w:pPr>
            <w:r w:rsidRPr="00D71FE9">
              <w:rPr>
                <w:rFonts w:ascii="Lucida Bright" w:hAnsi="Lucida Bright" w:cs="Calibri"/>
                <w:sz w:val="14"/>
                <w:szCs w:val="14"/>
                <w:lang w:val="es-ES"/>
              </w:rPr>
              <w:t>Saldo a</w:t>
            </w:r>
            <w:r w:rsidRPr="00D71FE9">
              <w:rPr>
                <w:rFonts w:ascii="Lucida Bright" w:hAnsi="Lucida Bright" w:cs="Calibri"/>
                <w:sz w:val="14"/>
                <w:szCs w:val="14"/>
                <w:lang w:val="es-ES"/>
              </w:rPr>
              <w:br/>
              <w:t>31-12-23</w:t>
            </w:r>
          </w:p>
        </w:tc>
      </w:tr>
      <w:tr w:rsidR="000C7AB7" w:rsidRPr="00D71FE9" w:rsidTr="00CE686F">
        <w:trPr>
          <w:gridBefore w:val="1"/>
          <w:gridAfter w:val="1"/>
          <w:wBefore w:w="25" w:type="pct"/>
          <w:wAfter w:w="445" w:type="pct"/>
          <w:trHeight w:val="210"/>
        </w:trPr>
        <w:tc>
          <w:tcPr>
            <w:tcW w:w="1147"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71FE9" w:rsidRPr="00D71FE9" w:rsidRDefault="00D71FE9" w:rsidP="00D71FE9">
            <w:pPr>
              <w:rPr>
                <w:rFonts w:ascii="Lucida Bright" w:hAnsi="Lucida Bright" w:cs="Calibri"/>
                <w:b/>
                <w:bCs/>
                <w:sz w:val="14"/>
                <w:szCs w:val="14"/>
                <w:lang w:val="es-ES"/>
              </w:rPr>
            </w:pPr>
            <w:r w:rsidRPr="00D71FE9">
              <w:rPr>
                <w:rFonts w:ascii="Lucida Bright" w:hAnsi="Lucida Bright" w:cs="Calibri"/>
                <w:b/>
                <w:bCs/>
                <w:sz w:val="14"/>
                <w:szCs w:val="14"/>
                <w:lang w:val="es-ES"/>
              </w:rPr>
              <w:t xml:space="preserve"> b) Construcciones</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b/>
                <w:bCs/>
                <w:sz w:val="14"/>
                <w:szCs w:val="14"/>
                <w:lang w:val="es-ES"/>
              </w:rPr>
            </w:pPr>
            <w:r w:rsidRPr="00D71FE9">
              <w:rPr>
                <w:rFonts w:ascii="Lucida Bright" w:hAnsi="Lucida Bright" w:cs="Calibri"/>
                <w:b/>
                <w:bCs/>
                <w:sz w:val="14"/>
                <w:szCs w:val="14"/>
                <w:lang w:val="es-ES"/>
              </w:rPr>
              <w:t xml:space="preserve">41.351.024,87 </w:t>
            </w:r>
          </w:p>
        </w:tc>
        <w:tc>
          <w:tcPr>
            <w:tcW w:w="421"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b/>
                <w:bCs/>
                <w:sz w:val="14"/>
                <w:szCs w:val="14"/>
                <w:lang w:val="es-ES"/>
              </w:rPr>
            </w:pPr>
            <w:r w:rsidRPr="00D71FE9">
              <w:rPr>
                <w:rFonts w:ascii="Lucida Bright" w:hAnsi="Lucida Bright" w:cs="Calibri"/>
                <w:b/>
                <w:bCs/>
                <w:sz w:val="14"/>
                <w:szCs w:val="14"/>
                <w:lang w:val="es-ES"/>
              </w:rPr>
              <w:t xml:space="preserve">1.174.943,00 </w:t>
            </w:r>
          </w:p>
        </w:tc>
        <w:tc>
          <w:tcPr>
            <w:tcW w:w="356"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b/>
                <w:bCs/>
                <w:sz w:val="14"/>
                <w:szCs w:val="14"/>
                <w:lang w:val="es-ES"/>
              </w:rPr>
            </w:pPr>
            <w:r w:rsidRPr="00D71FE9">
              <w:rPr>
                <w:rFonts w:ascii="Lucida Bright" w:hAnsi="Lucida Bright" w:cs="Calibri"/>
                <w:b/>
                <w:bCs/>
                <w:sz w:val="14"/>
                <w:szCs w:val="14"/>
                <w:lang w:val="es-ES"/>
              </w:rPr>
              <w:t xml:space="preserve">(40.982,65) </w:t>
            </w:r>
          </w:p>
        </w:tc>
        <w:tc>
          <w:tcPr>
            <w:tcW w:w="490"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b/>
                <w:bCs/>
                <w:sz w:val="14"/>
                <w:szCs w:val="14"/>
                <w:lang w:val="es-ES"/>
              </w:rPr>
            </w:pPr>
            <w:r w:rsidRPr="00D71FE9">
              <w:rPr>
                <w:rFonts w:ascii="Lucida Bright" w:hAnsi="Lucida Bright" w:cs="Calibri"/>
                <w:b/>
                <w:bCs/>
                <w:sz w:val="14"/>
                <w:szCs w:val="14"/>
                <w:lang w:val="es-ES"/>
              </w:rPr>
              <w:t xml:space="preserve">0,16 </w:t>
            </w:r>
          </w:p>
        </w:tc>
        <w:tc>
          <w:tcPr>
            <w:tcW w:w="291"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b/>
                <w:bCs/>
                <w:sz w:val="14"/>
                <w:szCs w:val="14"/>
                <w:lang w:val="es-ES"/>
              </w:rPr>
            </w:pPr>
            <w:r w:rsidRPr="00D71FE9">
              <w:rPr>
                <w:rFonts w:ascii="Lucida Bright" w:hAnsi="Lucida Bright" w:cs="Calibri"/>
                <w:b/>
                <w:bCs/>
                <w:sz w:val="14"/>
                <w:szCs w:val="14"/>
                <w:lang w:val="es-ES"/>
              </w:rPr>
              <w:t xml:space="preserve">- </w:t>
            </w:r>
          </w:p>
        </w:tc>
        <w:tc>
          <w:tcPr>
            <w:tcW w:w="377"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b/>
                <w:bCs/>
                <w:sz w:val="14"/>
                <w:szCs w:val="14"/>
                <w:lang w:val="es-ES"/>
              </w:rPr>
            </w:pPr>
            <w:r w:rsidRPr="00D71FE9">
              <w:rPr>
                <w:rFonts w:ascii="Lucida Bright" w:hAnsi="Lucida Bright" w:cs="Calibri"/>
                <w:b/>
                <w:bCs/>
                <w:sz w:val="14"/>
                <w:szCs w:val="14"/>
                <w:lang w:val="es-ES"/>
              </w:rPr>
              <w:t xml:space="preserve">- </w:t>
            </w:r>
          </w:p>
        </w:tc>
        <w:tc>
          <w:tcPr>
            <w:tcW w:w="377" w:type="pct"/>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b/>
                <w:bCs/>
                <w:sz w:val="14"/>
                <w:szCs w:val="14"/>
                <w:lang w:val="es-ES"/>
              </w:rPr>
            </w:pPr>
            <w:r w:rsidRPr="00D71FE9">
              <w:rPr>
                <w:rFonts w:ascii="Lucida Bright" w:hAnsi="Lucida Bright" w:cs="Calibri"/>
                <w:b/>
                <w:bCs/>
                <w:sz w:val="14"/>
                <w:szCs w:val="14"/>
                <w:lang w:val="es-ES"/>
              </w:rPr>
              <w:t xml:space="preserve">- </w:t>
            </w:r>
          </w:p>
        </w:tc>
        <w:tc>
          <w:tcPr>
            <w:tcW w:w="648"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b/>
                <w:bCs/>
                <w:sz w:val="14"/>
                <w:szCs w:val="14"/>
                <w:lang w:val="es-ES"/>
              </w:rPr>
            </w:pPr>
            <w:r w:rsidRPr="00D71FE9">
              <w:rPr>
                <w:rFonts w:ascii="Lucida Bright" w:hAnsi="Lucida Bright" w:cs="Calibri"/>
                <w:b/>
                <w:bCs/>
                <w:sz w:val="14"/>
                <w:szCs w:val="14"/>
                <w:lang w:val="es-ES"/>
              </w:rPr>
              <w:t xml:space="preserve">42.484.985,38 </w:t>
            </w:r>
          </w:p>
        </w:tc>
      </w:tr>
      <w:tr w:rsidR="000C7AB7" w:rsidRPr="00D71FE9" w:rsidTr="00CE686F">
        <w:trPr>
          <w:gridBefore w:val="1"/>
          <w:gridAfter w:val="1"/>
          <w:wBefore w:w="25" w:type="pct"/>
          <w:wAfter w:w="445" w:type="pct"/>
          <w:trHeight w:val="210"/>
        </w:trPr>
        <w:tc>
          <w:tcPr>
            <w:tcW w:w="114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xml:space="preserve">    Accesos marítimos</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421"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356"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490"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291"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377"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377" w:type="pct"/>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648"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r>
      <w:tr w:rsidR="000C7AB7" w:rsidRPr="00D71FE9" w:rsidTr="00CE686F">
        <w:trPr>
          <w:gridBefore w:val="1"/>
          <w:gridAfter w:val="1"/>
          <w:wBefore w:w="25" w:type="pct"/>
          <w:wAfter w:w="445" w:type="pct"/>
          <w:trHeight w:val="210"/>
        </w:trPr>
        <w:tc>
          <w:tcPr>
            <w:tcW w:w="114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xml:space="preserve">    Obras de abrigo y defensa</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421"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356"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490"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291"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377"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377" w:type="pct"/>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648"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r>
      <w:tr w:rsidR="000C7AB7" w:rsidRPr="00D71FE9" w:rsidTr="00CE686F">
        <w:trPr>
          <w:gridBefore w:val="1"/>
          <w:gridAfter w:val="1"/>
          <w:wBefore w:w="25" w:type="pct"/>
          <w:wAfter w:w="445" w:type="pct"/>
          <w:trHeight w:val="210"/>
        </w:trPr>
        <w:tc>
          <w:tcPr>
            <w:tcW w:w="114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xml:space="preserve">    Obras de atraque</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sz w:val="14"/>
                <w:szCs w:val="14"/>
                <w:lang w:val="es-ES"/>
              </w:rPr>
            </w:pPr>
            <w:r w:rsidRPr="00D71FE9">
              <w:rPr>
                <w:rFonts w:ascii="Lucida Bright" w:hAnsi="Lucida Bright" w:cs="Calibri"/>
                <w:sz w:val="14"/>
                <w:szCs w:val="14"/>
                <w:lang w:val="es-ES"/>
              </w:rPr>
              <w:t xml:space="preserve">778.895,74 </w:t>
            </w:r>
          </w:p>
        </w:tc>
        <w:tc>
          <w:tcPr>
            <w:tcW w:w="421"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sz w:val="14"/>
                <w:szCs w:val="14"/>
                <w:lang w:val="es-ES"/>
              </w:rPr>
            </w:pPr>
            <w:r w:rsidRPr="00D71FE9">
              <w:rPr>
                <w:rFonts w:ascii="Lucida Bright" w:hAnsi="Lucida Bright" w:cs="Calibri"/>
                <w:sz w:val="14"/>
                <w:szCs w:val="14"/>
                <w:lang w:val="es-ES"/>
              </w:rPr>
              <w:t xml:space="preserve">170.866,10 </w:t>
            </w:r>
          </w:p>
        </w:tc>
        <w:tc>
          <w:tcPr>
            <w:tcW w:w="356"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490"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291"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377"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377" w:type="pct"/>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648"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sz w:val="14"/>
                <w:szCs w:val="14"/>
                <w:lang w:val="es-ES"/>
              </w:rPr>
            </w:pPr>
            <w:r w:rsidRPr="00D71FE9">
              <w:rPr>
                <w:rFonts w:ascii="Lucida Bright" w:hAnsi="Lucida Bright" w:cs="Calibri"/>
                <w:sz w:val="14"/>
                <w:szCs w:val="14"/>
                <w:lang w:val="es-ES"/>
              </w:rPr>
              <w:t xml:space="preserve">949.761,84 </w:t>
            </w:r>
          </w:p>
        </w:tc>
      </w:tr>
      <w:tr w:rsidR="000C7AB7" w:rsidRPr="00D71FE9" w:rsidTr="00CE686F">
        <w:trPr>
          <w:gridBefore w:val="1"/>
          <w:gridAfter w:val="1"/>
          <w:wBefore w:w="25" w:type="pct"/>
          <w:wAfter w:w="445" w:type="pct"/>
          <w:trHeight w:val="210"/>
        </w:trPr>
        <w:tc>
          <w:tcPr>
            <w:tcW w:w="114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xml:space="preserve">    Instalaciones para reparación de barcos</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sz w:val="14"/>
                <w:szCs w:val="14"/>
                <w:lang w:val="es-ES"/>
              </w:rPr>
            </w:pPr>
            <w:r w:rsidRPr="00D71FE9">
              <w:rPr>
                <w:rFonts w:ascii="Lucida Bright" w:hAnsi="Lucida Bright" w:cs="Calibri"/>
                <w:sz w:val="14"/>
                <w:szCs w:val="14"/>
                <w:lang w:val="es-ES"/>
              </w:rPr>
              <w:t xml:space="preserve">1.574.298,10 </w:t>
            </w:r>
          </w:p>
        </w:tc>
        <w:tc>
          <w:tcPr>
            <w:tcW w:w="421"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sz w:val="14"/>
                <w:szCs w:val="14"/>
                <w:lang w:val="es-ES"/>
              </w:rPr>
            </w:pPr>
            <w:r w:rsidRPr="00D71FE9">
              <w:rPr>
                <w:rFonts w:ascii="Lucida Bright" w:hAnsi="Lucida Bright" w:cs="Calibri"/>
                <w:sz w:val="14"/>
                <w:szCs w:val="14"/>
                <w:lang w:val="es-ES"/>
              </w:rPr>
              <w:t xml:space="preserve">726,31 </w:t>
            </w:r>
          </w:p>
        </w:tc>
        <w:tc>
          <w:tcPr>
            <w:tcW w:w="356"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490"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sz w:val="14"/>
                <w:szCs w:val="14"/>
                <w:lang w:val="es-ES"/>
              </w:rPr>
            </w:pPr>
            <w:r w:rsidRPr="00D71FE9">
              <w:rPr>
                <w:rFonts w:ascii="Lucida Bright" w:hAnsi="Lucida Bright" w:cs="Calibri"/>
                <w:sz w:val="14"/>
                <w:szCs w:val="14"/>
                <w:lang w:val="es-ES"/>
              </w:rPr>
              <w:t xml:space="preserve">0,16 </w:t>
            </w:r>
          </w:p>
        </w:tc>
        <w:tc>
          <w:tcPr>
            <w:tcW w:w="291"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377"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377" w:type="pct"/>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648"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sz w:val="14"/>
                <w:szCs w:val="14"/>
                <w:lang w:val="es-ES"/>
              </w:rPr>
            </w:pPr>
            <w:r w:rsidRPr="00D71FE9">
              <w:rPr>
                <w:rFonts w:ascii="Lucida Bright" w:hAnsi="Lucida Bright" w:cs="Calibri"/>
                <w:sz w:val="14"/>
                <w:szCs w:val="14"/>
                <w:lang w:val="es-ES"/>
              </w:rPr>
              <w:t xml:space="preserve">1.575.024,57 </w:t>
            </w:r>
          </w:p>
        </w:tc>
      </w:tr>
      <w:tr w:rsidR="000C7AB7" w:rsidRPr="00D71FE9" w:rsidTr="00CE686F">
        <w:trPr>
          <w:gridBefore w:val="1"/>
          <w:gridAfter w:val="1"/>
          <w:wBefore w:w="25" w:type="pct"/>
          <w:wAfter w:w="445" w:type="pct"/>
          <w:trHeight w:val="210"/>
        </w:trPr>
        <w:tc>
          <w:tcPr>
            <w:tcW w:w="114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xml:space="preserve">    Edificaciones</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sz w:val="14"/>
                <w:szCs w:val="14"/>
                <w:lang w:val="es-ES"/>
              </w:rPr>
            </w:pPr>
            <w:r w:rsidRPr="00D71FE9">
              <w:rPr>
                <w:rFonts w:ascii="Lucida Bright" w:hAnsi="Lucida Bright" w:cs="Calibri"/>
                <w:sz w:val="14"/>
                <w:szCs w:val="14"/>
                <w:lang w:val="es-ES"/>
              </w:rPr>
              <w:t xml:space="preserve">11.703.270,73 </w:t>
            </w:r>
          </w:p>
        </w:tc>
        <w:tc>
          <w:tcPr>
            <w:tcW w:w="421"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sz w:val="14"/>
                <w:szCs w:val="14"/>
                <w:lang w:val="es-ES"/>
              </w:rPr>
            </w:pPr>
            <w:r w:rsidRPr="00D71FE9">
              <w:rPr>
                <w:rFonts w:ascii="Lucida Bright" w:hAnsi="Lucida Bright" w:cs="Calibri"/>
                <w:sz w:val="14"/>
                <w:szCs w:val="14"/>
                <w:lang w:val="es-ES"/>
              </w:rPr>
              <w:t xml:space="preserve">741.013,41 </w:t>
            </w:r>
          </w:p>
        </w:tc>
        <w:tc>
          <w:tcPr>
            <w:tcW w:w="356"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sz w:val="14"/>
                <w:szCs w:val="14"/>
                <w:lang w:val="es-ES"/>
              </w:rPr>
            </w:pPr>
            <w:r w:rsidRPr="00D71FE9">
              <w:rPr>
                <w:rFonts w:ascii="Lucida Bright" w:hAnsi="Lucida Bright" w:cs="Calibri"/>
                <w:sz w:val="14"/>
                <w:szCs w:val="14"/>
                <w:lang w:val="es-ES"/>
              </w:rPr>
              <w:t xml:space="preserve">(40.982,65) </w:t>
            </w:r>
          </w:p>
        </w:tc>
        <w:tc>
          <w:tcPr>
            <w:tcW w:w="490"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291"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377"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377" w:type="pct"/>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648"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sz w:val="14"/>
                <w:szCs w:val="14"/>
                <w:lang w:val="es-ES"/>
              </w:rPr>
            </w:pPr>
            <w:r w:rsidRPr="00D71FE9">
              <w:rPr>
                <w:rFonts w:ascii="Lucida Bright" w:hAnsi="Lucida Bright" w:cs="Calibri"/>
                <w:sz w:val="14"/>
                <w:szCs w:val="14"/>
                <w:lang w:val="es-ES"/>
              </w:rPr>
              <w:t xml:space="preserve">12.403.301,49 </w:t>
            </w:r>
          </w:p>
        </w:tc>
      </w:tr>
      <w:tr w:rsidR="000C7AB7" w:rsidRPr="00D71FE9" w:rsidTr="00CE686F">
        <w:trPr>
          <w:gridBefore w:val="1"/>
          <w:gridAfter w:val="1"/>
          <w:wBefore w:w="25" w:type="pct"/>
          <w:wAfter w:w="445" w:type="pct"/>
          <w:trHeight w:val="210"/>
        </w:trPr>
        <w:tc>
          <w:tcPr>
            <w:tcW w:w="114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xml:space="preserve">    Instalaciones generales</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sz w:val="14"/>
                <w:szCs w:val="14"/>
                <w:lang w:val="es-ES"/>
              </w:rPr>
            </w:pPr>
            <w:r w:rsidRPr="00D71FE9">
              <w:rPr>
                <w:rFonts w:ascii="Lucida Bright" w:hAnsi="Lucida Bright" w:cs="Calibri"/>
                <w:sz w:val="14"/>
                <w:szCs w:val="14"/>
                <w:lang w:val="es-ES"/>
              </w:rPr>
              <w:t xml:space="preserve">976.889,21 </w:t>
            </w:r>
          </w:p>
        </w:tc>
        <w:tc>
          <w:tcPr>
            <w:tcW w:w="421"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sz w:val="14"/>
                <w:szCs w:val="14"/>
                <w:lang w:val="es-ES"/>
              </w:rPr>
            </w:pPr>
            <w:r w:rsidRPr="00D71FE9">
              <w:rPr>
                <w:rFonts w:ascii="Lucida Bright" w:hAnsi="Lucida Bright" w:cs="Calibri"/>
                <w:sz w:val="14"/>
                <w:szCs w:val="14"/>
                <w:lang w:val="es-ES"/>
              </w:rPr>
              <w:t xml:space="preserve">164.250,19 </w:t>
            </w:r>
          </w:p>
        </w:tc>
        <w:tc>
          <w:tcPr>
            <w:tcW w:w="356"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490"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291"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377"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377" w:type="pct"/>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648"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sz w:val="14"/>
                <w:szCs w:val="14"/>
                <w:lang w:val="es-ES"/>
              </w:rPr>
            </w:pPr>
            <w:r w:rsidRPr="00D71FE9">
              <w:rPr>
                <w:rFonts w:ascii="Lucida Bright" w:hAnsi="Lucida Bright" w:cs="Calibri"/>
                <w:sz w:val="14"/>
                <w:szCs w:val="14"/>
                <w:lang w:val="es-ES"/>
              </w:rPr>
              <w:t xml:space="preserve">1.141.139,40 </w:t>
            </w:r>
          </w:p>
        </w:tc>
      </w:tr>
      <w:tr w:rsidR="000C7AB7" w:rsidRPr="00D71FE9" w:rsidTr="00CE686F">
        <w:trPr>
          <w:gridBefore w:val="1"/>
          <w:gridAfter w:val="1"/>
          <w:wBefore w:w="25" w:type="pct"/>
          <w:wAfter w:w="445" w:type="pct"/>
          <w:trHeight w:val="210"/>
        </w:trPr>
        <w:tc>
          <w:tcPr>
            <w:tcW w:w="114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xml:space="preserve">    Pavimentos, calzadas y vías de circulación</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sz w:val="14"/>
                <w:szCs w:val="14"/>
                <w:lang w:val="es-ES"/>
              </w:rPr>
            </w:pPr>
            <w:r w:rsidRPr="00D71FE9">
              <w:rPr>
                <w:rFonts w:ascii="Lucida Bright" w:hAnsi="Lucida Bright" w:cs="Calibri"/>
                <w:sz w:val="14"/>
                <w:szCs w:val="14"/>
                <w:lang w:val="es-ES"/>
              </w:rPr>
              <w:t xml:space="preserve">26.317.671,09 </w:t>
            </w:r>
          </w:p>
        </w:tc>
        <w:tc>
          <w:tcPr>
            <w:tcW w:w="421"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sz w:val="14"/>
                <w:szCs w:val="14"/>
                <w:lang w:val="es-ES"/>
              </w:rPr>
            </w:pPr>
            <w:r w:rsidRPr="00D71FE9">
              <w:rPr>
                <w:rFonts w:ascii="Lucida Bright" w:hAnsi="Lucida Bright" w:cs="Calibri"/>
                <w:sz w:val="14"/>
                <w:szCs w:val="14"/>
                <w:lang w:val="es-ES"/>
              </w:rPr>
              <w:t xml:space="preserve">98.086,99 </w:t>
            </w:r>
          </w:p>
        </w:tc>
        <w:tc>
          <w:tcPr>
            <w:tcW w:w="356"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490"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291"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377"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377" w:type="pct"/>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rPr>
                <w:rFonts w:ascii="Lucida Bright" w:hAnsi="Lucida Bright" w:cs="Calibri"/>
                <w:sz w:val="14"/>
                <w:szCs w:val="14"/>
                <w:lang w:val="es-ES"/>
              </w:rPr>
            </w:pPr>
            <w:r w:rsidRPr="00D71FE9">
              <w:rPr>
                <w:rFonts w:ascii="Lucida Bright" w:hAnsi="Lucida Bright" w:cs="Calibri"/>
                <w:sz w:val="14"/>
                <w:szCs w:val="14"/>
                <w:lang w:val="es-ES"/>
              </w:rPr>
              <w:t> </w:t>
            </w:r>
          </w:p>
        </w:tc>
        <w:tc>
          <w:tcPr>
            <w:tcW w:w="648"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sz w:val="14"/>
                <w:szCs w:val="14"/>
                <w:lang w:val="es-ES"/>
              </w:rPr>
            </w:pPr>
            <w:r w:rsidRPr="00D71FE9">
              <w:rPr>
                <w:rFonts w:ascii="Lucida Bright" w:hAnsi="Lucida Bright" w:cs="Calibri"/>
                <w:sz w:val="14"/>
                <w:szCs w:val="14"/>
                <w:lang w:val="es-ES"/>
              </w:rPr>
              <w:t xml:space="preserve">26.415.758,08 </w:t>
            </w:r>
          </w:p>
        </w:tc>
      </w:tr>
      <w:tr w:rsidR="000C7AB7" w:rsidRPr="00D71FE9" w:rsidTr="00CE686F">
        <w:trPr>
          <w:gridBefore w:val="1"/>
          <w:gridAfter w:val="1"/>
          <w:wBefore w:w="25" w:type="pct"/>
          <w:wAfter w:w="445" w:type="pct"/>
          <w:trHeight w:val="210"/>
        </w:trPr>
        <w:tc>
          <w:tcPr>
            <w:tcW w:w="1147"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71FE9" w:rsidRPr="00D71FE9" w:rsidRDefault="00D71FE9" w:rsidP="00D71FE9">
            <w:pPr>
              <w:jc w:val="center"/>
              <w:rPr>
                <w:rFonts w:ascii="Lucida Bright" w:hAnsi="Lucida Bright" w:cs="Calibri"/>
                <w:b/>
                <w:bCs/>
                <w:sz w:val="14"/>
                <w:szCs w:val="14"/>
                <w:lang w:val="es-ES"/>
              </w:rPr>
            </w:pPr>
            <w:r w:rsidRPr="00D71FE9">
              <w:rPr>
                <w:rFonts w:ascii="Lucida Bright" w:hAnsi="Lucida Bright" w:cs="Calibri"/>
                <w:b/>
                <w:bCs/>
                <w:sz w:val="14"/>
                <w:szCs w:val="14"/>
                <w:lang w:val="es-ES"/>
              </w:rPr>
              <w:t>TOTAL</w:t>
            </w:r>
          </w:p>
        </w:tc>
        <w:tc>
          <w:tcPr>
            <w:tcW w:w="424"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b/>
                <w:bCs/>
                <w:sz w:val="14"/>
                <w:szCs w:val="14"/>
                <w:lang w:val="es-ES"/>
              </w:rPr>
            </w:pPr>
            <w:r w:rsidRPr="00D71FE9">
              <w:rPr>
                <w:rFonts w:ascii="Lucida Bright" w:hAnsi="Lucida Bright" w:cs="Calibri"/>
                <w:b/>
                <w:bCs/>
                <w:sz w:val="14"/>
                <w:szCs w:val="14"/>
                <w:lang w:val="es-ES"/>
              </w:rPr>
              <w:t xml:space="preserve">41.351.024,87 </w:t>
            </w:r>
          </w:p>
        </w:tc>
        <w:tc>
          <w:tcPr>
            <w:tcW w:w="421"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b/>
                <w:bCs/>
                <w:sz w:val="14"/>
                <w:szCs w:val="14"/>
                <w:lang w:val="es-ES"/>
              </w:rPr>
            </w:pPr>
            <w:r w:rsidRPr="00D71FE9">
              <w:rPr>
                <w:rFonts w:ascii="Lucida Bright" w:hAnsi="Lucida Bright" w:cs="Calibri"/>
                <w:b/>
                <w:bCs/>
                <w:sz w:val="14"/>
                <w:szCs w:val="14"/>
                <w:lang w:val="es-ES"/>
              </w:rPr>
              <w:t xml:space="preserve">1.174.943,00 </w:t>
            </w:r>
          </w:p>
        </w:tc>
        <w:tc>
          <w:tcPr>
            <w:tcW w:w="356"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b/>
                <w:bCs/>
                <w:sz w:val="14"/>
                <w:szCs w:val="14"/>
                <w:lang w:val="es-ES"/>
              </w:rPr>
            </w:pPr>
            <w:r w:rsidRPr="00D71FE9">
              <w:rPr>
                <w:rFonts w:ascii="Lucida Bright" w:hAnsi="Lucida Bright" w:cs="Calibri"/>
                <w:b/>
                <w:bCs/>
                <w:sz w:val="14"/>
                <w:szCs w:val="14"/>
                <w:lang w:val="es-ES"/>
              </w:rPr>
              <w:t xml:space="preserve">(40.982,65) </w:t>
            </w:r>
          </w:p>
        </w:tc>
        <w:tc>
          <w:tcPr>
            <w:tcW w:w="490"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b/>
                <w:bCs/>
                <w:sz w:val="14"/>
                <w:szCs w:val="14"/>
                <w:lang w:val="es-ES"/>
              </w:rPr>
            </w:pPr>
            <w:r w:rsidRPr="00D71FE9">
              <w:rPr>
                <w:rFonts w:ascii="Lucida Bright" w:hAnsi="Lucida Bright" w:cs="Calibri"/>
                <w:b/>
                <w:bCs/>
                <w:sz w:val="14"/>
                <w:szCs w:val="14"/>
                <w:lang w:val="es-ES"/>
              </w:rPr>
              <w:t xml:space="preserve">0,16 </w:t>
            </w:r>
          </w:p>
        </w:tc>
        <w:tc>
          <w:tcPr>
            <w:tcW w:w="291"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b/>
                <w:bCs/>
                <w:sz w:val="14"/>
                <w:szCs w:val="14"/>
                <w:lang w:val="es-ES"/>
              </w:rPr>
            </w:pPr>
            <w:r w:rsidRPr="00D71FE9">
              <w:rPr>
                <w:rFonts w:ascii="Lucida Bright" w:hAnsi="Lucida Bright" w:cs="Calibri"/>
                <w:b/>
                <w:bCs/>
                <w:sz w:val="14"/>
                <w:szCs w:val="14"/>
                <w:lang w:val="es-ES"/>
              </w:rPr>
              <w:t xml:space="preserve">- </w:t>
            </w:r>
          </w:p>
        </w:tc>
        <w:tc>
          <w:tcPr>
            <w:tcW w:w="377"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b/>
                <w:bCs/>
                <w:sz w:val="14"/>
                <w:szCs w:val="14"/>
                <w:lang w:val="es-ES"/>
              </w:rPr>
            </w:pPr>
            <w:r w:rsidRPr="00D71FE9">
              <w:rPr>
                <w:rFonts w:ascii="Lucida Bright" w:hAnsi="Lucida Bright" w:cs="Calibri"/>
                <w:b/>
                <w:bCs/>
                <w:sz w:val="14"/>
                <w:szCs w:val="14"/>
                <w:lang w:val="es-ES"/>
              </w:rPr>
              <w:t xml:space="preserve">- </w:t>
            </w:r>
          </w:p>
        </w:tc>
        <w:tc>
          <w:tcPr>
            <w:tcW w:w="377" w:type="pct"/>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b/>
                <w:bCs/>
                <w:sz w:val="14"/>
                <w:szCs w:val="14"/>
                <w:lang w:val="es-ES"/>
              </w:rPr>
            </w:pPr>
            <w:r w:rsidRPr="00D71FE9">
              <w:rPr>
                <w:rFonts w:ascii="Lucida Bright" w:hAnsi="Lucida Bright" w:cs="Calibri"/>
                <w:b/>
                <w:bCs/>
                <w:sz w:val="14"/>
                <w:szCs w:val="14"/>
                <w:lang w:val="es-ES"/>
              </w:rPr>
              <w:t xml:space="preserve">- </w:t>
            </w:r>
          </w:p>
        </w:tc>
        <w:tc>
          <w:tcPr>
            <w:tcW w:w="648" w:type="pct"/>
            <w:gridSpan w:val="2"/>
            <w:tcBorders>
              <w:top w:val="nil"/>
              <w:left w:val="nil"/>
              <w:bottom w:val="single" w:sz="4" w:space="0" w:color="auto"/>
              <w:right w:val="single" w:sz="4" w:space="0" w:color="auto"/>
            </w:tcBorders>
            <w:shd w:val="clear" w:color="000000" w:fill="FFFFFF"/>
            <w:noWrap/>
            <w:vAlign w:val="center"/>
            <w:hideMark/>
          </w:tcPr>
          <w:p w:rsidR="00D71FE9" w:rsidRPr="00D71FE9" w:rsidRDefault="00D71FE9" w:rsidP="00D71FE9">
            <w:pPr>
              <w:jc w:val="right"/>
              <w:rPr>
                <w:rFonts w:ascii="Lucida Bright" w:hAnsi="Lucida Bright" w:cs="Calibri"/>
                <w:b/>
                <w:bCs/>
                <w:sz w:val="14"/>
                <w:szCs w:val="14"/>
                <w:lang w:val="es-ES"/>
              </w:rPr>
            </w:pPr>
            <w:r w:rsidRPr="00D71FE9">
              <w:rPr>
                <w:rFonts w:ascii="Lucida Bright" w:hAnsi="Lucida Bright" w:cs="Calibri"/>
                <w:b/>
                <w:bCs/>
                <w:sz w:val="14"/>
                <w:szCs w:val="14"/>
                <w:lang w:val="es-ES"/>
              </w:rPr>
              <w:t xml:space="preserve">42.484.985,38 </w:t>
            </w:r>
          </w:p>
        </w:tc>
      </w:tr>
    </w:tbl>
    <w:p w:rsidR="00671651" w:rsidRDefault="00671651" w:rsidP="00BF22FE">
      <w:pPr>
        <w:tabs>
          <w:tab w:val="left" w:leader="dot" w:pos="4395"/>
        </w:tabs>
        <w:ind w:firstLine="284"/>
        <w:jc w:val="both"/>
        <w:rPr>
          <w:bCs/>
        </w:rPr>
        <w:sectPr w:rsidR="00671651" w:rsidSect="00D81173">
          <w:pgSz w:w="16840" w:h="11907" w:orient="landscape" w:code="9"/>
          <w:pgMar w:top="1276" w:right="1701" w:bottom="1418" w:left="1701" w:header="567" w:footer="720" w:gutter="0"/>
          <w:cols w:space="720"/>
          <w:docGrid w:linePitch="272"/>
        </w:sectPr>
      </w:pPr>
    </w:p>
    <w:p w:rsidR="008323F0" w:rsidRDefault="008323F0" w:rsidP="00BF22FE">
      <w:pPr>
        <w:tabs>
          <w:tab w:val="left" w:leader="dot" w:pos="4395"/>
        </w:tabs>
        <w:ind w:firstLine="284"/>
        <w:jc w:val="both"/>
        <w:rPr>
          <w:bCs/>
        </w:rPr>
      </w:pPr>
    </w:p>
    <w:p w:rsidR="004158AB" w:rsidRDefault="004158AB" w:rsidP="00BF22FE">
      <w:pPr>
        <w:tabs>
          <w:tab w:val="left" w:leader="dot" w:pos="4395"/>
        </w:tabs>
        <w:ind w:firstLine="284"/>
        <w:jc w:val="both"/>
        <w:rPr>
          <w:bCs/>
        </w:rPr>
      </w:pPr>
    </w:p>
    <w:p w:rsidR="004158AB" w:rsidRDefault="004158AB" w:rsidP="00BF22FE">
      <w:pPr>
        <w:tabs>
          <w:tab w:val="left" w:leader="dot" w:pos="4395"/>
        </w:tabs>
        <w:ind w:firstLine="284"/>
        <w:jc w:val="both"/>
        <w:rPr>
          <w:bCs/>
        </w:rPr>
      </w:pPr>
    </w:p>
    <w:p w:rsidR="00DD4CE1" w:rsidRDefault="00DD4CE1" w:rsidP="0050293A">
      <w:pPr>
        <w:tabs>
          <w:tab w:val="left" w:leader="dot" w:pos="4395"/>
        </w:tabs>
        <w:ind w:firstLine="567"/>
        <w:jc w:val="both"/>
        <w:rPr>
          <w:rFonts w:ascii="NewBaskerville" w:hAnsi="NewBaskerville"/>
          <w:bCs/>
        </w:rPr>
      </w:pPr>
      <w:r>
        <w:rPr>
          <w:rFonts w:ascii="NewBaskerville" w:hAnsi="NewBaskerville"/>
          <w:bCs/>
        </w:rPr>
        <w:t xml:space="preserve">En el ejercicio 2024, mediante la subsanación </w:t>
      </w:r>
      <w:r w:rsidR="00CE3580">
        <w:rPr>
          <w:rFonts w:ascii="NewBaskerville" w:hAnsi="NewBaskerville"/>
          <w:bCs/>
        </w:rPr>
        <w:t>de errores contables (ven Nota 2</w:t>
      </w:r>
      <w:r>
        <w:rPr>
          <w:rFonts w:ascii="NewBaskerville" w:hAnsi="NewBaskerville"/>
          <w:bCs/>
        </w:rPr>
        <w:t>.g), se han reconocido las siguientes inversiones inmobiliarias por reversión de concesiones:</w:t>
      </w:r>
    </w:p>
    <w:p w:rsidR="00DD4CE1" w:rsidRDefault="00DD4CE1" w:rsidP="0050293A">
      <w:pPr>
        <w:tabs>
          <w:tab w:val="left" w:leader="dot" w:pos="4395"/>
        </w:tabs>
        <w:ind w:firstLine="567"/>
        <w:jc w:val="both"/>
        <w:rPr>
          <w:rFonts w:ascii="NewBaskerville" w:hAnsi="NewBaskerville"/>
          <w:bCs/>
        </w:rPr>
      </w:pPr>
      <w:r>
        <w:rPr>
          <w:rFonts w:ascii="NewBaskerville" w:hAnsi="NewBaskerville"/>
          <w:bCs/>
        </w:rPr>
        <w:t>1/ Reversión del ejercicio 2019: Instalación náutica “Marina de Botafoch” en el puerto de Eivissa referencia 827 CP/G, por un valor razonable de 9.018.238,93 euros.</w:t>
      </w:r>
    </w:p>
    <w:p w:rsidR="00DD4CE1" w:rsidRDefault="00DD4CE1" w:rsidP="0050293A">
      <w:pPr>
        <w:tabs>
          <w:tab w:val="left" w:leader="dot" w:pos="4395"/>
        </w:tabs>
        <w:ind w:firstLine="567"/>
        <w:jc w:val="both"/>
        <w:rPr>
          <w:rFonts w:ascii="NewBaskerville" w:hAnsi="NewBaskerville"/>
          <w:bCs/>
        </w:rPr>
      </w:pPr>
      <w:r>
        <w:rPr>
          <w:rFonts w:ascii="NewBaskerville" w:hAnsi="NewBaskerville"/>
          <w:bCs/>
        </w:rPr>
        <w:t>2/ Reversión del ejercicio 2022: Instalación de factoría para almacenaje y distribución de productos asfálticos en el puerto de Alcúdia referencia 0540 CP/G, por un valor razonable de 876.525,00 euros.</w:t>
      </w:r>
    </w:p>
    <w:p w:rsidR="00DD4CE1" w:rsidRDefault="00DD4CE1" w:rsidP="0050293A">
      <w:pPr>
        <w:tabs>
          <w:tab w:val="left" w:leader="dot" w:pos="4395"/>
        </w:tabs>
        <w:ind w:firstLine="567"/>
        <w:jc w:val="both"/>
        <w:rPr>
          <w:rFonts w:ascii="NewBaskerville" w:hAnsi="NewBaskerville"/>
          <w:bCs/>
        </w:rPr>
      </w:pPr>
    </w:p>
    <w:p w:rsidR="00764B1E" w:rsidRDefault="00C92258" w:rsidP="0050293A">
      <w:pPr>
        <w:tabs>
          <w:tab w:val="left" w:leader="dot" w:pos="4395"/>
        </w:tabs>
        <w:ind w:firstLine="567"/>
        <w:jc w:val="both"/>
        <w:rPr>
          <w:rFonts w:ascii="NewBaskerville" w:hAnsi="NewBaskerville"/>
          <w:bCs/>
        </w:rPr>
      </w:pPr>
      <w:r w:rsidRPr="00671651">
        <w:rPr>
          <w:rFonts w:ascii="NewBaskerville" w:hAnsi="NewBaskerville"/>
          <w:bCs/>
        </w:rPr>
        <w:t>A</w:t>
      </w:r>
      <w:r w:rsidR="00A723E7" w:rsidRPr="00671651">
        <w:rPr>
          <w:rFonts w:ascii="NewBaskerville" w:hAnsi="NewBaskerville"/>
          <w:bCs/>
        </w:rPr>
        <w:t xml:space="preserve"> 31 de</w:t>
      </w:r>
      <w:r w:rsidR="00D4480F" w:rsidRPr="00671651">
        <w:rPr>
          <w:rFonts w:ascii="NewBaskerville" w:hAnsi="NewBaskerville"/>
          <w:bCs/>
        </w:rPr>
        <w:t xml:space="preserve"> diciembre del 202</w:t>
      </w:r>
      <w:r w:rsidR="00934AA7">
        <w:rPr>
          <w:rFonts w:ascii="NewBaskerville" w:hAnsi="NewBaskerville"/>
          <w:bCs/>
        </w:rPr>
        <w:t>4</w:t>
      </w:r>
      <w:r w:rsidR="00260D31">
        <w:rPr>
          <w:rFonts w:ascii="NewBaskerville" w:hAnsi="NewBaskerville"/>
          <w:bCs/>
        </w:rPr>
        <w:t xml:space="preserve"> y 2023</w:t>
      </w:r>
      <w:r w:rsidR="00764B1E" w:rsidRPr="00671651">
        <w:rPr>
          <w:rFonts w:ascii="NewBaskerville" w:hAnsi="NewBaskerville"/>
          <w:bCs/>
        </w:rPr>
        <w:t xml:space="preserve"> </w:t>
      </w:r>
      <w:r w:rsidR="00260D31">
        <w:rPr>
          <w:rFonts w:ascii="NewBaskerville" w:hAnsi="NewBaskerville"/>
          <w:bCs/>
        </w:rPr>
        <w:t xml:space="preserve">no </w:t>
      </w:r>
      <w:r w:rsidR="00764B1E" w:rsidRPr="00671651">
        <w:rPr>
          <w:rFonts w:ascii="NewBaskerville" w:hAnsi="NewBaskerville"/>
          <w:bCs/>
        </w:rPr>
        <w:t>existen indicios de deterior</w:t>
      </w:r>
      <w:r w:rsidR="00260D31">
        <w:rPr>
          <w:rFonts w:ascii="NewBaskerville" w:hAnsi="NewBaskerville"/>
          <w:bCs/>
        </w:rPr>
        <w:t xml:space="preserve">o de inversiones  inmobiliarias, excepto </w:t>
      </w:r>
      <w:r w:rsidR="0045514E">
        <w:rPr>
          <w:rFonts w:ascii="NewBaskerville" w:hAnsi="NewBaskerville"/>
          <w:bCs/>
        </w:rPr>
        <w:t xml:space="preserve">dos edificios de apartamentos revertidos en la instalación náutica “Marina de Botafoch” que hacen un total de 48 viviendas. Estas edificaciones no se incluían en las obras del proyecto de concesión y su uso era residencial o habitacional, </w:t>
      </w:r>
      <w:r w:rsidR="00CB0AE0">
        <w:rPr>
          <w:rFonts w:ascii="NewBaskerville" w:hAnsi="NewBaskerville"/>
          <w:bCs/>
        </w:rPr>
        <w:t xml:space="preserve">y </w:t>
      </w:r>
      <w:r w:rsidR="0045514E">
        <w:rPr>
          <w:rFonts w:ascii="NewBaskerville" w:hAnsi="NewBaskerville"/>
          <w:bCs/>
        </w:rPr>
        <w:t xml:space="preserve">atendiendo a la prohibición </w:t>
      </w:r>
      <w:r w:rsidR="00CC0580">
        <w:rPr>
          <w:rFonts w:ascii="NewBaskerville" w:hAnsi="NewBaskerville"/>
          <w:bCs/>
        </w:rPr>
        <w:t xml:space="preserve">de ocupaciones y utilizaciones del dominio público portuario </w:t>
      </w:r>
      <w:r w:rsidR="00CB0AE0">
        <w:rPr>
          <w:rFonts w:ascii="NewBaskerville" w:hAnsi="NewBaskerville"/>
          <w:bCs/>
        </w:rPr>
        <w:t>especificadas en el</w:t>
      </w:r>
      <w:r w:rsidR="00CC0580">
        <w:rPr>
          <w:rFonts w:ascii="NewBaskerville" w:hAnsi="NewBaskerville"/>
          <w:bCs/>
        </w:rPr>
        <w:t xml:space="preserve"> artículo 72 del TRLPEMM actualmente están sin uso. </w:t>
      </w:r>
    </w:p>
    <w:p w:rsidR="00CE3580" w:rsidRDefault="00CB0AE0" w:rsidP="0050293A">
      <w:pPr>
        <w:tabs>
          <w:tab w:val="left" w:leader="dot" w:pos="4395"/>
        </w:tabs>
        <w:ind w:firstLine="567"/>
        <w:jc w:val="both"/>
        <w:rPr>
          <w:rFonts w:ascii="NewBaskerville" w:hAnsi="NewBaskerville"/>
          <w:bCs/>
        </w:rPr>
      </w:pPr>
      <w:r>
        <w:rPr>
          <w:rFonts w:ascii="NewBaskerville" w:hAnsi="NewBaskerville"/>
          <w:bCs/>
        </w:rPr>
        <w:t>Dicho deterioro se ha considerado de naturaleza irreversible al haber sido financiados gratuitamente</w:t>
      </w:r>
      <w:r w:rsidR="00E82CFF">
        <w:rPr>
          <w:rFonts w:ascii="NewBaskerville" w:hAnsi="NewBaskerville"/>
          <w:bCs/>
        </w:rPr>
        <w:t xml:space="preserve">, </w:t>
      </w:r>
      <w:r w:rsidR="00362904">
        <w:rPr>
          <w:rFonts w:ascii="NewBaskerville" w:hAnsi="NewBaskerville"/>
          <w:bCs/>
        </w:rPr>
        <w:t xml:space="preserve">no </w:t>
      </w:r>
      <w:r w:rsidR="00E82CFF">
        <w:rPr>
          <w:rFonts w:ascii="NewBaskerville" w:hAnsi="NewBaskerville"/>
          <w:bCs/>
        </w:rPr>
        <w:t xml:space="preserve">reconociéndose </w:t>
      </w:r>
      <w:r w:rsidR="00362904">
        <w:rPr>
          <w:rFonts w:ascii="NewBaskerville" w:hAnsi="NewBaskerville"/>
          <w:bCs/>
        </w:rPr>
        <w:t>en Balance, ni</w:t>
      </w:r>
      <w:r w:rsidR="00E82CFF">
        <w:rPr>
          <w:rFonts w:ascii="NewBaskerville" w:hAnsi="NewBaskerville"/>
          <w:bCs/>
        </w:rPr>
        <w:t xml:space="preserve"> incluyéndose en el valor razonable de los bienes revertidos en la subsanación de errores contables.</w:t>
      </w:r>
    </w:p>
    <w:p w:rsidR="00E82CFF" w:rsidRDefault="00E82CFF" w:rsidP="0050293A">
      <w:pPr>
        <w:tabs>
          <w:tab w:val="left" w:leader="dot" w:pos="4395"/>
        </w:tabs>
        <w:ind w:firstLine="567"/>
        <w:jc w:val="both"/>
        <w:rPr>
          <w:rFonts w:ascii="NewBaskerville" w:hAnsi="NewBaskerville"/>
          <w:bCs/>
        </w:rPr>
      </w:pPr>
    </w:p>
    <w:p w:rsidR="00E82CFF" w:rsidRDefault="00E82CFF" w:rsidP="0050293A">
      <w:pPr>
        <w:tabs>
          <w:tab w:val="left" w:leader="dot" w:pos="4395"/>
        </w:tabs>
        <w:ind w:firstLine="567"/>
        <w:jc w:val="both"/>
        <w:rPr>
          <w:rFonts w:ascii="NewBaskerville" w:hAnsi="NewBaskerville"/>
          <w:bCs/>
        </w:rPr>
      </w:pPr>
    </w:p>
    <w:p w:rsidR="00E82CFF" w:rsidRPr="00671651" w:rsidRDefault="00E82CFF" w:rsidP="0050293A">
      <w:pPr>
        <w:tabs>
          <w:tab w:val="left" w:leader="dot" w:pos="4395"/>
        </w:tabs>
        <w:ind w:firstLine="567"/>
        <w:jc w:val="both"/>
        <w:rPr>
          <w:rFonts w:ascii="NewBaskerville" w:hAnsi="NewBaskerville"/>
          <w:bCs/>
        </w:rPr>
      </w:pPr>
    </w:p>
    <w:p w:rsidR="00FC6508" w:rsidRPr="00671651" w:rsidRDefault="00FC6508" w:rsidP="00BF22FE">
      <w:pPr>
        <w:tabs>
          <w:tab w:val="left" w:leader="dot" w:pos="4395"/>
        </w:tabs>
        <w:ind w:firstLine="284"/>
        <w:jc w:val="both"/>
        <w:rPr>
          <w:rFonts w:ascii="NewBaskerville" w:hAnsi="NewBaskerville"/>
          <w:bCs/>
        </w:rPr>
      </w:pPr>
    </w:p>
    <w:p w:rsidR="00FC6508" w:rsidRPr="00671651" w:rsidRDefault="00FC6508" w:rsidP="0050293A">
      <w:pPr>
        <w:tabs>
          <w:tab w:val="left" w:leader="dot" w:pos="4395"/>
        </w:tabs>
        <w:ind w:firstLine="567"/>
        <w:jc w:val="both"/>
        <w:rPr>
          <w:rFonts w:ascii="NewBaskerville" w:hAnsi="NewBaskerville"/>
          <w:bCs/>
        </w:rPr>
      </w:pPr>
      <w:r w:rsidRPr="00671651">
        <w:rPr>
          <w:rFonts w:ascii="NewBaskerville" w:hAnsi="NewBaskerville"/>
          <w:bCs/>
        </w:rPr>
        <w:t xml:space="preserve">Las inversiones inmobiliarias totalmente amortizadas por epígrafe corresponden </w:t>
      </w:r>
      <w:r w:rsidR="003F24D6" w:rsidRPr="00671651">
        <w:rPr>
          <w:rFonts w:ascii="NewBaskerville" w:hAnsi="NewBaskerville"/>
          <w:bCs/>
        </w:rPr>
        <w:t>a:</w:t>
      </w:r>
    </w:p>
    <w:p w:rsidR="00FC791B" w:rsidRDefault="00FC791B" w:rsidP="00BF22FE">
      <w:pPr>
        <w:tabs>
          <w:tab w:val="left" w:leader="dot" w:pos="4395"/>
        </w:tabs>
        <w:ind w:firstLine="284"/>
        <w:jc w:val="both"/>
        <w:rPr>
          <w:bCs/>
        </w:rPr>
      </w:pPr>
    </w:p>
    <w:tbl>
      <w:tblPr>
        <w:tblW w:w="7400" w:type="dxa"/>
        <w:tblInd w:w="60" w:type="dxa"/>
        <w:tblCellMar>
          <w:left w:w="70" w:type="dxa"/>
          <w:right w:w="70" w:type="dxa"/>
        </w:tblCellMar>
        <w:tblLook w:val="04A0" w:firstRow="1" w:lastRow="0" w:firstColumn="1" w:lastColumn="0" w:noHBand="0" w:noVBand="1"/>
      </w:tblPr>
      <w:tblGrid>
        <w:gridCol w:w="3940"/>
        <w:gridCol w:w="1700"/>
        <w:gridCol w:w="1760"/>
      </w:tblGrid>
      <w:tr w:rsidR="00E82CFF" w:rsidRPr="00E82CFF" w:rsidTr="00E82CFF">
        <w:trPr>
          <w:trHeight w:val="315"/>
        </w:trPr>
        <w:tc>
          <w:tcPr>
            <w:tcW w:w="3940" w:type="dxa"/>
            <w:tcBorders>
              <w:top w:val="single" w:sz="8" w:space="0" w:color="000000"/>
              <w:left w:val="single" w:sz="8" w:space="0" w:color="000000"/>
              <w:bottom w:val="single" w:sz="8" w:space="0" w:color="000000"/>
              <w:right w:val="single" w:sz="8" w:space="0" w:color="000000"/>
            </w:tcBorders>
            <w:shd w:val="clear" w:color="000000" w:fill="CCFFCC"/>
            <w:vAlign w:val="center"/>
            <w:hideMark/>
          </w:tcPr>
          <w:p w:rsidR="00E82CFF" w:rsidRPr="00E82CFF" w:rsidRDefault="00E82CFF" w:rsidP="00E82CFF">
            <w:pPr>
              <w:jc w:val="center"/>
              <w:rPr>
                <w:rFonts w:ascii="Lucida Bright" w:hAnsi="Lucida Bright" w:cs="Calibri"/>
                <w:b/>
                <w:bCs/>
                <w:color w:val="000000"/>
                <w:sz w:val="18"/>
                <w:szCs w:val="18"/>
                <w:lang w:val="es-ES"/>
              </w:rPr>
            </w:pPr>
            <w:r w:rsidRPr="00E82CFF">
              <w:rPr>
                <w:rFonts w:ascii="Lucida Bright" w:hAnsi="Lucida Bright" w:cs="Calibri"/>
                <w:b/>
                <w:bCs/>
                <w:color w:val="000000"/>
                <w:sz w:val="18"/>
                <w:szCs w:val="18"/>
                <w:lang w:val="es-ES"/>
              </w:rPr>
              <w:t>Epígrafe</w:t>
            </w:r>
          </w:p>
        </w:tc>
        <w:tc>
          <w:tcPr>
            <w:tcW w:w="1700" w:type="dxa"/>
            <w:tcBorders>
              <w:top w:val="single" w:sz="8" w:space="0" w:color="000000"/>
              <w:left w:val="nil"/>
              <w:bottom w:val="single" w:sz="8" w:space="0" w:color="000000"/>
              <w:right w:val="single" w:sz="8" w:space="0" w:color="000000"/>
            </w:tcBorders>
            <w:shd w:val="clear" w:color="000000" w:fill="CCFFCC"/>
            <w:noWrap/>
            <w:vAlign w:val="center"/>
            <w:hideMark/>
          </w:tcPr>
          <w:p w:rsidR="00E82CFF" w:rsidRPr="00E82CFF" w:rsidRDefault="00E82CFF" w:rsidP="00E82CFF">
            <w:pPr>
              <w:jc w:val="center"/>
              <w:rPr>
                <w:rFonts w:ascii="Lucida Bright" w:hAnsi="Lucida Bright" w:cs="Calibri"/>
                <w:b/>
                <w:bCs/>
                <w:color w:val="000000"/>
                <w:sz w:val="18"/>
                <w:szCs w:val="18"/>
                <w:lang w:val="es-ES"/>
              </w:rPr>
            </w:pPr>
            <w:r w:rsidRPr="00E82CFF">
              <w:rPr>
                <w:rFonts w:ascii="Lucida Bright" w:hAnsi="Lucida Bright" w:cs="Calibri"/>
                <w:b/>
                <w:bCs/>
                <w:color w:val="000000"/>
                <w:sz w:val="18"/>
                <w:szCs w:val="18"/>
                <w:lang w:val="es-ES"/>
              </w:rPr>
              <w:t>2024</w:t>
            </w:r>
          </w:p>
        </w:tc>
        <w:tc>
          <w:tcPr>
            <w:tcW w:w="1760" w:type="dxa"/>
            <w:tcBorders>
              <w:top w:val="single" w:sz="8" w:space="0" w:color="000000"/>
              <w:left w:val="nil"/>
              <w:bottom w:val="single" w:sz="8" w:space="0" w:color="000000"/>
              <w:right w:val="single" w:sz="8" w:space="0" w:color="000000"/>
            </w:tcBorders>
            <w:shd w:val="clear" w:color="000000" w:fill="CCFFCC"/>
            <w:noWrap/>
            <w:vAlign w:val="center"/>
            <w:hideMark/>
          </w:tcPr>
          <w:p w:rsidR="00E82CFF" w:rsidRPr="00E82CFF" w:rsidRDefault="00E82CFF" w:rsidP="00E82CFF">
            <w:pPr>
              <w:jc w:val="center"/>
              <w:rPr>
                <w:rFonts w:ascii="Lucida Bright" w:hAnsi="Lucida Bright" w:cs="Calibri"/>
                <w:b/>
                <w:bCs/>
                <w:color w:val="000000"/>
                <w:sz w:val="18"/>
                <w:szCs w:val="18"/>
                <w:lang w:val="es-ES"/>
              </w:rPr>
            </w:pPr>
            <w:r w:rsidRPr="00E82CFF">
              <w:rPr>
                <w:rFonts w:ascii="Lucida Bright" w:hAnsi="Lucida Bright" w:cs="Calibri"/>
                <w:b/>
                <w:bCs/>
                <w:color w:val="000000"/>
                <w:sz w:val="18"/>
                <w:szCs w:val="18"/>
                <w:lang w:val="es-ES"/>
              </w:rPr>
              <w:t>2023</w:t>
            </w:r>
          </w:p>
        </w:tc>
      </w:tr>
      <w:tr w:rsidR="00E82CFF" w:rsidRPr="00E82CFF" w:rsidTr="00E82CFF">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E82CFF" w:rsidRPr="00E82CFF" w:rsidRDefault="00E82CFF" w:rsidP="00E82CFF">
            <w:pPr>
              <w:rPr>
                <w:rFonts w:ascii="Lucida Bright" w:hAnsi="Lucida Bright" w:cs="Calibri"/>
                <w:color w:val="000000"/>
                <w:sz w:val="18"/>
                <w:szCs w:val="18"/>
                <w:lang w:val="es-ES"/>
              </w:rPr>
            </w:pPr>
            <w:r w:rsidRPr="00E82CFF">
              <w:rPr>
                <w:rFonts w:ascii="Lucida Bright" w:hAnsi="Lucida Bright" w:cs="Calibri"/>
                <w:color w:val="000000"/>
                <w:sz w:val="18"/>
                <w:szCs w:val="18"/>
                <w:lang w:val="es-ES"/>
              </w:rPr>
              <w:t>Instalaciones para reparación de barcos</w:t>
            </w:r>
          </w:p>
        </w:tc>
        <w:tc>
          <w:tcPr>
            <w:tcW w:w="1700" w:type="dxa"/>
            <w:tcBorders>
              <w:top w:val="nil"/>
              <w:left w:val="nil"/>
              <w:bottom w:val="single" w:sz="8" w:space="0" w:color="000000"/>
              <w:right w:val="single" w:sz="8" w:space="0" w:color="000000"/>
            </w:tcBorders>
            <w:shd w:val="clear" w:color="000000" w:fill="FFFFFF"/>
            <w:noWrap/>
            <w:vAlign w:val="center"/>
            <w:hideMark/>
          </w:tcPr>
          <w:p w:rsidR="00E82CFF" w:rsidRPr="00E82CFF" w:rsidRDefault="00E82CFF" w:rsidP="00E82CFF">
            <w:pPr>
              <w:jc w:val="right"/>
              <w:rPr>
                <w:rFonts w:ascii="Lucida Bright" w:hAnsi="Lucida Bright" w:cs="Calibri"/>
                <w:color w:val="000000"/>
                <w:sz w:val="18"/>
                <w:szCs w:val="18"/>
                <w:lang w:val="es-ES"/>
              </w:rPr>
            </w:pPr>
            <w:r w:rsidRPr="00E82CFF">
              <w:rPr>
                <w:rFonts w:ascii="Lucida Bright" w:hAnsi="Lucida Bright" w:cs="Calibri"/>
                <w:color w:val="000000"/>
                <w:sz w:val="18"/>
                <w:szCs w:val="18"/>
                <w:lang w:val="es-ES"/>
              </w:rPr>
              <w:t>1.557.284,13</w:t>
            </w:r>
          </w:p>
        </w:tc>
        <w:tc>
          <w:tcPr>
            <w:tcW w:w="1760" w:type="dxa"/>
            <w:tcBorders>
              <w:top w:val="nil"/>
              <w:left w:val="nil"/>
              <w:bottom w:val="single" w:sz="8" w:space="0" w:color="000000"/>
              <w:right w:val="single" w:sz="8" w:space="0" w:color="000000"/>
            </w:tcBorders>
            <w:shd w:val="clear" w:color="000000" w:fill="FFFFFF"/>
            <w:noWrap/>
            <w:vAlign w:val="center"/>
            <w:hideMark/>
          </w:tcPr>
          <w:p w:rsidR="00E82CFF" w:rsidRPr="00E82CFF" w:rsidRDefault="00E82CFF" w:rsidP="00E82CFF">
            <w:pPr>
              <w:jc w:val="right"/>
              <w:rPr>
                <w:rFonts w:ascii="Lucida Bright" w:hAnsi="Lucida Bright" w:cs="Calibri"/>
                <w:color w:val="000000"/>
                <w:sz w:val="18"/>
                <w:szCs w:val="18"/>
                <w:lang w:val="es-ES"/>
              </w:rPr>
            </w:pPr>
            <w:r w:rsidRPr="00E82CFF">
              <w:rPr>
                <w:rFonts w:ascii="Lucida Bright" w:hAnsi="Lucida Bright" w:cs="Calibri"/>
                <w:color w:val="000000"/>
                <w:sz w:val="18"/>
                <w:szCs w:val="18"/>
                <w:lang w:val="es-ES"/>
              </w:rPr>
              <w:t>1.557.284,13</w:t>
            </w:r>
          </w:p>
        </w:tc>
      </w:tr>
      <w:tr w:rsidR="00E82CFF" w:rsidRPr="00E82CFF" w:rsidTr="00E82CFF">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E82CFF" w:rsidRPr="00E82CFF" w:rsidRDefault="00E82CFF" w:rsidP="00E82CFF">
            <w:pPr>
              <w:rPr>
                <w:rFonts w:ascii="Lucida Bright" w:hAnsi="Lucida Bright" w:cs="Calibri"/>
                <w:color w:val="000000"/>
                <w:sz w:val="18"/>
                <w:szCs w:val="18"/>
                <w:lang w:val="es-ES"/>
              </w:rPr>
            </w:pPr>
            <w:r w:rsidRPr="00E82CFF">
              <w:rPr>
                <w:rFonts w:ascii="Lucida Bright" w:hAnsi="Lucida Bright" w:cs="Calibri"/>
                <w:color w:val="000000"/>
                <w:sz w:val="18"/>
                <w:szCs w:val="18"/>
                <w:lang w:val="es-ES"/>
              </w:rPr>
              <w:t>Edificaciones</w:t>
            </w:r>
          </w:p>
        </w:tc>
        <w:tc>
          <w:tcPr>
            <w:tcW w:w="1700" w:type="dxa"/>
            <w:tcBorders>
              <w:top w:val="nil"/>
              <w:left w:val="nil"/>
              <w:bottom w:val="single" w:sz="8" w:space="0" w:color="000000"/>
              <w:right w:val="single" w:sz="8" w:space="0" w:color="000000"/>
            </w:tcBorders>
            <w:shd w:val="clear" w:color="000000" w:fill="FFFFFF"/>
            <w:noWrap/>
            <w:vAlign w:val="center"/>
            <w:hideMark/>
          </w:tcPr>
          <w:p w:rsidR="00E82CFF" w:rsidRPr="00E82CFF" w:rsidRDefault="00E82CFF" w:rsidP="00E82CFF">
            <w:pPr>
              <w:jc w:val="right"/>
              <w:rPr>
                <w:rFonts w:ascii="Lucida Bright" w:hAnsi="Lucida Bright" w:cs="Calibri"/>
                <w:color w:val="000000"/>
                <w:sz w:val="18"/>
                <w:szCs w:val="18"/>
                <w:lang w:val="es-ES"/>
              </w:rPr>
            </w:pPr>
            <w:r w:rsidRPr="00E82CFF">
              <w:rPr>
                <w:rFonts w:ascii="Lucida Bright" w:hAnsi="Lucida Bright" w:cs="Calibri"/>
                <w:color w:val="000000"/>
                <w:sz w:val="18"/>
                <w:szCs w:val="18"/>
                <w:lang w:val="es-ES"/>
              </w:rPr>
              <w:t>6.174.419,18</w:t>
            </w:r>
          </w:p>
        </w:tc>
        <w:tc>
          <w:tcPr>
            <w:tcW w:w="1760" w:type="dxa"/>
            <w:tcBorders>
              <w:top w:val="nil"/>
              <w:left w:val="nil"/>
              <w:bottom w:val="single" w:sz="8" w:space="0" w:color="000000"/>
              <w:right w:val="single" w:sz="8" w:space="0" w:color="000000"/>
            </w:tcBorders>
            <w:shd w:val="clear" w:color="000000" w:fill="FFFFFF"/>
            <w:noWrap/>
            <w:vAlign w:val="center"/>
            <w:hideMark/>
          </w:tcPr>
          <w:p w:rsidR="00E82CFF" w:rsidRPr="00E82CFF" w:rsidRDefault="00E82CFF" w:rsidP="00E82CFF">
            <w:pPr>
              <w:jc w:val="right"/>
              <w:rPr>
                <w:rFonts w:ascii="Lucida Bright" w:hAnsi="Lucida Bright" w:cs="Calibri"/>
                <w:color w:val="000000"/>
                <w:sz w:val="18"/>
                <w:szCs w:val="18"/>
                <w:lang w:val="es-ES"/>
              </w:rPr>
            </w:pPr>
            <w:r w:rsidRPr="00E82CFF">
              <w:rPr>
                <w:rFonts w:ascii="Lucida Bright" w:hAnsi="Lucida Bright" w:cs="Calibri"/>
                <w:color w:val="000000"/>
                <w:sz w:val="18"/>
                <w:szCs w:val="18"/>
                <w:lang w:val="es-ES"/>
              </w:rPr>
              <w:t>5.475.840,25</w:t>
            </w:r>
          </w:p>
        </w:tc>
      </w:tr>
      <w:tr w:rsidR="00E82CFF" w:rsidRPr="00E82CFF" w:rsidTr="00E82CFF">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E82CFF" w:rsidRPr="00E82CFF" w:rsidRDefault="00E82CFF" w:rsidP="00E82CFF">
            <w:pPr>
              <w:rPr>
                <w:rFonts w:ascii="Lucida Bright" w:hAnsi="Lucida Bright" w:cs="Calibri"/>
                <w:color w:val="000000"/>
                <w:sz w:val="18"/>
                <w:szCs w:val="18"/>
                <w:lang w:val="es-ES"/>
              </w:rPr>
            </w:pPr>
            <w:r w:rsidRPr="00E82CFF">
              <w:rPr>
                <w:rFonts w:ascii="Lucida Bright" w:hAnsi="Lucida Bright" w:cs="Calibri"/>
                <w:color w:val="000000"/>
                <w:sz w:val="18"/>
                <w:szCs w:val="18"/>
                <w:lang w:val="es-ES"/>
              </w:rPr>
              <w:t>Instalaciones generales</w:t>
            </w:r>
          </w:p>
        </w:tc>
        <w:tc>
          <w:tcPr>
            <w:tcW w:w="1700" w:type="dxa"/>
            <w:tcBorders>
              <w:top w:val="nil"/>
              <w:left w:val="nil"/>
              <w:bottom w:val="single" w:sz="8" w:space="0" w:color="000000"/>
              <w:right w:val="single" w:sz="8" w:space="0" w:color="000000"/>
            </w:tcBorders>
            <w:shd w:val="clear" w:color="000000" w:fill="FFFFFF"/>
            <w:noWrap/>
            <w:vAlign w:val="center"/>
            <w:hideMark/>
          </w:tcPr>
          <w:p w:rsidR="00E82CFF" w:rsidRPr="00E82CFF" w:rsidRDefault="00E82CFF" w:rsidP="00E82CFF">
            <w:pPr>
              <w:jc w:val="right"/>
              <w:rPr>
                <w:rFonts w:ascii="Lucida Bright" w:hAnsi="Lucida Bright" w:cs="Calibri"/>
                <w:color w:val="000000"/>
                <w:sz w:val="18"/>
                <w:szCs w:val="18"/>
                <w:lang w:val="es-ES"/>
              </w:rPr>
            </w:pPr>
            <w:r w:rsidRPr="00E82CFF">
              <w:rPr>
                <w:rFonts w:ascii="Lucida Bright" w:hAnsi="Lucida Bright" w:cs="Calibri"/>
                <w:color w:val="000000"/>
                <w:sz w:val="18"/>
                <w:szCs w:val="18"/>
                <w:lang w:val="es-ES"/>
              </w:rPr>
              <w:t>876.476,18</w:t>
            </w:r>
          </w:p>
        </w:tc>
        <w:tc>
          <w:tcPr>
            <w:tcW w:w="1760" w:type="dxa"/>
            <w:tcBorders>
              <w:top w:val="nil"/>
              <w:left w:val="nil"/>
              <w:bottom w:val="single" w:sz="8" w:space="0" w:color="000000"/>
              <w:right w:val="single" w:sz="8" w:space="0" w:color="000000"/>
            </w:tcBorders>
            <w:shd w:val="clear" w:color="000000" w:fill="FFFFFF"/>
            <w:noWrap/>
            <w:vAlign w:val="center"/>
            <w:hideMark/>
          </w:tcPr>
          <w:p w:rsidR="00E82CFF" w:rsidRPr="00E82CFF" w:rsidRDefault="00E82CFF" w:rsidP="00E82CFF">
            <w:pPr>
              <w:jc w:val="right"/>
              <w:rPr>
                <w:rFonts w:ascii="Lucida Bright" w:hAnsi="Lucida Bright" w:cs="Calibri"/>
                <w:color w:val="000000"/>
                <w:sz w:val="18"/>
                <w:szCs w:val="18"/>
                <w:lang w:val="es-ES"/>
              </w:rPr>
            </w:pPr>
            <w:r w:rsidRPr="00E82CFF">
              <w:rPr>
                <w:rFonts w:ascii="Lucida Bright" w:hAnsi="Lucida Bright" w:cs="Calibri"/>
                <w:color w:val="000000"/>
                <w:sz w:val="18"/>
                <w:szCs w:val="18"/>
                <w:lang w:val="es-ES"/>
              </w:rPr>
              <w:t>876.476,18</w:t>
            </w:r>
          </w:p>
        </w:tc>
      </w:tr>
      <w:tr w:rsidR="00E82CFF" w:rsidRPr="00E82CFF" w:rsidTr="00E82CFF">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E82CFF" w:rsidRPr="00E82CFF" w:rsidRDefault="00E82CFF" w:rsidP="00E82CFF">
            <w:pPr>
              <w:rPr>
                <w:rFonts w:ascii="Lucida Bright" w:hAnsi="Lucida Bright" w:cs="Calibri"/>
                <w:color w:val="000000"/>
                <w:sz w:val="18"/>
                <w:szCs w:val="18"/>
                <w:lang w:val="es-ES"/>
              </w:rPr>
            </w:pPr>
            <w:r w:rsidRPr="00E82CFF">
              <w:rPr>
                <w:rFonts w:ascii="Lucida Bright" w:hAnsi="Lucida Bright" w:cs="Calibri"/>
                <w:color w:val="000000"/>
                <w:sz w:val="18"/>
                <w:szCs w:val="18"/>
                <w:lang w:val="es-ES"/>
              </w:rPr>
              <w:t>Pavimentos, calzadas y vías de circulación</w:t>
            </w:r>
          </w:p>
        </w:tc>
        <w:tc>
          <w:tcPr>
            <w:tcW w:w="1700" w:type="dxa"/>
            <w:tcBorders>
              <w:top w:val="nil"/>
              <w:left w:val="nil"/>
              <w:bottom w:val="single" w:sz="8" w:space="0" w:color="000000"/>
              <w:right w:val="single" w:sz="8" w:space="0" w:color="000000"/>
            </w:tcBorders>
            <w:shd w:val="clear" w:color="000000" w:fill="FFFFFF"/>
            <w:noWrap/>
            <w:vAlign w:val="center"/>
            <w:hideMark/>
          </w:tcPr>
          <w:p w:rsidR="00E82CFF" w:rsidRPr="00E82CFF" w:rsidRDefault="00E82CFF" w:rsidP="00E82CFF">
            <w:pPr>
              <w:jc w:val="right"/>
              <w:rPr>
                <w:rFonts w:ascii="Lucida Bright" w:hAnsi="Lucida Bright" w:cs="Calibri"/>
                <w:color w:val="000000"/>
                <w:sz w:val="18"/>
                <w:szCs w:val="18"/>
                <w:lang w:val="es-ES"/>
              </w:rPr>
            </w:pPr>
            <w:r w:rsidRPr="00E82CFF">
              <w:rPr>
                <w:rFonts w:ascii="Lucida Bright" w:hAnsi="Lucida Bright" w:cs="Calibri"/>
                <w:color w:val="000000"/>
                <w:sz w:val="18"/>
                <w:szCs w:val="18"/>
                <w:lang w:val="es-ES"/>
              </w:rPr>
              <w:t>25.603.702,77</w:t>
            </w:r>
          </w:p>
        </w:tc>
        <w:tc>
          <w:tcPr>
            <w:tcW w:w="1760" w:type="dxa"/>
            <w:tcBorders>
              <w:top w:val="nil"/>
              <w:left w:val="nil"/>
              <w:bottom w:val="single" w:sz="8" w:space="0" w:color="000000"/>
              <w:right w:val="single" w:sz="8" w:space="0" w:color="000000"/>
            </w:tcBorders>
            <w:shd w:val="clear" w:color="000000" w:fill="FFFFFF"/>
            <w:noWrap/>
            <w:vAlign w:val="center"/>
            <w:hideMark/>
          </w:tcPr>
          <w:p w:rsidR="00E82CFF" w:rsidRPr="00E82CFF" w:rsidRDefault="00E82CFF" w:rsidP="00E82CFF">
            <w:pPr>
              <w:jc w:val="right"/>
              <w:rPr>
                <w:rFonts w:ascii="Lucida Bright" w:hAnsi="Lucida Bright" w:cs="Calibri"/>
                <w:color w:val="000000"/>
                <w:sz w:val="18"/>
                <w:szCs w:val="18"/>
                <w:lang w:val="es-ES"/>
              </w:rPr>
            </w:pPr>
            <w:r w:rsidRPr="00E82CFF">
              <w:rPr>
                <w:rFonts w:ascii="Lucida Bright" w:hAnsi="Lucida Bright" w:cs="Calibri"/>
                <w:color w:val="000000"/>
                <w:sz w:val="18"/>
                <w:szCs w:val="18"/>
                <w:lang w:val="es-ES"/>
              </w:rPr>
              <w:t>25.335.651,41</w:t>
            </w:r>
          </w:p>
        </w:tc>
      </w:tr>
      <w:tr w:rsidR="00E82CFF" w:rsidRPr="00E82CFF" w:rsidTr="00E82CFF">
        <w:trPr>
          <w:trHeight w:val="315"/>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E82CFF" w:rsidRPr="00E82CFF" w:rsidRDefault="00E82CFF" w:rsidP="00E82CFF">
            <w:pPr>
              <w:ind w:firstLineChars="200" w:firstLine="361"/>
              <w:jc w:val="right"/>
              <w:rPr>
                <w:rFonts w:ascii="Lucida Bright" w:hAnsi="Lucida Bright" w:cs="Calibri"/>
                <w:b/>
                <w:bCs/>
                <w:color w:val="000000"/>
                <w:sz w:val="18"/>
                <w:szCs w:val="18"/>
                <w:lang w:val="es-ES"/>
              </w:rPr>
            </w:pPr>
            <w:r w:rsidRPr="00E82CFF">
              <w:rPr>
                <w:rFonts w:ascii="Lucida Bright" w:hAnsi="Lucida Bright" w:cs="Calibri"/>
                <w:b/>
                <w:bCs/>
                <w:color w:val="000000"/>
                <w:sz w:val="18"/>
                <w:szCs w:val="18"/>
                <w:lang w:val="es-ES"/>
              </w:rPr>
              <w:t>TOTAL</w:t>
            </w:r>
          </w:p>
        </w:tc>
        <w:tc>
          <w:tcPr>
            <w:tcW w:w="1700" w:type="dxa"/>
            <w:tcBorders>
              <w:top w:val="nil"/>
              <w:left w:val="nil"/>
              <w:bottom w:val="single" w:sz="8" w:space="0" w:color="000000"/>
              <w:right w:val="single" w:sz="8" w:space="0" w:color="000000"/>
            </w:tcBorders>
            <w:shd w:val="clear" w:color="auto" w:fill="auto"/>
            <w:noWrap/>
            <w:vAlign w:val="center"/>
            <w:hideMark/>
          </w:tcPr>
          <w:p w:rsidR="00E82CFF" w:rsidRPr="00E82CFF" w:rsidRDefault="00E82CFF" w:rsidP="00E82CFF">
            <w:pPr>
              <w:jc w:val="right"/>
              <w:rPr>
                <w:rFonts w:ascii="Lucida Bright" w:hAnsi="Lucida Bright" w:cs="Calibri"/>
                <w:b/>
                <w:bCs/>
                <w:color w:val="000000"/>
                <w:sz w:val="18"/>
                <w:szCs w:val="18"/>
                <w:lang w:val="es-ES"/>
              </w:rPr>
            </w:pPr>
            <w:r w:rsidRPr="00E82CFF">
              <w:rPr>
                <w:rFonts w:ascii="Lucida Bright" w:hAnsi="Lucida Bright" w:cs="Calibri"/>
                <w:b/>
                <w:bCs/>
                <w:color w:val="000000"/>
                <w:sz w:val="18"/>
                <w:szCs w:val="18"/>
                <w:lang w:val="es-ES"/>
              </w:rPr>
              <w:t>34.211.882,26</w:t>
            </w:r>
          </w:p>
        </w:tc>
        <w:tc>
          <w:tcPr>
            <w:tcW w:w="1760" w:type="dxa"/>
            <w:tcBorders>
              <w:top w:val="nil"/>
              <w:left w:val="nil"/>
              <w:bottom w:val="single" w:sz="8" w:space="0" w:color="000000"/>
              <w:right w:val="single" w:sz="8" w:space="0" w:color="000000"/>
            </w:tcBorders>
            <w:shd w:val="clear" w:color="auto" w:fill="auto"/>
            <w:noWrap/>
            <w:vAlign w:val="center"/>
            <w:hideMark/>
          </w:tcPr>
          <w:p w:rsidR="00E82CFF" w:rsidRPr="00E82CFF" w:rsidRDefault="00E82CFF" w:rsidP="00E82CFF">
            <w:pPr>
              <w:jc w:val="right"/>
              <w:rPr>
                <w:rFonts w:ascii="Lucida Bright" w:hAnsi="Lucida Bright" w:cs="Calibri"/>
                <w:b/>
                <w:bCs/>
                <w:color w:val="000000"/>
                <w:sz w:val="18"/>
                <w:szCs w:val="18"/>
                <w:lang w:val="es-ES"/>
              </w:rPr>
            </w:pPr>
            <w:r w:rsidRPr="00E82CFF">
              <w:rPr>
                <w:rFonts w:ascii="Lucida Bright" w:hAnsi="Lucida Bright" w:cs="Calibri"/>
                <w:b/>
                <w:bCs/>
                <w:color w:val="000000"/>
                <w:sz w:val="18"/>
                <w:szCs w:val="18"/>
                <w:lang w:val="es-ES"/>
              </w:rPr>
              <w:t>33.245.251,97</w:t>
            </w:r>
          </w:p>
        </w:tc>
      </w:tr>
    </w:tbl>
    <w:p w:rsidR="00FC791B" w:rsidRDefault="00FC791B" w:rsidP="00BF22FE">
      <w:pPr>
        <w:tabs>
          <w:tab w:val="left" w:leader="dot" w:pos="4395"/>
        </w:tabs>
        <w:ind w:firstLine="284"/>
        <w:jc w:val="both"/>
        <w:rPr>
          <w:bCs/>
        </w:rPr>
      </w:pPr>
    </w:p>
    <w:p w:rsidR="003A3F89" w:rsidRDefault="003A3F89" w:rsidP="00BF22FE">
      <w:pPr>
        <w:tabs>
          <w:tab w:val="left" w:leader="dot" w:pos="4395"/>
        </w:tabs>
        <w:ind w:firstLine="284"/>
        <w:jc w:val="both"/>
        <w:rPr>
          <w:bCs/>
        </w:rPr>
      </w:pPr>
    </w:p>
    <w:p w:rsidR="00E82CFF" w:rsidRDefault="00E82CFF" w:rsidP="00BF22FE">
      <w:pPr>
        <w:tabs>
          <w:tab w:val="left" w:leader="dot" w:pos="4395"/>
        </w:tabs>
        <w:ind w:firstLine="284"/>
        <w:jc w:val="both"/>
        <w:rPr>
          <w:bCs/>
        </w:rPr>
      </w:pPr>
    </w:p>
    <w:p w:rsidR="00E82CFF" w:rsidRDefault="00E82CFF" w:rsidP="00A96998">
      <w:pPr>
        <w:tabs>
          <w:tab w:val="right" w:pos="8364"/>
        </w:tabs>
        <w:ind w:firstLine="540"/>
        <w:jc w:val="both"/>
        <w:rPr>
          <w:rFonts w:ascii="NewBaskerville" w:hAnsi="NewBaskerville"/>
          <w:bCs/>
        </w:rPr>
      </w:pPr>
    </w:p>
    <w:p w:rsidR="00A96998" w:rsidRDefault="00A96998" w:rsidP="00A96998">
      <w:pPr>
        <w:tabs>
          <w:tab w:val="right" w:pos="8364"/>
        </w:tabs>
        <w:ind w:firstLine="540"/>
        <w:jc w:val="both"/>
        <w:rPr>
          <w:rFonts w:ascii="NewBaskerville" w:hAnsi="NewBaskerville"/>
          <w:bCs/>
        </w:rPr>
      </w:pPr>
      <w:r>
        <w:rPr>
          <w:rFonts w:ascii="NewBaskerville" w:hAnsi="NewBaskerville"/>
          <w:bCs/>
        </w:rPr>
        <w:t>Bajas y retiros:</w:t>
      </w:r>
    </w:p>
    <w:p w:rsidR="00A96998" w:rsidRDefault="00A96998" w:rsidP="00A96998">
      <w:pPr>
        <w:tabs>
          <w:tab w:val="right" w:pos="8364"/>
        </w:tabs>
        <w:ind w:firstLine="540"/>
        <w:jc w:val="both"/>
        <w:rPr>
          <w:rFonts w:ascii="NewBaskerville" w:hAnsi="NewBaskerville"/>
          <w:bCs/>
        </w:rPr>
      </w:pPr>
    </w:p>
    <w:p w:rsidR="00A96998" w:rsidRDefault="00A96998" w:rsidP="00A96998">
      <w:pPr>
        <w:tabs>
          <w:tab w:val="right" w:pos="8364"/>
        </w:tabs>
        <w:ind w:firstLine="540"/>
        <w:jc w:val="both"/>
        <w:rPr>
          <w:rFonts w:ascii="NewBaskerville" w:hAnsi="NewBaskerville"/>
          <w:bCs/>
        </w:rPr>
      </w:pPr>
      <w:r>
        <w:rPr>
          <w:rFonts w:ascii="NewBaskerville" w:hAnsi="NewBaskerville"/>
          <w:bCs/>
        </w:rPr>
        <w:t>Durante el ejercicio 202</w:t>
      </w:r>
      <w:r w:rsidR="00E82CFF">
        <w:rPr>
          <w:rFonts w:ascii="NewBaskerville" w:hAnsi="NewBaskerville"/>
          <w:bCs/>
        </w:rPr>
        <w:t>4</w:t>
      </w:r>
      <w:r>
        <w:rPr>
          <w:rFonts w:ascii="NewBaskerville" w:hAnsi="NewBaskerville"/>
          <w:bCs/>
        </w:rPr>
        <w:t xml:space="preserve"> se han producido bajas en inversiones inmobiliarias debido a:</w:t>
      </w:r>
    </w:p>
    <w:p w:rsidR="00A96998" w:rsidRDefault="00A96998" w:rsidP="00A96998">
      <w:pPr>
        <w:tabs>
          <w:tab w:val="right" w:pos="8364"/>
        </w:tabs>
        <w:ind w:firstLine="540"/>
        <w:jc w:val="both"/>
        <w:rPr>
          <w:rFonts w:ascii="NewBaskerville" w:hAnsi="NewBaskerville"/>
          <w:bCs/>
        </w:rPr>
      </w:pPr>
    </w:p>
    <w:p w:rsidR="00A96998" w:rsidRDefault="00A96998" w:rsidP="00A96998">
      <w:pPr>
        <w:pStyle w:val="Prrafodelista"/>
        <w:numPr>
          <w:ilvl w:val="0"/>
          <w:numId w:val="6"/>
        </w:numPr>
        <w:tabs>
          <w:tab w:val="right" w:pos="8364"/>
        </w:tabs>
        <w:jc w:val="both"/>
        <w:rPr>
          <w:rFonts w:ascii="NewBaskerville" w:hAnsi="NewBaskerville"/>
          <w:bCs/>
        </w:rPr>
      </w:pPr>
      <w:r>
        <w:rPr>
          <w:rFonts w:ascii="NewBaskerville" w:hAnsi="NewBaskerville"/>
          <w:bCs/>
        </w:rPr>
        <w:t>Por pasar a situación de fuera de uso tras finalizar su vida útil, o por su antigüedad en el final de la misma.</w:t>
      </w:r>
    </w:p>
    <w:p w:rsidR="00A96998" w:rsidRDefault="00A96998" w:rsidP="00A96998">
      <w:pPr>
        <w:pStyle w:val="Prrafodelista"/>
        <w:numPr>
          <w:ilvl w:val="0"/>
          <w:numId w:val="6"/>
        </w:numPr>
        <w:tabs>
          <w:tab w:val="right" w:pos="8364"/>
        </w:tabs>
        <w:jc w:val="both"/>
        <w:rPr>
          <w:rFonts w:ascii="NewBaskerville" w:hAnsi="NewBaskerville"/>
          <w:bCs/>
        </w:rPr>
      </w:pPr>
      <w:r>
        <w:rPr>
          <w:rFonts w:ascii="NewBaskerville" w:hAnsi="NewBaskerville"/>
          <w:bCs/>
        </w:rPr>
        <w:t>Por su desaparición física constatada mediante inventario físico.</w:t>
      </w:r>
    </w:p>
    <w:p w:rsidR="00A96998" w:rsidRDefault="00A96998" w:rsidP="00A96998">
      <w:pPr>
        <w:tabs>
          <w:tab w:val="right" w:pos="8364"/>
        </w:tabs>
        <w:jc w:val="both"/>
        <w:rPr>
          <w:rFonts w:ascii="NewBaskerville" w:hAnsi="NewBaskerville"/>
          <w:bCs/>
        </w:rPr>
      </w:pPr>
    </w:p>
    <w:p w:rsidR="00A96998" w:rsidRDefault="00A96998" w:rsidP="00A96998">
      <w:pPr>
        <w:tabs>
          <w:tab w:val="right" w:pos="8364"/>
        </w:tabs>
        <w:ind w:firstLine="567"/>
        <w:jc w:val="both"/>
        <w:rPr>
          <w:rFonts w:ascii="NewBaskerville" w:hAnsi="NewBaskerville"/>
          <w:bCs/>
        </w:rPr>
      </w:pPr>
      <w:r>
        <w:rPr>
          <w:rFonts w:ascii="NewBaskerville" w:hAnsi="NewBaskerville"/>
          <w:bCs/>
        </w:rPr>
        <w:t xml:space="preserve">En </w:t>
      </w:r>
      <w:r w:rsidR="00350D1C">
        <w:rPr>
          <w:rFonts w:ascii="NewBaskerville" w:hAnsi="NewBaskerville"/>
          <w:bCs/>
        </w:rPr>
        <w:t>ningún caso se esperaba</w:t>
      </w:r>
      <w:r>
        <w:rPr>
          <w:rFonts w:ascii="NewBaskerville" w:hAnsi="NewBaskerville"/>
          <w:bCs/>
        </w:rPr>
        <w:t xml:space="preserve"> obtener de estas inversiones inmobiliarias beneficios o rendimientos económicos futuros.</w:t>
      </w:r>
    </w:p>
    <w:p w:rsidR="00A96998" w:rsidRDefault="00A96998" w:rsidP="00A96998">
      <w:pPr>
        <w:tabs>
          <w:tab w:val="right" w:pos="8364"/>
        </w:tabs>
        <w:ind w:firstLine="567"/>
        <w:jc w:val="both"/>
        <w:rPr>
          <w:rFonts w:ascii="NewBaskerville" w:hAnsi="NewBaskerville"/>
          <w:bCs/>
        </w:rPr>
      </w:pPr>
    </w:p>
    <w:p w:rsidR="00E82CFF" w:rsidRDefault="00E82CFF" w:rsidP="00A96998">
      <w:pPr>
        <w:tabs>
          <w:tab w:val="right" w:pos="8364"/>
        </w:tabs>
        <w:ind w:firstLine="567"/>
        <w:jc w:val="both"/>
        <w:rPr>
          <w:rFonts w:ascii="NewBaskerville" w:hAnsi="NewBaskerville"/>
          <w:bCs/>
        </w:rPr>
      </w:pPr>
    </w:p>
    <w:p w:rsidR="00E82CFF" w:rsidRDefault="00E82CFF" w:rsidP="00A96998">
      <w:pPr>
        <w:tabs>
          <w:tab w:val="right" w:pos="8364"/>
        </w:tabs>
        <w:ind w:firstLine="567"/>
        <w:jc w:val="both"/>
        <w:rPr>
          <w:rFonts w:ascii="NewBaskerville" w:hAnsi="NewBaskerville"/>
          <w:bCs/>
        </w:rPr>
      </w:pPr>
    </w:p>
    <w:p w:rsidR="00E82CFF" w:rsidRDefault="00E82CFF" w:rsidP="00A96998">
      <w:pPr>
        <w:tabs>
          <w:tab w:val="right" w:pos="8364"/>
        </w:tabs>
        <w:ind w:firstLine="567"/>
        <w:jc w:val="both"/>
        <w:rPr>
          <w:rFonts w:ascii="NewBaskerville" w:hAnsi="NewBaskerville"/>
          <w:bCs/>
        </w:rPr>
      </w:pPr>
    </w:p>
    <w:p w:rsidR="00E82CFF" w:rsidRDefault="00E82CFF" w:rsidP="00A96998">
      <w:pPr>
        <w:tabs>
          <w:tab w:val="right" w:pos="8364"/>
        </w:tabs>
        <w:ind w:firstLine="567"/>
        <w:jc w:val="both"/>
        <w:rPr>
          <w:rFonts w:ascii="NewBaskerville" w:hAnsi="NewBaskerville"/>
          <w:bCs/>
        </w:rPr>
      </w:pPr>
    </w:p>
    <w:p w:rsidR="00E82CFF" w:rsidRDefault="00E82CFF" w:rsidP="00A96998">
      <w:pPr>
        <w:tabs>
          <w:tab w:val="right" w:pos="8364"/>
        </w:tabs>
        <w:ind w:firstLine="567"/>
        <w:jc w:val="both"/>
        <w:rPr>
          <w:rFonts w:ascii="NewBaskerville" w:hAnsi="NewBaskerville"/>
          <w:bCs/>
        </w:rPr>
      </w:pPr>
    </w:p>
    <w:p w:rsidR="00E82CFF" w:rsidRDefault="00E82CFF" w:rsidP="00A96998">
      <w:pPr>
        <w:tabs>
          <w:tab w:val="right" w:pos="8364"/>
        </w:tabs>
        <w:ind w:firstLine="567"/>
        <w:jc w:val="both"/>
        <w:rPr>
          <w:rFonts w:ascii="NewBaskerville" w:hAnsi="NewBaskerville"/>
          <w:bCs/>
        </w:rPr>
      </w:pPr>
    </w:p>
    <w:p w:rsidR="00A96998" w:rsidRPr="00E56AB5" w:rsidRDefault="00A96998" w:rsidP="00A96998">
      <w:pPr>
        <w:tabs>
          <w:tab w:val="right" w:pos="8364"/>
        </w:tabs>
        <w:ind w:firstLine="567"/>
        <w:jc w:val="both"/>
        <w:rPr>
          <w:rFonts w:ascii="NewBaskerville" w:hAnsi="NewBaskerville"/>
          <w:bCs/>
        </w:rPr>
      </w:pPr>
      <w:r>
        <w:rPr>
          <w:rFonts w:ascii="NewBaskerville" w:hAnsi="NewBaskerville"/>
          <w:bCs/>
        </w:rPr>
        <w:lastRenderedPageBreak/>
        <w:t>El resultado por bajas ha sido:</w:t>
      </w:r>
    </w:p>
    <w:tbl>
      <w:tblPr>
        <w:tblW w:w="8480" w:type="dxa"/>
        <w:tblInd w:w="70" w:type="dxa"/>
        <w:tblCellMar>
          <w:left w:w="70" w:type="dxa"/>
          <w:right w:w="70" w:type="dxa"/>
        </w:tblCellMar>
        <w:tblLook w:val="04A0" w:firstRow="1" w:lastRow="0" w:firstColumn="1" w:lastColumn="0" w:noHBand="0" w:noVBand="1"/>
      </w:tblPr>
      <w:tblGrid>
        <w:gridCol w:w="1023"/>
        <w:gridCol w:w="950"/>
        <w:gridCol w:w="1846"/>
        <w:gridCol w:w="1167"/>
        <w:gridCol w:w="1185"/>
        <w:gridCol w:w="1141"/>
        <w:gridCol w:w="1168"/>
      </w:tblGrid>
      <w:tr w:rsidR="00362904" w:rsidRPr="00362904" w:rsidTr="00362904">
        <w:trPr>
          <w:trHeight w:val="300"/>
        </w:trPr>
        <w:tc>
          <w:tcPr>
            <w:tcW w:w="8480" w:type="dxa"/>
            <w:gridSpan w:val="7"/>
            <w:vMerge w:val="restart"/>
            <w:tcBorders>
              <w:top w:val="nil"/>
              <w:left w:val="nil"/>
              <w:bottom w:val="nil"/>
              <w:right w:val="nil"/>
            </w:tcBorders>
            <w:shd w:val="clear" w:color="000000" w:fill="FFFFFF"/>
            <w:vAlign w:val="center"/>
            <w:hideMark/>
          </w:tcPr>
          <w:p w:rsidR="00362904" w:rsidRPr="00362904" w:rsidRDefault="00362904" w:rsidP="00362904">
            <w:pPr>
              <w:rPr>
                <w:rFonts w:ascii="Lucida Bright" w:hAnsi="Lucida Bright" w:cs="Calibri"/>
                <w:b/>
                <w:bCs/>
                <w:sz w:val="18"/>
                <w:szCs w:val="18"/>
                <w:lang w:val="es-ES"/>
              </w:rPr>
            </w:pPr>
            <w:r w:rsidRPr="00362904">
              <w:rPr>
                <w:rFonts w:ascii="Lucida Bright" w:hAnsi="Lucida Bright" w:cs="Calibri"/>
                <w:b/>
                <w:bCs/>
                <w:sz w:val="18"/>
                <w:szCs w:val="18"/>
                <w:lang w:val="es-ES"/>
              </w:rPr>
              <w:t xml:space="preserve">CUADRO: RESULTADO POR ENAJENACIONES Y BAJAS DE INVERSIONES INMOBILIARIAS 2024 </w:t>
            </w:r>
            <w:r w:rsidRPr="00362904">
              <w:rPr>
                <w:rFonts w:ascii="Lucida Bright" w:hAnsi="Lucida Bright" w:cs="Calibri"/>
                <w:sz w:val="14"/>
                <w:szCs w:val="14"/>
                <w:lang w:val="es-ES"/>
              </w:rPr>
              <w:t>(en euros)</w:t>
            </w:r>
          </w:p>
        </w:tc>
      </w:tr>
      <w:tr w:rsidR="00362904" w:rsidRPr="00362904" w:rsidTr="00362904">
        <w:trPr>
          <w:trHeight w:val="300"/>
        </w:trPr>
        <w:tc>
          <w:tcPr>
            <w:tcW w:w="8480" w:type="dxa"/>
            <w:gridSpan w:val="7"/>
            <w:vMerge/>
            <w:tcBorders>
              <w:top w:val="nil"/>
              <w:left w:val="nil"/>
              <w:bottom w:val="nil"/>
              <w:right w:val="nil"/>
            </w:tcBorders>
            <w:vAlign w:val="center"/>
            <w:hideMark/>
          </w:tcPr>
          <w:p w:rsidR="00362904" w:rsidRPr="00362904" w:rsidRDefault="00362904" w:rsidP="00362904">
            <w:pPr>
              <w:rPr>
                <w:rFonts w:ascii="Lucida Bright" w:hAnsi="Lucida Bright" w:cs="Calibri"/>
                <w:b/>
                <w:bCs/>
                <w:sz w:val="18"/>
                <w:szCs w:val="18"/>
                <w:lang w:val="es-ES"/>
              </w:rPr>
            </w:pPr>
          </w:p>
        </w:tc>
      </w:tr>
      <w:tr w:rsidR="00362904" w:rsidRPr="00362904" w:rsidTr="00362904">
        <w:trPr>
          <w:trHeight w:val="720"/>
        </w:trPr>
        <w:tc>
          <w:tcPr>
            <w:tcW w:w="1023"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62904" w:rsidRPr="00362904" w:rsidRDefault="00362904" w:rsidP="00362904">
            <w:pPr>
              <w:jc w:val="center"/>
              <w:rPr>
                <w:rFonts w:ascii="Lucida Bright" w:hAnsi="Lucida Bright" w:cs="Calibri"/>
                <w:b/>
                <w:bCs/>
                <w:sz w:val="14"/>
                <w:szCs w:val="14"/>
                <w:lang w:val="es-ES"/>
              </w:rPr>
            </w:pPr>
            <w:r w:rsidRPr="00362904">
              <w:rPr>
                <w:rFonts w:ascii="Lucida Bright" w:hAnsi="Lucida Bright" w:cs="Calibri"/>
                <w:b/>
                <w:bCs/>
                <w:sz w:val="14"/>
                <w:szCs w:val="14"/>
                <w:lang w:val="es-ES"/>
              </w:rPr>
              <w:t>Fecha</w:t>
            </w:r>
          </w:p>
        </w:tc>
        <w:tc>
          <w:tcPr>
            <w:tcW w:w="950" w:type="dxa"/>
            <w:tcBorders>
              <w:top w:val="single" w:sz="4" w:space="0" w:color="auto"/>
              <w:left w:val="nil"/>
              <w:bottom w:val="single" w:sz="4" w:space="0" w:color="auto"/>
              <w:right w:val="single" w:sz="4" w:space="0" w:color="auto"/>
            </w:tcBorders>
            <w:shd w:val="clear" w:color="000000" w:fill="CCFFCC"/>
            <w:vAlign w:val="center"/>
            <w:hideMark/>
          </w:tcPr>
          <w:p w:rsidR="00362904" w:rsidRPr="00362904" w:rsidRDefault="00362904" w:rsidP="00362904">
            <w:pPr>
              <w:jc w:val="center"/>
              <w:rPr>
                <w:rFonts w:ascii="Lucida Bright" w:hAnsi="Lucida Bright" w:cs="Calibri"/>
                <w:b/>
                <w:bCs/>
                <w:sz w:val="14"/>
                <w:szCs w:val="14"/>
                <w:lang w:val="es-ES"/>
              </w:rPr>
            </w:pPr>
            <w:r w:rsidRPr="00362904">
              <w:rPr>
                <w:rFonts w:ascii="Lucida Bright" w:hAnsi="Lucida Bright" w:cs="Calibri"/>
                <w:b/>
                <w:bCs/>
                <w:sz w:val="14"/>
                <w:szCs w:val="14"/>
                <w:lang w:val="es-ES"/>
              </w:rPr>
              <w:t>Operación</w:t>
            </w:r>
            <w:r w:rsidRPr="00362904">
              <w:rPr>
                <w:rFonts w:ascii="Lucida Bright" w:hAnsi="Lucida Bright" w:cs="Calibri"/>
                <w:b/>
                <w:bCs/>
                <w:sz w:val="14"/>
                <w:szCs w:val="14"/>
                <w:lang w:val="es-ES"/>
              </w:rPr>
              <w:br/>
              <w:t>(Venta, retiro, etc)</w:t>
            </w:r>
          </w:p>
        </w:tc>
        <w:tc>
          <w:tcPr>
            <w:tcW w:w="1846" w:type="dxa"/>
            <w:tcBorders>
              <w:top w:val="single" w:sz="4" w:space="0" w:color="auto"/>
              <w:left w:val="nil"/>
              <w:bottom w:val="single" w:sz="4" w:space="0" w:color="auto"/>
              <w:right w:val="nil"/>
            </w:tcBorders>
            <w:shd w:val="clear" w:color="000000" w:fill="CCFFCC"/>
            <w:vAlign w:val="center"/>
            <w:hideMark/>
          </w:tcPr>
          <w:p w:rsidR="00362904" w:rsidRPr="00362904" w:rsidRDefault="00362904" w:rsidP="00362904">
            <w:pPr>
              <w:jc w:val="center"/>
              <w:rPr>
                <w:rFonts w:ascii="Lucida Bright" w:hAnsi="Lucida Bright" w:cs="Calibri"/>
                <w:b/>
                <w:bCs/>
                <w:sz w:val="14"/>
                <w:szCs w:val="14"/>
                <w:lang w:val="es-ES"/>
              </w:rPr>
            </w:pPr>
            <w:r w:rsidRPr="00362904">
              <w:rPr>
                <w:rFonts w:ascii="Lucida Bright" w:hAnsi="Lucida Bright" w:cs="Calibri"/>
                <w:b/>
                <w:bCs/>
                <w:sz w:val="14"/>
                <w:szCs w:val="14"/>
                <w:lang w:val="es-ES"/>
              </w:rPr>
              <w:t>Descripción/Grupo funcional del activo</w:t>
            </w:r>
          </w:p>
        </w:tc>
        <w:tc>
          <w:tcPr>
            <w:tcW w:w="116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62904" w:rsidRPr="00362904" w:rsidRDefault="00362904" w:rsidP="00362904">
            <w:pPr>
              <w:jc w:val="center"/>
              <w:rPr>
                <w:rFonts w:ascii="Lucida Bright" w:hAnsi="Lucida Bright" w:cs="Calibri"/>
                <w:b/>
                <w:bCs/>
                <w:sz w:val="14"/>
                <w:szCs w:val="14"/>
                <w:lang w:val="es-ES"/>
              </w:rPr>
            </w:pPr>
            <w:r w:rsidRPr="00362904">
              <w:rPr>
                <w:rFonts w:ascii="Lucida Bright" w:hAnsi="Lucida Bright" w:cs="Calibri"/>
                <w:b/>
                <w:bCs/>
                <w:sz w:val="14"/>
                <w:szCs w:val="14"/>
                <w:lang w:val="es-ES"/>
              </w:rPr>
              <w:t>Valor</w:t>
            </w:r>
            <w:r w:rsidRPr="00362904">
              <w:rPr>
                <w:rFonts w:ascii="Lucida Bright" w:hAnsi="Lucida Bright" w:cs="Calibri"/>
                <w:b/>
                <w:bCs/>
                <w:sz w:val="14"/>
                <w:szCs w:val="14"/>
                <w:lang w:val="es-ES"/>
              </w:rPr>
              <w:br/>
              <w:t>contable</w:t>
            </w:r>
            <w:r w:rsidRPr="00362904">
              <w:rPr>
                <w:rFonts w:ascii="Lucida Bright" w:hAnsi="Lucida Bright" w:cs="Calibri"/>
                <w:b/>
                <w:bCs/>
                <w:sz w:val="14"/>
                <w:szCs w:val="14"/>
                <w:lang w:val="es-ES"/>
              </w:rPr>
              <w:br/>
              <w:t>bruto</w:t>
            </w:r>
          </w:p>
        </w:tc>
        <w:tc>
          <w:tcPr>
            <w:tcW w:w="1185" w:type="dxa"/>
            <w:tcBorders>
              <w:top w:val="single" w:sz="4" w:space="0" w:color="auto"/>
              <w:left w:val="nil"/>
              <w:bottom w:val="single" w:sz="4" w:space="0" w:color="auto"/>
              <w:right w:val="single" w:sz="4" w:space="0" w:color="auto"/>
            </w:tcBorders>
            <w:shd w:val="clear" w:color="000000" w:fill="CCFFCC"/>
            <w:vAlign w:val="center"/>
            <w:hideMark/>
          </w:tcPr>
          <w:p w:rsidR="00362904" w:rsidRPr="00362904" w:rsidRDefault="00362904" w:rsidP="00362904">
            <w:pPr>
              <w:jc w:val="center"/>
              <w:rPr>
                <w:rFonts w:ascii="Lucida Bright" w:hAnsi="Lucida Bright" w:cs="Calibri"/>
                <w:b/>
                <w:bCs/>
                <w:sz w:val="14"/>
                <w:szCs w:val="14"/>
                <w:lang w:val="es-ES"/>
              </w:rPr>
            </w:pPr>
            <w:r w:rsidRPr="00362904">
              <w:rPr>
                <w:rFonts w:ascii="Lucida Bright" w:hAnsi="Lucida Bright" w:cs="Calibri"/>
                <w:b/>
                <w:bCs/>
                <w:sz w:val="14"/>
                <w:szCs w:val="14"/>
                <w:lang w:val="es-ES"/>
              </w:rPr>
              <w:t>Amortización</w:t>
            </w:r>
            <w:r w:rsidRPr="00362904">
              <w:rPr>
                <w:rFonts w:ascii="Lucida Bright" w:hAnsi="Lucida Bright" w:cs="Calibri"/>
                <w:b/>
                <w:bCs/>
                <w:sz w:val="14"/>
                <w:szCs w:val="14"/>
                <w:lang w:val="es-ES"/>
              </w:rPr>
              <w:br/>
              <w:t>acumulada/</w:t>
            </w:r>
            <w:r w:rsidRPr="00362904">
              <w:rPr>
                <w:rFonts w:ascii="Lucida Bright" w:hAnsi="Lucida Bright" w:cs="Calibri"/>
                <w:b/>
                <w:bCs/>
                <w:sz w:val="14"/>
                <w:szCs w:val="14"/>
                <w:lang w:val="es-ES"/>
              </w:rPr>
              <w:br/>
              <w:t>Deterioro de valor aplicado</w:t>
            </w:r>
          </w:p>
        </w:tc>
        <w:tc>
          <w:tcPr>
            <w:tcW w:w="1141" w:type="dxa"/>
            <w:tcBorders>
              <w:top w:val="single" w:sz="4" w:space="0" w:color="auto"/>
              <w:left w:val="nil"/>
              <w:bottom w:val="single" w:sz="4" w:space="0" w:color="auto"/>
              <w:right w:val="nil"/>
            </w:tcBorders>
            <w:shd w:val="clear" w:color="000000" w:fill="CCFFCC"/>
            <w:vAlign w:val="center"/>
            <w:hideMark/>
          </w:tcPr>
          <w:p w:rsidR="00362904" w:rsidRPr="00362904" w:rsidRDefault="00362904" w:rsidP="00362904">
            <w:pPr>
              <w:jc w:val="center"/>
              <w:rPr>
                <w:rFonts w:ascii="Lucida Bright" w:hAnsi="Lucida Bright" w:cs="Calibri"/>
                <w:b/>
                <w:bCs/>
                <w:sz w:val="14"/>
                <w:szCs w:val="14"/>
                <w:lang w:val="es-ES"/>
              </w:rPr>
            </w:pPr>
            <w:r w:rsidRPr="00362904">
              <w:rPr>
                <w:rFonts w:ascii="Lucida Bright" w:hAnsi="Lucida Bright" w:cs="Calibri"/>
                <w:b/>
                <w:bCs/>
                <w:sz w:val="14"/>
                <w:szCs w:val="14"/>
                <w:lang w:val="es-ES"/>
              </w:rPr>
              <w:t>Precio de</w:t>
            </w:r>
            <w:r w:rsidRPr="00362904">
              <w:rPr>
                <w:rFonts w:ascii="Lucida Bright" w:hAnsi="Lucida Bright" w:cs="Calibri"/>
                <w:b/>
                <w:bCs/>
                <w:sz w:val="14"/>
                <w:szCs w:val="14"/>
                <w:lang w:val="es-ES"/>
              </w:rPr>
              <w:br/>
              <w:t>venta</w:t>
            </w:r>
          </w:p>
        </w:tc>
        <w:tc>
          <w:tcPr>
            <w:tcW w:w="116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62904" w:rsidRPr="00362904" w:rsidRDefault="00362904" w:rsidP="00362904">
            <w:pPr>
              <w:jc w:val="center"/>
              <w:rPr>
                <w:rFonts w:ascii="Lucida Bright" w:hAnsi="Lucida Bright" w:cs="Calibri"/>
                <w:b/>
                <w:bCs/>
                <w:sz w:val="14"/>
                <w:szCs w:val="14"/>
                <w:lang w:val="es-ES"/>
              </w:rPr>
            </w:pPr>
            <w:r w:rsidRPr="00362904">
              <w:rPr>
                <w:rFonts w:ascii="Lucida Bright" w:hAnsi="Lucida Bright" w:cs="Calibri"/>
                <w:b/>
                <w:bCs/>
                <w:sz w:val="14"/>
                <w:szCs w:val="14"/>
                <w:lang w:val="es-ES"/>
              </w:rPr>
              <w:t>Resultado de</w:t>
            </w:r>
            <w:r w:rsidRPr="00362904">
              <w:rPr>
                <w:rFonts w:ascii="Lucida Bright" w:hAnsi="Lucida Bright" w:cs="Calibri"/>
                <w:b/>
                <w:bCs/>
                <w:sz w:val="14"/>
                <w:szCs w:val="14"/>
                <w:lang w:val="es-ES"/>
              </w:rPr>
              <w:br/>
              <w:t>la operación</w:t>
            </w:r>
          </w:p>
        </w:tc>
      </w:tr>
      <w:tr w:rsidR="00362904" w:rsidRPr="00362904" w:rsidTr="00362904">
        <w:trPr>
          <w:trHeight w:val="300"/>
        </w:trPr>
        <w:tc>
          <w:tcPr>
            <w:tcW w:w="1973"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362904" w:rsidRPr="00362904" w:rsidRDefault="00362904" w:rsidP="00362904">
            <w:pPr>
              <w:rPr>
                <w:rFonts w:ascii="Lucida Bright" w:hAnsi="Lucida Bright" w:cs="Calibri"/>
                <w:b/>
                <w:bCs/>
                <w:sz w:val="14"/>
                <w:szCs w:val="14"/>
                <w:lang w:val="es-ES"/>
              </w:rPr>
            </w:pPr>
            <w:r w:rsidRPr="00362904">
              <w:rPr>
                <w:rFonts w:ascii="Lucida Bright" w:hAnsi="Lucida Bright" w:cs="Calibri"/>
                <w:b/>
                <w:bCs/>
                <w:sz w:val="14"/>
                <w:szCs w:val="14"/>
                <w:lang w:val="es-ES"/>
              </w:rPr>
              <w:t>Inversión inmobiliaria</w:t>
            </w:r>
          </w:p>
        </w:tc>
        <w:tc>
          <w:tcPr>
            <w:tcW w:w="1846" w:type="dxa"/>
            <w:tcBorders>
              <w:top w:val="single" w:sz="4" w:space="0" w:color="auto"/>
              <w:left w:val="nil"/>
              <w:bottom w:val="nil"/>
              <w:right w:val="nil"/>
            </w:tcBorders>
            <w:shd w:val="clear" w:color="000000" w:fill="FFFFFF"/>
            <w:noWrap/>
            <w:vAlign w:val="bottom"/>
            <w:hideMark/>
          </w:tcPr>
          <w:p w:rsidR="00362904" w:rsidRPr="00362904" w:rsidRDefault="00362904" w:rsidP="00362904">
            <w:pPr>
              <w:rPr>
                <w:rFonts w:ascii="Lucida Bright" w:hAnsi="Lucida Bright" w:cs="Calibri"/>
                <w:sz w:val="14"/>
                <w:szCs w:val="14"/>
                <w:lang w:val="es-ES"/>
              </w:rPr>
            </w:pPr>
            <w:r w:rsidRPr="00362904">
              <w:rPr>
                <w:rFonts w:ascii="Lucida Bright" w:hAnsi="Lucida Bright" w:cs="Calibri"/>
                <w:sz w:val="14"/>
                <w:szCs w:val="14"/>
                <w:lang w:val="es-ES"/>
              </w:rPr>
              <w:t> </w:t>
            </w:r>
          </w:p>
        </w:tc>
        <w:tc>
          <w:tcPr>
            <w:tcW w:w="1167" w:type="dxa"/>
            <w:tcBorders>
              <w:top w:val="single" w:sz="4" w:space="0" w:color="auto"/>
              <w:left w:val="nil"/>
              <w:bottom w:val="nil"/>
              <w:right w:val="nil"/>
            </w:tcBorders>
            <w:shd w:val="clear" w:color="000000" w:fill="FFFFFF"/>
            <w:noWrap/>
            <w:vAlign w:val="bottom"/>
            <w:hideMark/>
          </w:tcPr>
          <w:p w:rsidR="00362904" w:rsidRPr="00362904" w:rsidRDefault="00362904" w:rsidP="00362904">
            <w:pPr>
              <w:rPr>
                <w:rFonts w:ascii="Lucida Bright" w:hAnsi="Lucida Bright" w:cs="Calibri"/>
                <w:sz w:val="14"/>
                <w:szCs w:val="14"/>
                <w:lang w:val="es-ES"/>
              </w:rPr>
            </w:pPr>
            <w:r w:rsidRPr="00362904">
              <w:rPr>
                <w:rFonts w:ascii="Lucida Bright" w:hAnsi="Lucida Bright" w:cs="Calibri"/>
                <w:sz w:val="14"/>
                <w:szCs w:val="14"/>
                <w:lang w:val="es-ES"/>
              </w:rPr>
              <w:t> </w:t>
            </w:r>
          </w:p>
        </w:tc>
        <w:tc>
          <w:tcPr>
            <w:tcW w:w="1185" w:type="dxa"/>
            <w:tcBorders>
              <w:top w:val="single" w:sz="4" w:space="0" w:color="auto"/>
              <w:left w:val="nil"/>
              <w:bottom w:val="nil"/>
              <w:right w:val="nil"/>
            </w:tcBorders>
            <w:shd w:val="clear" w:color="000000" w:fill="FFFFFF"/>
            <w:noWrap/>
            <w:vAlign w:val="bottom"/>
            <w:hideMark/>
          </w:tcPr>
          <w:p w:rsidR="00362904" w:rsidRPr="00362904" w:rsidRDefault="00362904" w:rsidP="00362904">
            <w:pPr>
              <w:rPr>
                <w:rFonts w:ascii="Lucida Bright" w:hAnsi="Lucida Bright" w:cs="Calibri"/>
                <w:sz w:val="14"/>
                <w:szCs w:val="14"/>
                <w:lang w:val="es-ES"/>
              </w:rPr>
            </w:pPr>
            <w:r w:rsidRPr="00362904">
              <w:rPr>
                <w:rFonts w:ascii="Lucida Bright" w:hAnsi="Lucida Bright" w:cs="Calibri"/>
                <w:sz w:val="14"/>
                <w:szCs w:val="14"/>
                <w:lang w:val="es-ES"/>
              </w:rPr>
              <w:t> </w:t>
            </w:r>
          </w:p>
        </w:tc>
        <w:tc>
          <w:tcPr>
            <w:tcW w:w="1141" w:type="dxa"/>
            <w:tcBorders>
              <w:top w:val="single" w:sz="4" w:space="0" w:color="auto"/>
              <w:left w:val="nil"/>
              <w:bottom w:val="nil"/>
              <w:right w:val="nil"/>
            </w:tcBorders>
            <w:shd w:val="clear" w:color="000000" w:fill="FFFFFF"/>
            <w:noWrap/>
            <w:vAlign w:val="bottom"/>
            <w:hideMark/>
          </w:tcPr>
          <w:p w:rsidR="00362904" w:rsidRPr="00362904" w:rsidRDefault="00362904" w:rsidP="00362904">
            <w:pPr>
              <w:rPr>
                <w:rFonts w:ascii="Lucida Bright" w:hAnsi="Lucida Bright" w:cs="Calibri"/>
                <w:sz w:val="14"/>
                <w:szCs w:val="14"/>
                <w:lang w:val="es-ES"/>
              </w:rPr>
            </w:pPr>
            <w:r w:rsidRPr="00362904">
              <w:rPr>
                <w:rFonts w:ascii="Lucida Bright" w:hAnsi="Lucida Bright" w:cs="Calibri"/>
                <w:sz w:val="14"/>
                <w:szCs w:val="14"/>
                <w:lang w:val="es-ES"/>
              </w:rPr>
              <w:t> </w:t>
            </w:r>
          </w:p>
        </w:tc>
        <w:tc>
          <w:tcPr>
            <w:tcW w:w="1168" w:type="dxa"/>
            <w:tcBorders>
              <w:top w:val="single" w:sz="4" w:space="0" w:color="auto"/>
              <w:left w:val="nil"/>
              <w:bottom w:val="nil"/>
              <w:right w:val="single" w:sz="4" w:space="0" w:color="auto"/>
            </w:tcBorders>
            <w:shd w:val="clear" w:color="000000" w:fill="FFFFFF"/>
            <w:noWrap/>
            <w:vAlign w:val="bottom"/>
            <w:hideMark/>
          </w:tcPr>
          <w:p w:rsidR="00362904" w:rsidRPr="00362904" w:rsidRDefault="00362904" w:rsidP="00362904">
            <w:pPr>
              <w:rPr>
                <w:rFonts w:ascii="Lucida Bright" w:hAnsi="Lucida Bright" w:cs="Calibri"/>
                <w:sz w:val="14"/>
                <w:szCs w:val="14"/>
                <w:lang w:val="es-ES"/>
              </w:rPr>
            </w:pPr>
            <w:r w:rsidRPr="00362904">
              <w:rPr>
                <w:rFonts w:ascii="Lucida Bright" w:hAnsi="Lucida Bright" w:cs="Calibri"/>
                <w:sz w:val="14"/>
                <w:szCs w:val="14"/>
                <w:lang w:val="es-ES"/>
              </w:rPr>
              <w:t> </w:t>
            </w:r>
          </w:p>
        </w:tc>
      </w:tr>
      <w:tr w:rsidR="00362904" w:rsidRPr="00362904" w:rsidTr="00362904">
        <w:trPr>
          <w:trHeight w:val="720"/>
        </w:trPr>
        <w:tc>
          <w:tcPr>
            <w:tcW w:w="1023" w:type="dxa"/>
            <w:tcBorders>
              <w:top w:val="nil"/>
              <w:left w:val="single" w:sz="4" w:space="0" w:color="auto"/>
              <w:bottom w:val="single" w:sz="4" w:space="0" w:color="auto"/>
              <w:right w:val="single" w:sz="4" w:space="0" w:color="auto"/>
            </w:tcBorders>
            <w:shd w:val="clear" w:color="000000" w:fill="FFFFFF"/>
            <w:noWrap/>
            <w:vAlign w:val="center"/>
            <w:hideMark/>
          </w:tcPr>
          <w:p w:rsidR="00362904" w:rsidRPr="00362904" w:rsidRDefault="00362904" w:rsidP="00362904">
            <w:pPr>
              <w:jc w:val="center"/>
              <w:rPr>
                <w:rFonts w:ascii="Lucida Bright" w:hAnsi="Lucida Bright" w:cs="Calibri"/>
                <w:sz w:val="14"/>
                <w:szCs w:val="14"/>
                <w:lang w:val="es-ES"/>
              </w:rPr>
            </w:pPr>
            <w:r w:rsidRPr="00362904">
              <w:rPr>
                <w:rFonts w:ascii="Lucida Bright" w:hAnsi="Lucida Bright" w:cs="Calibri"/>
                <w:sz w:val="14"/>
                <w:szCs w:val="14"/>
                <w:lang w:val="es-ES"/>
              </w:rPr>
              <w:t>23/07/24</w:t>
            </w:r>
          </w:p>
        </w:tc>
        <w:tc>
          <w:tcPr>
            <w:tcW w:w="950" w:type="dxa"/>
            <w:tcBorders>
              <w:top w:val="nil"/>
              <w:left w:val="nil"/>
              <w:bottom w:val="single" w:sz="4" w:space="0" w:color="auto"/>
              <w:right w:val="single" w:sz="4" w:space="0" w:color="auto"/>
            </w:tcBorders>
            <w:shd w:val="clear" w:color="000000" w:fill="FFFFFF"/>
            <w:noWrap/>
            <w:vAlign w:val="center"/>
            <w:hideMark/>
          </w:tcPr>
          <w:p w:rsidR="00362904" w:rsidRPr="00362904" w:rsidRDefault="00362904" w:rsidP="00362904">
            <w:pPr>
              <w:rPr>
                <w:rFonts w:ascii="Lucida Bright" w:hAnsi="Lucida Bright" w:cs="Calibri"/>
                <w:sz w:val="14"/>
                <w:szCs w:val="14"/>
                <w:lang w:val="es-ES"/>
              </w:rPr>
            </w:pPr>
            <w:r w:rsidRPr="00362904">
              <w:rPr>
                <w:rFonts w:ascii="Lucida Bright" w:hAnsi="Lucida Bright" w:cs="Calibri"/>
                <w:sz w:val="14"/>
                <w:szCs w:val="14"/>
                <w:lang w:val="es-ES"/>
              </w:rPr>
              <w:t>baja</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362904" w:rsidRPr="00362904" w:rsidRDefault="00362904" w:rsidP="00362904">
            <w:pPr>
              <w:rPr>
                <w:rFonts w:ascii="Arial" w:hAnsi="Arial" w:cs="Arial"/>
                <w:color w:val="000000"/>
                <w:sz w:val="14"/>
                <w:szCs w:val="14"/>
                <w:lang w:val="es-ES"/>
              </w:rPr>
            </w:pPr>
            <w:r w:rsidRPr="00362904">
              <w:rPr>
                <w:rFonts w:ascii="Arial" w:hAnsi="Arial" w:cs="Arial"/>
                <w:color w:val="000000"/>
                <w:sz w:val="14"/>
                <w:szCs w:val="14"/>
                <w:lang w:val="es-ES"/>
              </w:rPr>
              <w:t>810112 Habilitación de una planta para despachos ed. Contramuelle Mollet / 2603 Oficinas</w:t>
            </w:r>
          </w:p>
        </w:tc>
        <w:tc>
          <w:tcPr>
            <w:tcW w:w="1167" w:type="dxa"/>
            <w:tcBorders>
              <w:top w:val="single" w:sz="4" w:space="0" w:color="auto"/>
              <w:left w:val="nil"/>
              <w:bottom w:val="single" w:sz="4" w:space="0" w:color="auto"/>
              <w:right w:val="single" w:sz="4" w:space="0" w:color="auto"/>
            </w:tcBorders>
            <w:shd w:val="clear" w:color="000000" w:fill="FFFFFF"/>
            <w:noWrap/>
            <w:vAlign w:val="center"/>
            <w:hideMark/>
          </w:tcPr>
          <w:p w:rsidR="00362904" w:rsidRPr="00362904" w:rsidRDefault="00362904" w:rsidP="00362904">
            <w:pPr>
              <w:jc w:val="right"/>
              <w:rPr>
                <w:rFonts w:ascii="Lucida Bright" w:hAnsi="Lucida Bright" w:cs="Calibri"/>
                <w:sz w:val="14"/>
                <w:szCs w:val="14"/>
                <w:lang w:val="es-ES"/>
              </w:rPr>
            </w:pPr>
            <w:r w:rsidRPr="00362904">
              <w:rPr>
                <w:rFonts w:ascii="Lucida Bright" w:hAnsi="Lucida Bright" w:cs="Calibri"/>
                <w:sz w:val="14"/>
                <w:szCs w:val="14"/>
                <w:lang w:val="es-ES"/>
              </w:rPr>
              <w:t xml:space="preserve">47.496,87 </w:t>
            </w:r>
          </w:p>
        </w:tc>
        <w:tc>
          <w:tcPr>
            <w:tcW w:w="1185" w:type="dxa"/>
            <w:tcBorders>
              <w:top w:val="single" w:sz="4" w:space="0" w:color="auto"/>
              <w:left w:val="nil"/>
              <w:bottom w:val="single" w:sz="4" w:space="0" w:color="auto"/>
              <w:right w:val="single" w:sz="4" w:space="0" w:color="auto"/>
            </w:tcBorders>
            <w:shd w:val="clear" w:color="000000" w:fill="FFFFFF"/>
            <w:noWrap/>
            <w:vAlign w:val="center"/>
            <w:hideMark/>
          </w:tcPr>
          <w:p w:rsidR="00362904" w:rsidRPr="00362904" w:rsidRDefault="00362904" w:rsidP="00362904">
            <w:pPr>
              <w:jc w:val="right"/>
              <w:rPr>
                <w:rFonts w:ascii="Lucida Bright" w:hAnsi="Lucida Bright" w:cs="Calibri"/>
                <w:sz w:val="14"/>
                <w:szCs w:val="14"/>
                <w:lang w:val="es-ES"/>
              </w:rPr>
            </w:pPr>
            <w:r w:rsidRPr="00362904">
              <w:rPr>
                <w:rFonts w:ascii="Lucida Bright" w:hAnsi="Lucida Bright" w:cs="Calibri"/>
                <w:sz w:val="14"/>
                <w:szCs w:val="14"/>
                <w:lang w:val="es-ES"/>
              </w:rPr>
              <w:t xml:space="preserve">47.012,53 </w:t>
            </w:r>
          </w:p>
        </w:tc>
        <w:tc>
          <w:tcPr>
            <w:tcW w:w="1141" w:type="dxa"/>
            <w:tcBorders>
              <w:top w:val="single" w:sz="4" w:space="0" w:color="auto"/>
              <w:left w:val="nil"/>
              <w:bottom w:val="single" w:sz="4" w:space="0" w:color="auto"/>
              <w:right w:val="single" w:sz="4" w:space="0" w:color="auto"/>
            </w:tcBorders>
            <w:shd w:val="clear" w:color="000000" w:fill="FFFFFF"/>
            <w:noWrap/>
            <w:vAlign w:val="center"/>
            <w:hideMark/>
          </w:tcPr>
          <w:p w:rsidR="00362904" w:rsidRPr="00362904" w:rsidRDefault="00362904" w:rsidP="00362904">
            <w:pPr>
              <w:jc w:val="right"/>
              <w:rPr>
                <w:rFonts w:ascii="Lucida Bright" w:hAnsi="Lucida Bright" w:cs="Calibri"/>
                <w:sz w:val="14"/>
                <w:szCs w:val="14"/>
                <w:lang w:val="es-ES"/>
              </w:rPr>
            </w:pPr>
            <w:r w:rsidRPr="00362904">
              <w:rPr>
                <w:rFonts w:ascii="Lucida Bright" w:hAnsi="Lucida Bright" w:cs="Calibri"/>
                <w:sz w:val="14"/>
                <w:szCs w:val="14"/>
                <w:lang w:val="es-ES"/>
              </w:rPr>
              <w:t xml:space="preserve">- </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362904" w:rsidRPr="00362904" w:rsidRDefault="00362904" w:rsidP="00362904">
            <w:pPr>
              <w:jc w:val="right"/>
              <w:rPr>
                <w:rFonts w:ascii="Lucida Bright" w:hAnsi="Lucida Bright" w:cs="Calibri"/>
                <w:sz w:val="14"/>
                <w:szCs w:val="14"/>
                <w:lang w:val="es-ES"/>
              </w:rPr>
            </w:pPr>
            <w:r w:rsidRPr="00362904">
              <w:rPr>
                <w:rFonts w:ascii="Lucida Bright" w:hAnsi="Lucida Bright" w:cs="Calibri"/>
                <w:sz w:val="14"/>
                <w:szCs w:val="14"/>
                <w:lang w:val="es-ES"/>
              </w:rPr>
              <w:t xml:space="preserve">(484,34) </w:t>
            </w:r>
          </w:p>
        </w:tc>
      </w:tr>
      <w:tr w:rsidR="00362904" w:rsidRPr="00362904" w:rsidTr="00362904">
        <w:trPr>
          <w:trHeight w:val="300"/>
        </w:trPr>
        <w:tc>
          <w:tcPr>
            <w:tcW w:w="1023" w:type="dxa"/>
            <w:tcBorders>
              <w:top w:val="nil"/>
              <w:left w:val="single" w:sz="4" w:space="0" w:color="auto"/>
              <w:bottom w:val="single" w:sz="4" w:space="0" w:color="auto"/>
              <w:right w:val="single" w:sz="4" w:space="0" w:color="auto"/>
            </w:tcBorders>
            <w:shd w:val="clear" w:color="auto" w:fill="auto"/>
            <w:noWrap/>
            <w:vAlign w:val="center"/>
            <w:hideMark/>
          </w:tcPr>
          <w:p w:rsidR="00362904" w:rsidRPr="00362904" w:rsidRDefault="00362904" w:rsidP="00362904">
            <w:pPr>
              <w:jc w:val="center"/>
              <w:rPr>
                <w:rFonts w:ascii="Lucida Bright" w:hAnsi="Lucida Bright" w:cs="Calibri"/>
                <w:b/>
                <w:bCs/>
                <w:sz w:val="14"/>
                <w:szCs w:val="14"/>
                <w:lang w:val="es-ES"/>
              </w:rPr>
            </w:pPr>
            <w:r w:rsidRPr="00362904">
              <w:rPr>
                <w:rFonts w:ascii="Lucida Bright" w:hAnsi="Lucida Bright" w:cs="Calibri"/>
                <w:b/>
                <w:bCs/>
                <w:sz w:val="14"/>
                <w:szCs w:val="14"/>
                <w:lang w:val="es-ES"/>
              </w:rPr>
              <w:t>TOTAL</w:t>
            </w:r>
          </w:p>
        </w:tc>
        <w:tc>
          <w:tcPr>
            <w:tcW w:w="950" w:type="dxa"/>
            <w:tcBorders>
              <w:top w:val="nil"/>
              <w:left w:val="nil"/>
              <w:bottom w:val="single" w:sz="4" w:space="0" w:color="auto"/>
              <w:right w:val="single" w:sz="4" w:space="0" w:color="auto"/>
            </w:tcBorders>
            <w:shd w:val="clear" w:color="auto" w:fill="auto"/>
            <w:noWrap/>
            <w:vAlign w:val="center"/>
            <w:hideMark/>
          </w:tcPr>
          <w:p w:rsidR="00362904" w:rsidRPr="00362904" w:rsidRDefault="00362904" w:rsidP="00362904">
            <w:pPr>
              <w:rPr>
                <w:rFonts w:ascii="Lucida Bright" w:hAnsi="Lucida Bright" w:cs="Calibri"/>
                <w:b/>
                <w:bCs/>
                <w:sz w:val="14"/>
                <w:szCs w:val="14"/>
                <w:lang w:val="es-ES"/>
              </w:rPr>
            </w:pPr>
            <w:r w:rsidRPr="00362904">
              <w:rPr>
                <w:rFonts w:ascii="Lucida Bright" w:hAnsi="Lucida Bright" w:cs="Calibri"/>
                <w:b/>
                <w:bCs/>
                <w:sz w:val="14"/>
                <w:szCs w:val="14"/>
                <w:lang w:val="es-ES"/>
              </w:rPr>
              <w:t> </w:t>
            </w:r>
          </w:p>
        </w:tc>
        <w:tc>
          <w:tcPr>
            <w:tcW w:w="1846" w:type="dxa"/>
            <w:tcBorders>
              <w:top w:val="nil"/>
              <w:left w:val="nil"/>
              <w:bottom w:val="single" w:sz="4" w:space="0" w:color="auto"/>
              <w:right w:val="single" w:sz="4" w:space="0" w:color="auto"/>
            </w:tcBorders>
            <w:shd w:val="clear" w:color="auto" w:fill="auto"/>
            <w:noWrap/>
            <w:vAlign w:val="center"/>
            <w:hideMark/>
          </w:tcPr>
          <w:p w:rsidR="00362904" w:rsidRPr="00362904" w:rsidRDefault="00362904" w:rsidP="00362904">
            <w:pPr>
              <w:rPr>
                <w:rFonts w:ascii="Lucida Bright" w:hAnsi="Lucida Bright" w:cs="Calibri"/>
                <w:b/>
                <w:bCs/>
                <w:sz w:val="14"/>
                <w:szCs w:val="14"/>
                <w:lang w:val="es-ES"/>
              </w:rPr>
            </w:pPr>
            <w:r w:rsidRPr="00362904">
              <w:rPr>
                <w:rFonts w:ascii="Lucida Bright" w:hAnsi="Lucida Bright" w:cs="Calibri"/>
                <w:b/>
                <w:bCs/>
                <w:sz w:val="14"/>
                <w:szCs w:val="14"/>
                <w:lang w:val="es-ES"/>
              </w:rPr>
              <w:t> </w:t>
            </w:r>
          </w:p>
        </w:tc>
        <w:tc>
          <w:tcPr>
            <w:tcW w:w="1167" w:type="dxa"/>
            <w:tcBorders>
              <w:top w:val="nil"/>
              <w:left w:val="nil"/>
              <w:bottom w:val="single" w:sz="4" w:space="0" w:color="auto"/>
              <w:right w:val="single" w:sz="4" w:space="0" w:color="auto"/>
            </w:tcBorders>
            <w:shd w:val="clear" w:color="auto" w:fill="auto"/>
            <w:noWrap/>
            <w:vAlign w:val="center"/>
            <w:hideMark/>
          </w:tcPr>
          <w:p w:rsidR="00362904" w:rsidRPr="00362904" w:rsidRDefault="00362904" w:rsidP="00362904">
            <w:pPr>
              <w:jc w:val="right"/>
              <w:rPr>
                <w:rFonts w:ascii="Lucida Bright" w:hAnsi="Lucida Bright" w:cs="Calibri"/>
                <w:b/>
                <w:bCs/>
                <w:sz w:val="14"/>
                <w:szCs w:val="14"/>
                <w:lang w:val="es-ES"/>
              </w:rPr>
            </w:pPr>
            <w:r w:rsidRPr="00362904">
              <w:rPr>
                <w:rFonts w:ascii="Lucida Bright" w:hAnsi="Lucida Bright" w:cs="Calibri"/>
                <w:b/>
                <w:bCs/>
                <w:sz w:val="14"/>
                <w:szCs w:val="14"/>
                <w:lang w:val="es-ES"/>
              </w:rPr>
              <w:t xml:space="preserve">47.496,87 </w:t>
            </w:r>
          </w:p>
        </w:tc>
        <w:tc>
          <w:tcPr>
            <w:tcW w:w="1185" w:type="dxa"/>
            <w:tcBorders>
              <w:top w:val="nil"/>
              <w:left w:val="nil"/>
              <w:bottom w:val="single" w:sz="4" w:space="0" w:color="auto"/>
              <w:right w:val="single" w:sz="4" w:space="0" w:color="auto"/>
            </w:tcBorders>
            <w:shd w:val="clear" w:color="auto" w:fill="auto"/>
            <w:noWrap/>
            <w:vAlign w:val="center"/>
            <w:hideMark/>
          </w:tcPr>
          <w:p w:rsidR="00362904" w:rsidRPr="00362904" w:rsidRDefault="00362904" w:rsidP="00362904">
            <w:pPr>
              <w:jc w:val="right"/>
              <w:rPr>
                <w:rFonts w:ascii="Lucida Bright" w:hAnsi="Lucida Bright" w:cs="Calibri"/>
                <w:b/>
                <w:bCs/>
                <w:sz w:val="14"/>
                <w:szCs w:val="14"/>
                <w:lang w:val="es-ES"/>
              </w:rPr>
            </w:pPr>
            <w:r w:rsidRPr="00362904">
              <w:rPr>
                <w:rFonts w:ascii="Lucida Bright" w:hAnsi="Lucida Bright" w:cs="Calibri"/>
                <w:b/>
                <w:bCs/>
                <w:sz w:val="14"/>
                <w:szCs w:val="14"/>
                <w:lang w:val="es-ES"/>
              </w:rPr>
              <w:t xml:space="preserve">47.012,53 </w:t>
            </w:r>
          </w:p>
        </w:tc>
        <w:tc>
          <w:tcPr>
            <w:tcW w:w="1141" w:type="dxa"/>
            <w:tcBorders>
              <w:top w:val="nil"/>
              <w:left w:val="nil"/>
              <w:bottom w:val="single" w:sz="4" w:space="0" w:color="auto"/>
              <w:right w:val="single" w:sz="4" w:space="0" w:color="auto"/>
            </w:tcBorders>
            <w:shd w:val="clear" w:color="auto" w:fill="auto"/>
            <w:noWrap/>
            <w:vAlign w:val="center"/>
            <w:hideMark/>
          </w:tcPr>
          <w:p w:rsidR="00362904" w:rsidRPr="00362904" w:rsidRDefault="00362904" w:rsidP="00362904">
            <w:pPr>
              <w:jc w:val="right"/>
              <w:rPr>
                <w:rFonts w:ascii="Lucida Bright" w:hAnsi="Lucida Bright" w:cs="Calibri"/>
                <w:b/>
                <w:bCs/>
                <w:sz w:val="14"/>
                <w:szCs w:val="14"/>
                <w:lang w:val="es-ES"/>
              </w:rPr>
            </w:pPr>
            <w:r w:rsidRPr="00362904">
              <w:rPr>
                <w:rFonts w:ascii="Lucida Bright" w:hAnsi="Lucida Bright" w:cs="Calibri"/>
                <w:b/>
                <w:bCs/>
                <w:sz w:val="14"/>
                <w:szCs w:val="14"/>
                <w:lang w:val="es-ES"/>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rsidR="00362904" w:rsidRPr="00362904" w:rsidRDefault="00362904" w:rsidP="00362904">
            <w:pPr>
              <w:jc w:val="right"/>
              <w:rPr>
                <w:rFonts w:ascii="Lucida Bright" w:hAnsi="Lucida Bright" w:cs="Calibri"/>
                <w:b/>
                <w:bCs/>
                <w:sz w:val="14"/>
                <w:szCs w:val="14"/>
                <w:lang w:val="es-ES"/>
              </w:rPr>
            </w:pPr>
            <w:r w:rsidRPr="00362904">
              <w:rPr>
                <w:rFonts w:ascii="Lucida Bright" w:hAnsi="Lucida Bright" w:cs="Calibri"/>
                <w:b/>
                <w:bCs/>
                <w:sz w:val="14"/>
                <w:szCs w:val="14"/>
                <w:lang w:val="es-ES"/>
              </w:rPr>
              <w:t xml:space="preserve">(484,34) </w:t>
            </w:r>
          </w:p>
        </w:tc>
      </w:tr>
      <w:tr w:rsidR="00362904" w:rsidRPr="00362904" w:rsidTr="00362904">
        <w:trPr>
          <w:trHeight w:val="300"/>
        </w:trPr>
        <w:tc>
          <w:tcPr>
            <w:tcW w:w="1023" w:type="dxa"/>
            <w:tcBorders>
              <w:top w:val="nil"/>
              <w:left w:val="nil"/>
              <w:bottom w:val="nil"/>
              <w:right w:val="nil"/>
            </w:tcBorders>
            <w:shd w:val="clear" w:color="000000" w:fill="FFFFFF"/>
            <w:noWrap/>
            <w:vAlign w:val="bottom"/>
            <w:hideMark/>
          </w:tcPr>
          <w:p w:rsidR="00362904" w:rsidRPr="00362904" w:rsidRDefault="00362904" w:rsidP="00362904">
            <w:pPr>
              <w:jc w:val="center"/>
              <w:rPr>
                <w:rFonts w:ascii="Lucida Bright" w:hAnsi="Lucida Bright" w:cs="Calibri"/>
                <w:sz w:val="14"/>
                <w:szCs w:val="14"/>
                <w:lang w:val="es-ES"/>
              </w:rPr>
            </w:pPr>
            <w:r w:rsidRPr="00362904">
              <w:rPr>
                <w:rFonts w:ascii="Lucida Bright" w:hAnsi="Lucida Bright" w:cs="Calibri"/>
                <w:sz w:val="14"/>
                <w:szCs w:val="14"/>
                <w:lang w:val="es-ES"/>
              </w:rPr>
              <w:t> </w:t>
            </w:r>
          </w:p>
        </w:tc>
        <w:tc>
          <w:tcPr>
            <w:tcW w:w="950" w:type="dxa"/>
            <w:tcBorders>
              <w:top w:val="nil"/>
              <w:left w:val="nil"/>
              <w:bottom w:val="nil"/>
              <w:right w:val="nil"/>
            </w:tcBorders>
            <w:shd w:val="clear" w:color="000000" w:fill="FFFFFF"/>
            <w:noWrap/>
            <w:vAlign w:val="bottom"/>
            <w:hideMark/>
          </w:tcPr>
          <w:p w:rsidR="00362904" w:rsidRPr="00362904" w:rsidRDefault="00362904" w:rsidP="00362904">
            <w:pPr>
              <w:jc w:val="center"/>
              <w:rPr>
                <w:rFonts w:ascii="Lucida Bright" w:hAnsi="Lucida Bright" w:cs="Calibri"/>
                <w:sz w:val="14"/>
                <w:szCs w:val="14"/>
                <w:lang w:val="es-ES"/>
              </w:rPr>
            </w:pPr>
            <w:r w:rsidRPr="00362904">
              <w:rPr>
                <w:rFonts w:ascii="Lucida Bright" w:hAnsi="Lucida Bright" w:cs="Calibri"/>
                <w:sz w:val="14"/>
                <w:szCs w:val="14"/>
                <w:lang w:val="es-ES"/>
              </w:rPr>
              <w:t> </w:t>
            </w:r>
          </w:p>
        </w:tc>
        <w:tc>
          <w:tcPr>
            <w:tcW w:w="1846" w:type="dxa"/>
            <w:tcBorders>
              <w:top w:val="nil"/>
              <w:left w:val="nil"/>
              <w:bottom w:val="nil"/>
              <w:right w:val="nil"/>
            </w:tcBorders>
            <w:shd w:val="clear" w:color="000000" w:fill="FFFFFF"/>
            <w:noWrap/>
            <w:vAlign w:val="bottom"/>
            <w:hideMark/>
          </w:tcPr>
          <w:p w:rsidR="00362904" w:rsidRPr="00362904" w:rsidRDefault="00362904" w:rsidP="00362904">
            <w:pPr>
              <w:jc w:val="center"/>
              <w:rPr>
                <w:rFonts w:ascii="Lucida Bright" w:hAnsi="Lucida Bright" w:cs="Calibri"/>
                <w:sz w:val="14"/>
                <w:szCs w:val="14"/>
                <w:lang w:val="es-ES"/>
              </w:rPr>
            </w:pPr>
            <w:r w:rsidRPr="00362904">
              <w:rPr>
                <w:rFonts w:ascii="Lucida Bright" w:hAnsi="Lucida Bright" w:cs="Calibri"/>
                <w:sz w:val="14"/>
                <w:szCs w:val="14"/>
                <w:lang w:val="es-ES"/>
              </w:rPr>
              <w:t> </w:t>
            </w:r>
          </w:p>
        </w:tc>
        <w:tc>
          <w:tcPr>
            <w:tcW w:w="1167" w:type="dxa"/>
            <w:tcBorders>
              <w:top w:val="nil"/>
              <w:left w:val="nil"/>
              <w:bottom w:val="nil"/>
              <w:right w:val="nil"/>
            </w:tcBorders>
            <w:shd w:val="clear" w:color="000000" w:fill="FFFFFF"/>
            <w:noWrap/>
            <w:vAlign w:val="bottom"/>
            <w:hideMark/>
          </w:tcPr>
          <w:p w:rsidR="00362904" w:rsidRPr="00362904" w:rsidRDefault="00362904" w:rsidP="00362904">
            <w:pPr>
              <w:rPr>
                <w:rFonts w:ascii="Lucida Bright" w:hAnsi="Lucida Bright" w:cs="Calibri"/>
                <w:sz w:val="14"/>
                <w:szCs w:val="14"/>
                <w:lang w:val="es-ES"/>
              </w:rPr>
            </w:pPr>
            <w:r w:rsidRPr="00362904">
              <w:rPr>
                <w:rFonts w:ascii="Lucida Bright" w:hAnsi="Lucida Bright" w:cs="Calibri"/>
                <w:sz w:val="14"/>
                <w:szCs w:val="14"/>
                <w:lang w:val="es-ES"/>
              </w:rPr>
              <w:t> </w:t>
            </w:r>
          </w:p>
        </w:tc>
        <w:tc>
          <w:tcPr>
            <w:tcW w:w="1185" w:type="dxa"/>
            <w:tcBorders>
              <w:top w:val="nil"/>
              <w:left w:val="nil"/>
              <w:bottom w:val="single" w:sz="4" w:space="0" w:color="auto"/>
              <w:right w:val="nil"/>
            </w:tcBorders>
            <w:shd w:val="clear" w:color="auto" w:fill="auto"/>
            <w:noWrap/>
            <w:vAlign w:val="center"/>
            <w:hideMark/>
          </w:tcPr>
          <w:p w:rsidR="00362904" w:rsidRPr="00362904" w:rsidRDefault="00362904" w:rsidP="00362904">
            <w:pPr>
              <w:rPr>
                <w:rFonts w:ascii="Lucida Bright" w:hAnsi="Lucida Bright" w:cs="Calibri"/>
                <w:b/>
                <w:bCs/>
                <w:sz w:val="14"/>
                <w:szCs w:val="14"/>
                <w:lang w:val="es-ES"/>
              </w:rPr>
            </w:pPr>
            <w:r w:rsidRPr="00362904">
              <w:rPr>
                <w:rFonts w:ascii="Lucida Bright" w:hAnsi="Lucida Bright" w:cs="Calibri"/>
                <w:b/>
                <w:bCs/>
                <w:sz w:val="14"/>
                <w:szCs w:val="14"/>
                <w:lang w:val="es-ES"/>
              </w:rPr>
              <w:t> </w:t>
            </w:r>
          </w:p>
        </w:tc>
        <w:tc>
          <w:tcPr>
            <w:tcW w:w="1141" w:type="dxa"/>
            <w:tcBorders>
              <w:top w:val="nil"/>
              <w:left w:val="nil"/>
              <w:bottom w:val="single" w:sz="4" w:space="0" w:color="auto"/>
              <w:right w:val="nil"/>
            </w:tcBorders>
            <w:shd w:val="clear" w:color="auto" w:fill="auto"/>
            <w:noWrap/>
            <w:vAlign w:val="center"/>
            <w:hideMark/>
          </w:tcPr>
          <w:p w:rsidR="00362904" w:rsidRPr="00362904" w:rsidRDefault="00362904" w:rsidP="00362904">
            <w:pPr>
              <w:rPr>
                <w:rFonts w:ascii="Lucida Bright" w:hAnsi="Lucida Bright" w:cs="Calibri"/>
                <w:b/>
                <w:bCs/>
                <w:sz w:val="14"/>
                <w:szCs w:val="14"/>
                <w:lang w:val="es-ES"/>
              </w:rPr>
            </w:pPr>
            <w:r w:rsidRPr="00362904">
              <w:rPr>
                <w:rFonts w:ascii="Lucida Bright" w:hAnsi="Lucida Bright" w:cs="Calibri"/>
                <w:b/>
                <w:bCs/>
                <w:sz w:val="14"/>
                <w:szCs w:val="14"/>
                <w:lang w:val="es-ES"/>
              </w:rPr>
              <w:t> </w:t>
            </w:r>
          </w:p>
        </w:tc>
        <w:tc>
          <w:tcPr>
            <w:tcW w:w="1168" w:type="dxa"/>
            <w:tcBorders>
              <w:top w:val="nil"/>
              <w:left w:val="nil"/>
              <w:bottom w:val="single" w:sz="4" w:space="0" w:color="auto"/>
              <w:right w:val="nil"/>
            </w:tcBorders>
            <w:shd w:val="clear" w:color="auto" w:fill="auto"/>
            <w:noWrap/>
            <w:vAlign w:val="center"/>
            <w:hideMark/>
          </w:tcPr>
          <w:p w:rsidR="00362904" w:rsidRPr="00362904" w:rsidRDefault="00362904" w:rsidP="00362904">
            <w:pPr>
              <w:rPr>
                <w:rFonts w:ascii="Lucida Bright" w:hAnsi="Lucida Bright" w:cs="Calibri"/>
                <w:b/>
                <w:bCs/>
                <w:sz w:val="14"/>
                <w:szCs w:val="14"/>
                <w:lang w:val="es-ES"/>
              </w:rPr>
            </w:pPr>
            <w:r w:rsidRPr="00362904">
              <w:rPr>
                <w:rFonts w:ascii="Lucida Bright" w:hAnsi="Lucida Bright" w:cs="Calibri"/>
                <w:b/>
                <w:bCs/>
                <w:sz w:val="14"/>
                <w:szCs w:val="14"/>
                <w:lang w:val="es-ES"/>
              </w:rPr>
              <w:t> </w:t>
            </w:r>
          </w:p>
        </w:tc>
      </w:tr>
      <w:tr w:rsidR="00362904" w:rsidRPr="00362904" w:rsidTr="00362904">
        <w:trPr>
          <w:trHeight w:val="300"/>
        </w:trPr>
        <w:tc>
          <w:tcPr>
            <w:tcW w:w="1023" w:type="dxa"/>
            <w:tcBorders>
              <w:top w:val="nil"/>
              <w:left w:val="nil"/>
              <w:bottom w:val="nil"/>
              <w:right w:val="nil"/>
            </w:tcBorders>
            <w:shd w:val="clear" w:color="000000" w:fill="FFFFFF"/>
            <w:noWrap/>
            <w:vAlign w:val="bottom"/>
            <w:hideMark/>
          </w:tcPr>
          <w:p w:rsidR="00362904" w:rsidRPr="00362904" w:rsidRDefault="00362904" w:rsidP="00362904">
            <w:pPr>
              <w:rPr>
                <w:rFonts w:ascii="Lucida Bright" w:hAnsi="Lucida Bright" w:cs="Calibri"/>
                <w:sz w:val="14"/>
                <w:szCs w:val="14"/>
                <w:lang w:val="es-ES"/>
              </w:rPr>
            </w:pPr>
            <w:r w:rsidRPr="00362904">
              <w:rPr>
                <w:rFonts w:ascii="Lucida Bright" w:hAnsi="Lucida Bright" w:cs="Calibri"/>
                <w:sz w:val="14"/>
                <w:szCs w:val="14"/>
                <w:lang w:val="es-ES"/>
              </w:rPr>
              <w:t> </w:t>
            </w:r>
          </w:p>
        </w:tc>
        <w:tc>
          <w:tcPr>
            <w:tcW w:w="950" w:type="dxa"/>
            <w:tcBorders>
              <w:top w:val="nil"/>
              <w:left w:val="nil"/>
              <w:bottom w:val="nil"/>
              <w:right w:val="nil"/>
            </w:tcBorders>
            <w:shd w:val="clear" w:color="000000" w:fill="FFFFFF"/>
            <w:noWrap/>
            <w:vAlign w:val="bottom"/>
            <w:hideMark/>
          </w:tcPr>
          <w:p w:rsidR="00362904" w:rsidRPr="00362904" w:rsidRDefault="00362904" w:rsidP="00362904">
            <w:pPr>
              <w:jc w:val="center"/>
              <w:rPr>
                <w:rFonts w:ascii="Lucida Bright" w:hAnsi="Lucida Bright" w:cs="Calibri"/>
                <w:sz w:val="14"/>
                <w:szCs w:val="14"/>
                <w:lang w:val="es-ES"/>
              </w:rPr>
            </w:pPr>
            <w:r w:rsidRPr="00362904">
              <w:rPr>
                <w:rFonts w:ascii="Lucida Bright" w:hAnsi="Lucida Bright" w:cs="Calibri"/>
                <w:sz w:val="14"/>
                <w:szCs w:val="14"/>
                <w:lang w:val="es-ES"/>
              </w:rPr>
              <w:t> </w:t>
            </w:r>
          </w:p>
        </w:tc>
        <w:tc>
          <w:tcPr>
            <w:tcW w:w="1846" w:type="dxa"/>
            <w:tcBorders>
              <w:top w:val="nil"/>
              <w:left w:val="nil"/>
              <w:bottom w:val="nil"/>
              <w:right w:val="nil"/>
            </w:tcBorders>
            <w:shd w:val="clear" w:color="000000" w:fill="FFFFFF"/>
            <w:noWrap/>
            <w:vAlign w:val="bottom"/>
            <w:hideMark/>
          </w:tcPr>
          <w:p w:rsidR="00362904" w:rsidRPr="00362904" w:rsidRDefault="00362904" w:rsidP="00362904">
            <w:pPr>
              <w:jc w:val="center"/>
              <w:rPr>
                <w:rFonts w:ascii="Lucida Bright" w:hAnsi="Lucida Bright" w:cs="Calibri"/>
                <w:sz w:val="14"/>
                <w:szCs w:val="14"/>
                <w:lang w:val="es-ES"/>
              </w:rPr>
            </w:pPr>
            <w:r w:rsidRPr="00362904">
              <w:rPr>
                <w:rFonts w:ascii="Lucida Bright" w:hAnsi="Lucida Bright" w:cs="Calibri"/>
                <w:sz w:val="14"/>
                <w:szCs w:val="14"/>
                <w:lang w:val="es-ES"/>
              </w:rPr>
              <w:t> </w:t>
            </w:r>
          </w:p>
        </w:tc>
        <w:tc>
          <w:tcPr>
            <w:tcW w:w="1167" w:type="dxa"/>
            <w:tcBorders>
              <w:top w:val="nil"/>
              <w:left w:val="nil"/>
              <w:bottom w:val="nil"/>
              <w:right w:val="nil"/>
            </w:tcBorders>
            <w:shd w:val="clear" w:color="000000" w:fill="FFFFFF"/>
            <w:noWrap/>
            <w:vAlign w:val="bottom"/>
            <w:hideMark/>
          </w:tcPr>
          <w:p w:rsidR="00362904" w:rsidRPr="00362904" w:rsidRDefault="00362904" w:rsidP="00362904">
            <w:pPr>
              <w:rPr>
                <w:rFonts w:ascii="Lucida Bright" w:hAnsi="Lucida Bright" w:cs="Calibri"/>
                <w:sz w:val="14"/>
                <w:szCs w:val="14"/>
                <w:lang w:val="es-ES"/>
              </w:rPr>
            </w:pPr>
            <w:r w:rsidRPr="00362904">
              <w:rPr>
                <w:rFonts w:ascii="Lucida Bright" w:hAnsi="Lucida Bright" w:cs="Calibri"/>
                <w:sz w:val="14"/>
                <w:szCs w:val="14"/>
                <w:lang w:val="es-ES"/>
              </w:rPr>
              <w:t> </w:t>
            </w:r>
          </w:p>
        </w:tc>
        <w:tc>
          <w:tcPr>
            <w:tcW w:w="1185" w:type="dxa"/>
            <w:tcBorders>
              <w:top w:val="nil"/>
              <w:left w:val="single" w:sz="4" w:space="0" w:color="auto"/>
              <w:bottom w:val="single" w:sz="4" w:space="0" w:color="auto"/>
              <w:right w:val="nil"/>
            </w:tcBorders>
            <w:shd w:val="clear" w:color="000000" w:fill="FFFFFF"/>
            <w:noWrap/>
            <w:vAlign w:val="bottom"/>
            <w:hideMark/>
          </w:tcPr>
          <w:p w:rsidR="00362904" w:rsidRPr="00362904" w:rsidRDefault="00362904" w:rsidP="00362904">
            <w:pPr>
              <w:rPr>
                <w:rFonts w:ascii="Lucida Bright" w:hAnsi="Lucida Bright" w:cs="Calibri"/>
                <w:sz w:val="14"/>
                <w:szCs w:val="14"/>
                <w:lang w:val="es-ES"/>
              </w:rPr>
            </w:pPr>
            <w:r w:rsidRPr="00362904">
              <w:rPr>
                <w:rFonts w:ascii="Lucida Bright" w:hAnsi="Lucida Bright" w:cs="Calibri"/>
                <w:sz w:val="14"/>
                <w:szCs w:val="14"/>
                <w:lang w:val="es-ES"/>
              </w:rPr>
              <w:t> </w:t>
            </w:r>
          </w:p>
        </w:tc>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362904" w:rsidRPr="00362904" w:rsidRDefault="00362904" w:rsidP="00362904">
            <w:pPr>
              <w:jc w:val="right"/>
              <w:rPr>
                <w:rFonts w:ascii="Lucida Bright" w:hAnsi="Lucida Bright" w:cs="Calibri"/>
                <w:b/>
                <w:bCs/>
                <w:sz w:val="14"/>
                <w:szCs w:val="14"/>
                <w:lang w:val="es-ES"/>
              </w:rPr>
            </w:pPr>
            <w:r w:rsidRPr="00362904">
              <w:rPr>
                <w:rFonts w:ascii="Lucida Bright" w:hAnsi="Lucida Bright" w:cs="Calibri"/>
                <w:b/>
                <w:bCs/>
                <w:sz w:val="14"/>
                <w:szCs w:val="14"/>
                <w:lang w:val="es-ES"/>
              </w:rPr>
              <w:t xml:space="preserve">Total Beneficios </w:t>
            </w:r>
          </w:p>
        </w:tc>
        <w:tc>
          <w:tcPr>
            <w:tcW w:w="1168" w:type="dxa"/>
            <w:tcBorders>
              <w:top w:val="nil"/>
              <w:left w:val="nil"/>
              <w:bottom w:val="nil"/>
              <w:right w:val="single" w:sz="4" w:space="0" w:color="auto"/>
            </w:tcBorders>
            <w:shd w:val="clear" w:color="auto" w:fill="auto"/>
            <w:noWrap/>
            <w:vAlign w:val="center"/>
            <w:hideMark/>
          </w:tcPr>
          <w:p w:rsidR="00362904" w:rsidRPr="00362904" w:rsidRDefault="00362904" w:rsidP="00362904">
            <w:pPr>
              <w:rPr>
                <w:rFonts w:ascii="Lucida Bright" w:hAnsi="Lucida Bright" w:cs="Calibri"/>
                <w:b/>
                <w:bCs/>
                <w:sz w:val="14"/>
                <w:szCs w:val="14"/>
                <w:lang w:val="es-ES"/>
              </w:rPr>
            </w:pPr>
            <w:r w:rsidRPr="00362904">
              <w:rPr>
                <w:rFonts w:ascii="Lucida Bright" w:hAnsi="Lucida Bright" w:cs="Calibri"/>
                <w:b/>
                <w:bCs/>
                <w:sz w:val="14"/>
                <w:szCs w:val="14"/>
                <w:lang w:val="es-ES"/>
              </w:rPr>
              <w:t> </w:t>
            </w:r>
          </w:p>
        </w:tc>
      </w:tr>
      <w:tr w:rsidR="00362904" w:rsidRPr="00362904" w:rsidTr="00362904">
        <w:trPr>
          <w:trHeight w:val="300"/>
        </w:trPr>
        <w:tc>
          <w:tcPr>
            <w:tcW w:w="1023" w:type="dxa"/>
            <w:tcBorders>
              <w:top w:val="nil"/>
              <w:left w:val="nil"/>
              <w:bottom w:val="nil"/>
              <w:right w:val="nil"/>
            </w:tcBorders>
            <w:shd w:val="clear" w:color="000000" w:fill="FFFFFF"/>
            <w:noWrap/>
            <w:vAlign w:val="bottom"/>
            <w:hideMark/>
          </w:tcPr>
          <w:p w:rsidR="00362904" w:rsidRPr="00362904" w:rsidRDefault="00362904" w:rsidP="00362904">
            <w:pPr>
              <w:rPr>
                <w:rFonts w:ascii="Lucida Bright" w:hAnsi="Lucida Bright" w:cs="Calibri"/>
                <w:sz w:val="14"/>
                <w:szCs w:val="14"/>
                <w:lang w:val="es-ES"/>
              </w:rPr>
            </w:pPr>
            <w:r w:rsidRPr="00362904">
              <w:rPr>
                <w:rFonts w:ascii="Lucida Bright" w:hAnsi="Lucida Bright" w:cs="Calibri"/>
                <w:sz w:val="14"/>
                <w:szCs w:val="14"/>
                <w:lang w:val="es-ES"/>
              </w:rPr>
              <w:t> </w:t>
            </w:r>
          </w:p>
        </w:tc>
        <w:tc>
          <w:tcPr>
            <w:tcW w:w="950" w:type="dxa"/>
            <w:tcBorders>
              <w:top w:val="nil"/>
              <w:left w:val="nil"/>
              <w:bottom w:val="nil"/>
              <w:right w:val="nil"/>
            </w:tcBorders>
            <w:shd w:val="clear" w:color="000000" w:fill="FFFFFF"/>
            <w:noWrap/>
            <w:vAlign w:val="bottom"/>
            <w:hideMark/>
          </w:tcPr>
          <w:p w:rsidR="00362904" w:rsidRPr="00362904" w:rsidRDefault="00362904" w:rsidP="00362904">
            <w:pPr>
              <w:jc w:val="center"/>
              <w:rPr>
                <w:rFonts w:ascii="Lucida Bright" w:hAnsi="Lucida Bright" w:cs="Calibri"/>
                <w:sz w:val="14"/>
                <w:szCs w:val="14"/>
                <w:lang w:val="es-ES"/>
              </w:rPr>
            </w:pPr>
            <w:r w:rsidRPr="00362904">
              <w:rPr>
                <w:rFonts w:ascii="Lucida Bright" w:hAnsi="Lucida Bright" w:cs="Calibri"/>
                <w:sz w:val="14"/>
                <w:szCs w:val="14"/>
                <w:lang w:val="es-ES"/>
              </w:rPr>
              <w:t> </w:t>
            </w:r>
          </w:p>
        </w:tc>
        <w:tc>
          <w:tcPr>
            <w:tcW w:w="1846" w:type="dxa"/>
            <w:tcBorders>
              <w:top w:val="nil"/>
              <w:left w:val="nil"/>
              <w:bottom w:val="nil"/>
              <w:right w:val="nil"/>
            </w:tcBorders>
            <w:shd w:val="clear" w:color="000000" w:fill="FFFFFF"/>
            <w:noWrap/>
            <w:vAlign w:val="bottom"/>
            <w:hideMark/>
          </w:tcPr>
          <w:p w:rsidR="00362904" w:rsidRPr="00362904" w:rsidRDefault="00362904" w:rsidP="00362904">
            <w:pPr>
              <w:jc w:val="center"/>
              <w:rPr>
                <w:rFonts w:ascii="Lucida Bright" w:hAnsi="Lucida Bright" w:cs="Calibri"/>
                <w:sz w:val="14"/>
                <w:szCs w:val="14"/>
                <w:lang w:val="es-ES"/>
              </w:rPr>
            </w:pPr>
            <w:r w:rsidRPr="00362904">
              <w:rPr>
                <w:rFonts w:ascii="Lucida Bright" w:hAnsi="Lucida Bright" w:cs="Calibri"/>
                <w:sz w:val="14"/>
                <w:szCs w:val="14"/>
                <w:lang w:val="es-ES"/>
              </w:rPr>
              <w:t> </w:t>
            </w:r>
          </w:p>
        </w:tc>
        <w:tc>
          <w:tcPr>
            <w:tcW w:w="1167" w:type="dxa"/>
            <w:tcBorders>
              <w:top w:val="nil"/>
              <w:left w:val="nil"/>
              <w:bottom w:val="nil"/>
              <w:right w:val="nil"/>
            </w:tcBorders>
            <w:shd w:val="clear" w:color="000000" w:fill="FFFFFF"/>
            <w:noWrap/>
            <w:vAlign w:val="bottom"/>
            <w:hideMark/>
          </w:tcPr>
          <w:p w:rsidR="00362904" w:rsidRPr="00362904" w:rsidRDefault="00362904" w:rsidP="00362904">
            <w:pPr>
              <w:rPr>
                <w:rFonts w:ascii="Lucida Bright" w:hAnsi="Lucida Bright" w:cs="Calibri"/>
                <w:sz w:val="14"/>
                <w:szCs w:val="14"/>
                <w:lang w:val="es-ES"/>
              </w:rPr>
            </w:pPr>
            <w:r w:rsidRPr="00362904">
              <w:rPr>
                <w:rFonts w:ascii="Lucida Bright" w:hAnsi="Lucida Bright" w:cs="Calibri"/>
                <w:sz w:val="14"/>
                <w:szCs w:val="14"/>
                <w:lang w:val="es-ES"/>
              </w:rPr>
              <w:t> </w:t>
            </w:r>
          </w:p>
        </w:tc>
        <w:tc>
          <w:tcPr>
            <w:tcW w:w="1185" w:type="dxa"/>
            <w:tcBorders>
              <w:top w:val="nil"/>
              <w:left w:val="single" w:sz="4" w:space="0" w:color="auto"/>
              <w:bottom w:val="single" w:sz="4" w:space="0" w:color="auto"/>
              <w:right w:val="nil"/>
            </w:tcBorders>
            <w:shd w:val="clear" w:color="000000" w:fill="FFFFFF"/>
            <w:noWrap/>
            <w:vAlign w:val="bottom"/>
            <w:hideMark/>
          </w:tcPr>
          <w:p w:rsidR="00362904" w:rsidRPr="00362904" w:rsidRDefault="00362904" w:rsidP="00362904">
            <w:pPr>
              <w:rPr>
                <w:rFonts w:ascii="Lucida Bright" w:hAnsi="Lucida Bright" w:cs="Calibri"/>
                <w:sz w:val="14"/>
                <w:szCs w:val="14"/>
                <w:lang w:val="es-ES"/>
              </w:rPr>
            </w:pPr>
            <w:r w:rsidRPr="00362904">
              <w:rPr>
                <w:rFonts w:ascii="Lucida Bright" w:hAnsi="Lucida Bright" w:cs="Calibri"/>
                <w:sz w:val="14"/>
                <w:szCs w:val="14"/>
                <w:lang w:val="es-ES"/>
              </w:rPr>
              <w:t> </w:t>
            </w:r>
          </w:p>
        </w:tc>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362904" w:rsidRPr="00362904" w:rsidRDefault="00362904" w:rsidP="00362904">
            <w:pPr>
              <w:jc w:val="right"/>
              <w:rPr>
                <w:rFonts w:ascii="Lucida Bright" w:hAnsi="Lucida Bright" w:cs="Calibri"/>
                <w:b/>
                <w:bCs/>
                <w:sz w:val="14"/>
                <w:szCs w:val="14"/>
                <w:lang w:val="es-ES"/>
              </w:rPr>
            </w:pPr>
            <w:r w:rsidRPr="00362904">
              <w:rPr>
                <w:rFonts w:ascii="Lucida Bright" w:hAnsi="Lucida Bright" w:cs="Calibri"/>
                <w:b/>
                <w:bCs/>
                <w:sz w:val="14"/>
                <w:szCs w:val="14"/>
                <w:lang w:val="es-ES"/>
              </w:rPr>
              <w:t xml:space="preserve">Total Pérdidas </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362904" w:rsidRPr="00362904" w:rsidRDefault="00362904" w:rsidP="00362904">
            <w:pPr>
              <w:jc w:val="right"/>
              <w:rPr>
                <w:rFonts w:ascii="Lucida Bright" w:hAnsi="Lucida Bright" w:cs="Calibri"/>
                <w:b/>
                <w:bCs/>
                <w:sz w:val="14"/>
                <w:szCs w:val="14"/>
                <w:lang w:val="es-ES"/>
              </w:rPr>
            </w:pPr>
            <w:r w:rsidRPr="00362904">
              <w:rPr>
                <w:rFonts w:ascii="Lucida Bright" w:hAnsi="Lucida Bright" w:cs="Calibri"/>
                <w:b/>
                <w:bCs/>
                <w:sz w:val="14"/>
                <w:szCs w:val="14"/>
                <w:lang w:val="es-ES"/>
              </w:rPr>
              <w:t xml:space="preserve">(484,34) </w:t>
            </w:r>
          </w:p>
        </w:tc>
      </w:tr>
    </w:tbl>
    <w:p w:rsidR="0050293A" w:rsidRDefault="0050293A" w:rsidP="00F348FE">
      <w:pPr>
        <w:tabs>
          <w:tab w:val="right" w:pos="8364"/>
        </w:tabs>
        <w:ind w:left="567" w:hanging="567"/>
        <w:jc w:val="both"/>
        <w:rPr>
          <w:b/>
          <w:bCs/>
          <w:sz w:val="24"/>
          <w:szCs w:val="24"/>
        </w:rPr>
      </w:pPr>
    </w:p>
    <w:p w:rsidR="0050293A" w:rsidRDefault="0050293A" w:rsidP="00F348FE">
      <w:pPr>
        <w:tabs>
          <w:tab w:val="right" w:pos="8364"/>
        </w:tabs>
        <w:ind w:left="567" w:hanging="567"/>
        <w:jc w:val="both"/>
        <w:rPr>
          <w:b/>
          <w:bCs/>
          <w:sz w:val="24"/>
          <w:szCs w:val="24"/>
        </w:rPr>
      </w:pPr>
    </w:p>
    <w:p w:rsidR="00E7494D" w:rsidRDefault="00E7494D" w:rsidP="00F348FE">
      <w:pPr>
        <w:tabs>
          <w:tab w:val="right" w:pos="8364"/>
        </w:tabs>
        <w:ind w:left="567" w:hanging="567"/>
        <w:jc w:val="both"/>
        <w:rPr>
          <w:b/>
          <w:bCs/>
          <w:sz w:val="24"/>
          <w:szCs w:val="24"/>
        </w:rPr>
      </w:pPr>
    </w:p>
    <w:p w:rsidR="00E7494D" w:rsidRDefault="00A96998" w:rsidP="0050293A">
      <w:pPr>
        <w:tabs>
          <w:tab w:val="right" w:pos="8364"/>
        </w:tabs>
        <w:ind w:firstLine="567"/>
        <w:jc w:val="both"/>
        <w:rPr>
          <w:rFonts w:ascii="NewBaskerville" w:hAnsi="NewBaskerville"/>
          <w:bCs/>
        </w:rPr>
      </w:pPr>
      <w:r>
        <w:rPr>
          <w:rFonts w:ascii="NewBaskerville" w:hAnsi="NewBaskerville"/>
          <w:bCs/>
        </w:rPr>
        <w:t>Activos contingentes:</w:t>
      </w:r>
    </w:p>
    <w:p w:rsidR="0050293A" w:rsidRDefault="0050293A" w:rsidP="0050293A">
      <w:pPr>
        <w:tabs>
          <w:tab w:val="right" w:pos="8364"/>
        </w:tabs>
        <w:ind w:firstLine="567"/>
        <w:jc w:val="both"/>
        <w:rPr>
          <w:rFonts w:ascii="NewBaskerville" w:hAnsi="NewBaskerville"/>
          <w:bCs/>
        </w:rPr>
      </w:pPr>
    </w:p>
    <w:p w:rsidR="0050293A" w:rsidRDefault="0050293A" w:rsidP="0050293A">
      <w:pPr>
        <w:tabs>
          <w:tab w:val="right" w:pos="8364"/>
        </w:tabs>
        <w:ind w:firstLine="567"/>
        <w:jc w:val="both"/>
        <w:rPr>
          <w:rFonts w:ascii="NewBaskerville" w:hAnsi="NewBaskerville"/>
          <w:bCs/>
        </w:rPr>
      </w:pPr>
      <w:r>
        <w:rPr>
          <w:rFonts w:ascii="NewBaskerville" w:hAnsi="NewBaskerville"/>
          <w:bCs/>
        </w:rPr>
        <w:t>A fecha de 31/12/202</w:t>
      </w:r>
      <w:r w:rsidR="00135BD4">
        <w:rPr>
          <w:rFonts w:ascii="NewBaskerville" w:hAnsi="NewBaskerville"/>
          <w:bCs/>
        </w:rPr>
        <w:t>2</w:t>
      </w:r>
      <w:r>
        <w:rPr>
          <w:rFonts w:ascii="NewBaskerville" w:hAnsi="NewBaskerville"/>
          <w:bCs/>
        </w:rPr>
        <w:t xml:space="preserve"> </w:t>
      </w:r>
      <w:r w:rsidR="00873730">
        <w:rPr>
          <w:rFonts w:ascii="NewBaskerville" w:hAnsi="NewBaskerville"/>
          <w:bCs/>
        </w:rPr>
        <w:t>la Entidad consideró que el título</w:t>
      </w:r>
      <w:r w:rsidR="00902F34">
        <w:rPr>
          <w:rFonts w:ascii="NewBaskerville" w:hAnsi="NewBaskerville"/>
          <w:bCs/>
        </w:rPr>
        <w:t xml:space="preserve"> concesional</w:t>
      </w:r>
      <w:r w:rsidR="00873730">
        <w:rPr>
          <w:rFonts w:ascii="NewBaskerville" w:hAnsi="NewBaskerville"/>
          <w:bCs/>
        </w:rPr>
        <w:t xml:space="preserve"> del Real Club Náutico de Palma se había extinguido por el vencimiento del plazo de otorgamiento. Este procedimiento ha sido, y es, </w:t>
      </w:r>
      <w:r w:rsidR="00350D1C">
        <w:rPr>
          <w:rFonts w:ascii="NewBaskerville" w:hAnsi="NewBaskerville"/>
          <w:bCs/>
        </w:rPr>
        <w:t>objeto de una alta litigiosidad.</w:t>
      </w:r>
      <w:r w:rsidR="00873730">
        <w:rPr>
          <w:rFonts w:ascii="NewBaskerville" w:hAnsi="NewBaskerville"/>
          <w:bCs/>
        </w:rPr>
        <w:t xml:space="preserve"> </w:t>
      </w:r>
      <w:r w:rsidR="00350D1C">
        <w:rPr>
          <w:rFonts w:ascii="NewBaskerville" w:hAnsi="NewBaskerville"/>
          <w:bCs/>
        </w:rPr>
        <w:t>J</w:t>
      </w:r>
      <w:r w:rsidR="00873730">
        <w:rPr>
          <w:rFonts w:ascii="NewBaskerville" w:hAnsi="NewBaskerville"/>
          <w:bCs/>
        </w:rPr>
        <w:t>udicializado a fecha de l</w:t>
      </w:r>
      <w:r w:rsidR="00350D1C">
        <w:rPr>
          <w:rFonts w:ascii="NewBaskerville" w:hAnsi="NewBaskerville"/>
          <w:bCs/>
        </w:rPr>
        <w:t>a formulación de estas cuentas,</w:t>
      </w:r>
      <w:r w:rsidR="00135BD4">
        <w:rPr>
          <w:rFonts w:ascii="NewBaskerville" w:hAnsi="NewBaskerville"/>
          <w:bCs/>
        </w:rPr>
        <w:t xml:space="preserve"> su futura confirmación tendrá lugar por resolución judicial.</w:t>
      </w:r>
    </w:p>
    <w:p w:rsidR="00135BD4" w:rsidRDefault="00135BD4" w:rsidP="0050293A">
      <w:pPr>
        <w:tabs>
          <w:tab w:val="right" w:pos="8364"/>
        </w:tabs>
        <w:ind w:firstLine="567"/>
        <w:jc w:val="both"/>
        <w:rPr>
          <w:rFonts w:ascii="NewBaskerville" w:hAnsi="NewBaskerville"/>
          <w:bCs/>
        </w:rPr>
      </w:pPr>
    </w:p>
    <w:p w:rsidR="00902F34" w:rsidRDefault="00135BD4" w:rsidP="0050293A">
      <w:pPr>
        <w:tabs>
          <w:tab w:val="right" w:pos="8364"/>
        </w:tabs>
        <w:ind w:firstLine="567"/>
        <w:jc w:val="both"/>
        <w:rPr>
          <w:rFonts w:ascii="NewBaskerville" w:hAnsi="NewBaskerville"/>
          <w:bCs/>
        </w:rPr>
      </w:pPr>
      <w:r>
        <w:rPr>
          <w:rFonts w:ascii="NewBaskerville" w:hAnsi="NewBaskerville"/>
          <w:bCs/>
        </w:rPr>
        <w:t>La reversión gratuita y libre de cargas</w:t>
      </w:r>
      <w:r w:rsidR="00350D1C">
        <w:rPr>
          <w:rFonts w:ascii="NewBaskerville" w:hAnsi="NewBaskerville"/>
          <w:bCs/>
        </w:rPr>
        <w:t xml:space="preserve"> de obras e instalaciones no desmontables</w:t>
      </w:r>
      <w:r>
        <w:rPr>
          <w:rFonts w:ascii="NewBaskerville" w:hAnsi="NewBaskerville"/>
          <w:bCs/>
        </w:rPr>
        <w:t xml:space="preserve"> q</w:t>
      </w:r>
      <w:r w:rsidR="00350D1C">
        <w:rPr>
          <w:rFonts w:ascii="NewBaskerville" w:hAnsi="NewBaskerville"/>
          <w:bCs/>
        </w:rPr>
        <w:t>ue se produciría día 01/01/2023</w:t>
      </w:r>
      <w:r>
        <w:rPr>
          <w:rFonts w:ascii="NewBaskerville" w:hAnsi="NewBaskerville"/>
          <w:bCs/>
        </w:rPr>
        <w:t xml:space="preserve"> de confirmarse este suceso incierto que no está enteramente bajo el control de la Entidad, </w:t>
      </w:r>
      <w:r w:rsidR="00902F34">
        <w:rPr>
          <w:rFonts w:ascii="NewBaskerville" w:hAnsi="NewBaskerville"/>
          <w:bCs/>
        </w:rPr>
        <w:t>no ha sido objeto de reconocimiento en Balance. Procediéndose a una evaluación de forma continuada de los mismos, a fin de reflejarse apropiadamente en estos estados contables.</w:t>
      </w:r>
    </w:p>
    <w:p w:rsidR="00902F34" w:rsidRDefault="00902F34" w:rsidP="0050293A">
      <w:pPr>
        <w:tabs>
          <w:tab w:val="right" w:pos="8364"/>
        </w:tabs>
        <w:ind w:firstLine="567"/>
        <w:jc w:val="both"/>
        <w:rPr>
          <w:rFonts w:ascii="NewBaskerville" w:hAnsi="NewBaskerville"/>
          <w:bCs/>
        </w:rPr>
      </w:pPr>
    </w:p>
    <w:p w:rsidR="00902F34" w:rsidRDefault="00F17898" w:rsidP="0050293A">
      <w:pPr>
        <w:tabs>
          <w:tab w:val="right" w:pos="8364"/>
        </w:tabs>
        <w:ind w:firstLine="567"/>
        <w:jc w:val="both"/>
        <w:rPr>
          <w:rFonts w:ascii="NewBaskerville" w:hAnsi="NewBaskerville"/>
          <w:bCs/>
        </w:rPr>
      </w:pPr>
      <w:r>
        <w:rPr>
          <w:rFonts w:ascii="NewBaskerville" w:hAnsi="NewBaskerville"/>
          <w:bCs/>
        </w:rPr>
        <w:t>Seguidamente se relacionan estos activos contingentes por:</w:t>
      </w:r>
    </w:p>
    <w:p w:rsidR="00F17898" w:rsidRDefault="00F17898" w:rsidP="00F17898">
      <w:pPr>
        <w:pStyle w:val="Prrafodelista"/>
        <w:numPr>
          <w:ilvl w:val="0"/>
          <w:numId w:val="6"/>
        </w:numPr>
        <w:tabs>
          <w:tab w:val="right" w:pos="8364"/>
        </w:tabs>
        <w:jc w:val="both"/>
        <w:rPr>
          <w:rFonts w:ascii="NewBaskerville" w:hAnsi="NewBaskerville"/>
          <w:bCs/>
        </w:rPr>
      </w:pPr>
      <w:r>
        <w:rPr>
          <w:rFonts w:ascii="NewBaskerville" w:hAnsi="NewBaskerville"/>
          <w:bCs/>
        </w:rPr>
        <w:t>Epígrafe o clasificación funcional.</w:t>
      </w:r>
    </w:p>
    <w:p w:rsidR="00F17898" w:rsidRDefault="00F17898" w:rsidP="00F17898">
      <w:pPr>
        <w:pStyle w:val="Prrafodelista"/>
        <w:numPr>
          <w:ilvl w:val="0"/>
          <w:numId w:val="6"/>
        </w:numPr>
        <w:tabs>
          <w:tab w:val="right" w:pos="8364"/>
        </w:tabs>
        <w:jc w:val="both"/>
        <w:rPr>
          <w:rFonts w:ascii="NewBaskerville" w:hAnsi="NewBaskerville"/>
          <w:bCs/>
        </w:rPr>
      </w:pPr>
      <w:r>
        <w:rPr>
          <w:rFonts w:ascii="NewBaskerville" w:hAnsi="NewBaskerville"/>
          <w:bCs/>
        </w:rPr>
        <w:t>Valor razonable a 01/01/2023.</w:t>
      </w:r>
    </w:p>
    <w:p w:rsidR="00F17898" w:rsidRDefault="00F17898" w:rsidP="00F17898">
      <w:pPr>
        <w:pStyle w:val="Prrafodelista"/>
        <w:numPr>
          <w:ilvl w:val="0"/>
          <w:numId w:val="6"/>
        </w:numPr>
        <w:tabs>
          <w:tab w:val="right" w:pos="8364"/>
        </w:tabs>
        <w:jc w:val="both"/>
        <w:rPr>
          <w:rFonts w:ascii="NewBaskerville" w:hAnsi="NewBaskerville"/>
          <w:bCs/>
        </w:rPr>
      </w:pPr>
      <w:r>
        <w:rPr>
          <w:rFonts w:ascii="NewBaskerville" w:hAnsi="NewBaskerville"/>
          <w:bCs/>
        </w:rPr>
        <w:t>Amortización acumulada a 31/12/202</w:t>
      </w:r>
      <w:r w:rsidR="00800D85">
        <w:rPr>
          <w:rFonts w:ascii="NewBaskerville" w:hAnsi="NewBaskerville"/>
          <w:bCs/>
        </w:rPr>
        <w:t>4</w:t>
      </w:r>
      <w:r>
        <w:rPr>
          <w:rFonts w:ascii="NewBaskerville" w:hAnsi="NewBaskerville"/>
          <w:bCs/>
        </w:rPr>
        <w:t xml:space="preserve"> que procedería si se confirmase el suceso.</w:t>
      </w:r>
    </w:p>
    <w:p w:rsidR="00F17898" w:rsidRDefault="00F17898" w:rsidP="00F17898">
      <w:pPr>
        <w:tabs>
          <w:tab w:val="right" w:pos="8364"/>
        </w:tabs>
        <w:jc w:val="both"/>
        <w:rPr>
          <w:rFonts w:ascii="NewBaskerville" w:hAnsi="NewBaskerville"/>
          <w:bCs/>
        </w:rPr>
      </w:pPr>
    </w:p>
    <w:p w:rsidR="00F17898" w:rsidRPr="00F17898" w:rsidRDefault="00F17898" w:rsidP="00F17898">
      <w:pPr>
        <w:tabs>
          <w:tab w:val="right" w:pos="8364"/>
        </w:tabs>
        <w:jc w:val="both"/>
        <w:rPr>
          <w:rFonts w:ascii="NewBaskerville" w:hAnsi="NewBaskerville"/>
          <w:bCs/>
        </w:rPr>
      </w:pPr>
    </w:p>
    <w:tbl>
      <w:tblPr>
        <w:tblW w:w="7400" w:type="dxa"/>
        <w:tblInd w:w="60" w:type="dxa"/>
        <w:tblCellMar>
          <w:left w:w="70" w:type="dxa"/>
          <w:right w:w="70" w:type="dxa"/>
        </w:tblCellMar>
        <w:tblLook w:val="04A0" w:firstRow="1" w:lastRow="0" w:firstColumn="1" w:lastColumn="0" w:noHBand="0" w:noVBand="1"/>
      </w:tblPr>
      <w:tblGrid>
        <w:gridCol w:w="3940"/>
        <w:gridCol w:w="1700"/>
        <w:gridCol w:w="1760"/>
      </w:tblGrid>
      <w:tr w:rsidR="00800D85" w:rsidRPr="00800D85" w:rsidTr="00800D85">
        <w:trPr>
          <w:trHeight w:val="495"/>
        </w:trPr>
        <w:tc>
          <w:tcPr>
            <w:tcW w:w="3940" w:type="dxa"/>
            <w:tcBorders>
              <w:top w:val="single" w:sz="8" w:space="0" w:color="000000"/>
              <w:left w:val="single" w:sz="8" w:space="0" w:color="000000"/>
              <w:bottom w:val="single" w:sz="8" w:space="0" w:color="000000"/>
              <w:right w:val="single" w:sz="8" w:space="0" w:color="000000"/>
            </w:tcBorders>
            <w:shd w:val="clear" w:color="000000" w:fill="CCFFCC"/>
            <w:vAlign w:val="center"/>
            <w:hideMark/>
          </w:tcPr>
          <w:p w:rsidR="00800D85" w:rsidRPr="00800D85" w:rsidRDefault="00800D85" w:rsidP="00800D85">
            <w:pPr>
              <w:jc w:val="center"/>
              <w:rPr>
                <w:rFonts w:ascii="Lucida Bright" w:hAnsi="Lucida Bright" w:cs="Calibri"/>
                <w:b/>
                <w:bCs/>
                <w:color w:val="000000"/>
                <w:sz w:val="18"/>
                <w:szCs w:val="18"/>
                <w:lang w:val="es-ES"/>
              </w:rPr>
            </w:pPr>
            <w:r w:rsidRPr="00800D85">
              <w:rPr>
                <w:rFonts w:ascii="Lucida Bright" w:hAnsi="Lucida Bright" w:cs="Calibri"/>
                <w:b/>
                <w:bCs/>
                <w:color w:val="000000"/>
                <w:sz w:val="18"/>
                <w:szCs w:val="18"/>
                <w:lang w:val="es-ES"/>
              </w:rPr>
              <w:t>Epígrafe</w:t>
            </w:r>
          </w:p>
        </w:tc>
        <w:tc>
          <w:tcPr>
            <w:tcW w:w="1700" w:type="dxa"/>
            <w:tcBorders>
              <w:top w:val="single" w:sz="8" w:space="0" w:color="000000"/>
              <w:left w:val="nil"/>
              <w:bottom w:val="single" w:sz="8" w:space="0" w:color="000000"/>
              <w:right w:val="single" w:sz="8" w:space="0" w:color="000000"/>
            </w:tcBorders>
            <w:shd w:val="clear" w:color="000000" w:fill="CCFFCC"/>
            <w:vAlign w:val="center"/>
            <w:hideMark/>
          </w:tcPr>
          <w:p w:rsidR="00800D85" w:rsidRPr="00800D85" w:rsidRDefault="00800D85" w:rsidP="00800D85">
            <w:pPr>
              <w:jc w:val="center"/>
              <w:rPr>
                <w:rFonts w:ascii="Lucida Bright" w:hAnsi="Lucida Bright" w:cs="Calibri"/>
                <w:b/>
                <w:bCs/>
                <w:color w:val="000000"/>
                <w:sz w:val="18"/>
                <w:szCs w:val="18"/>
                <w:lang w:val="es-ES"/>
              </w:rPr>
            </w:pPr>
            <w:r w:rsidRPr="00800D85">
              <w:rPr>
                <w:rFonts w:ascii="Lucida Bright" w:hAnsi="Lucida Bright" w:cs="Calibri"/>
                <w:b/>
                <w:bCs/>
                <w:color w:val="000000"/>
                <w:sz w:val="18"/>
                <w:szCs w:val="18"/>
                <w:lang w:val="es-ES"/>
              </w:rPr>
              <w:t>VALOR RAZONABLE</w:t>
            </w:r>
          </w:p>
        </w:tc>
        <w:tc>
          <w:tcPr>
            <w:tcW w:w="1760" w:type="dxa"/>
            <w:tcBorders>
              <w:top w:val="single" w:sz="8" w:space="0" w:color="000000"/>
              <w:left w:val="nil"/>
              <w:bottom w:val="single" w:sz="8" w:space="0" w:color="000000"/>
              <w:right w:val="single" w:sz="8" w:space="0" w:color="000000"/>
            </w:tcBorders>
            <w:shd w:val="clear" w:color="000000" w:fill="CCFFCC"/>
            <w:vAlign w:val="center"/>
            <w:hideMark/>
          </w:tcPr>
          <w:p w:rsidR="00800D85" w:rsidRPr="00800D85" w:rsidRDefault="00800D85" w:rsidP="00800D85">
            <w:pPr>
              <w:jc w:val="center"/>
              <w:rPr>
                <w:rFonts w:ascii="Lucida Bright" w:hAnsi="Lucida Bright" w:cs="Calibri"/>
                <w:b/>
                <w:bCs/>
                <w:color w:val="000000"/>
                <w:sz w:val="18"/>
                <w:szCs w:val="18"/>
                <w:lang w:val="es-ES"/>
              </w:rPr>
            </w:pPr>
            <w:r w:rsidRPr="00800D85">
              <w:rPr>
                <w:rFonts w:ascii="Lucida Bright" w:hAnsi="Lucida Bright" w:cs="Calibri"/>
                <w:b/>
                <w:bCs/>
                <w:color w:val="000000"/>
                <w:sz w:val="18"/>
                <w:szCs w:val="18"/>
                <w:lang w:val="es-ES"/>
              </w:rPr>
              <w:t>AMORTIZACIÓN ACDA</w:t>
            </w:r>
          </w:p>
        </w:tc>
      </w:tr>
      <w:tr w:rsidR="00800D85" w:rsidRPr="00800D85" w:rsidTr="00800D85">
        <w:trPr>
          <w:trHeight w:val="315"/>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800D85" w:rsidRPr="00800D85" w:rsidRDefault="00800D85" w:rsidP="00800D85">
            <w:pPr>
              <w:rPr>
                <w:rFonts w:ascii="Lucida Bright" w:hAnsi="Lucida Bright" w:cs="Calibri"/>
                <w:color w:val="000000"/>
                <w:sz w:val="18"/>
                <w:szCs w:val="18"/>
                <w:lang w:val="es-ES"/>
              </w:rPr>
            </w:pPr>
            <w:r w:rsidRPr="00800D85">
              <w:rPr>
                <w:rFonts w:ascii="Lucida Bright" w:hAnsi="Lucida Bright" w:cs="Calibri"/>
                <w:color w:val="000000"/>
                <w:sz w:val="18"/>
                <w:szCs w:val="18"/>
                <w:lang w:val="es-ES"/>
              </w:rPr>
              <w:t>Obras de atraque</w:t>
            </w:r>
          </w:p>
        </w:tc>
        <w:tc>
          <w:tcPr>
            <w:tcW w:w="1700" w:type="dxa"/>
            <w:tcBorders>
              <w:top w:val="nil"/>
              <w:left w:val="nil"/>
              <w:bottom w:val="single" w:sz="8" w:space="0" w:color="000000"/>
              <w:right w:val="single" w:sz="8" w:space="0" w:color="000000"/>
            </w:tcBorders>
            <w:shd w:val="clear" w:color="auto" w:fill="auto"/>
            <w:noWrap/>
            <w:vAlign w:val="bottom"/>
            <w:hideMark/>
          </w:tcPr>
          <w:p w:rsidR="00800D85" w:rsidRPr="00800D85" w:rsidRDefault="00800D85" w:rsidP="00800D85">
            <w:pPr>
              <w:jc w:val="right"/>
              <w:rPr>
                <w:rFonts w:ascii="Lucida Bright" w:hAnsi="Lucida Bright" w:cs="Calibri"/>
                <w:sz w:val="18"/>
                <w:szCs w:val="18"/>
                <w:lang w:val="es-ES"/>
              </w:rPr>
            </w:pPr>
            <w:r w:rsidRPr="00800D85">
              <w:rPr>
                <w:rFonts w:ascii="Lucida Bright" w:hAnsi="Lucida Bright" w:cs="Calibri"/>
                <w:sz w:val="18"/>
                <w:szCs w:val="18"/>
                <w:lang w:val="es-ES"/>
              </w:rPr>
              <w:t>4.619.856,28</w:t>
            </w:r>
          </w:p>
        </w:tc>
        <w:tc>
          <w:tcPr>
            <w:tcW w:w="1760" w:type="dxa"/>
            <w:tcBorders>
              <w:top w:val="nil"/>
              <w:left w:val="nil"/>
              <w:bottom w:val="single" w:sz="8" w:space="0" w:color="000000"/>
              <w:right w:val="single" w:sz="8" w:space="0" w:color="000000"/>
            </w:tcBorders>
            <w:shd w:val="clear" w:color="000000" w:fill="FFFFFF"/>
            <w:noWrap/>
            <w:vAlign w:val="center"/>
            <w:hideMark/>
          </w:tcPr>
          <w:p w:rsidR="00800D85" w:rsidRPr="00800D85" w:rsidRDefault="00800D85" w:rsidP="00800D85">
            <w:pPr>
              <w:jc w:val="right"/>
              <w:rPr>
                <w:rFonts w:ascii="Lucida Bright" w:hAnsi="Lucida Bright" w:cs="Calibri"/>
                <w:color w:val="000000"/>
                <w:sz w:val="18"/>
                <w:szCs w:val="18"/>
                <w:lang w:val="es-ES"/>
              </w:rPr>
            </w:pPr>
            <w:r w:rsidRPr="00800D85">
              <w:rPr>
                <w:rFonts w:ascii="Lucida Bright" w:hAnsi="Lucida Bright" w:cs="Calibri"/>
                <w:color w:val="000000"/>
                <w:sz w:val="18"/>
                <w:szCs w:val="18"/>
                <w:lang w:val="es-ES"/>
              </w:rPr>
              <w:t xml:space="preserve">(307.990,42) </w:t>
            </w:r>
          </w:p>
        </w:tc>
      </w:tr>
      <w:tr w:rsidR="00800D85" w:rsidRPr="00800D85" w:rsidTr="00800D85">
        <w:trPr>
          <w:trHeight w:val="315"/>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800D85" w:rsidRPr="00800D85" w:rsidRDefault="00800D85" w:rsidP="00800D85">
            <w:pPr>
              <w:rPr>
                <w:rFonts w:ascii="Lucida Bright" w:hAnsi="Lucida Bright" w:cs="Calibri"/>
                <w:color w:val="000000"/>
                <w:sz w:val="18"/>
                <w:szCs w:val="18"/>
                <w:lang w:val="es-ES"/>
              </w:rPr>
            </w:pPr>
            <w:r w:rsidRPr="00800D85">
              <w:rPr>
                <w:rFonts w:ascii="Lucida Bright" w:hAnsi="Lucida Bright" w:cs="Calibri"/>
                <w:color w:val="000000"/>
                <w:sz w:val="18"/>
                <w:szCs w:val="18"/>
                <w:lang w:val="es-ES"/>
              </w:rPr>
              <w:t>Edificaciones</w:t>
            </w:r>
          </w:p>
        </w:tc>
        <w:tc>
          <w:tcPr>
            <w:tcW w:w="1700" w:type="dxa"/>
            <w:tcBorders>
              <w:top w:val="nil"/>
              <w:left w:val="nil"/>
              <w:bottom w:val="single" w:sz="8" w:space="0" w:color="000000"/>
              <w:right w:val="single" w:sz="8" w:space="0" w:color="000000"/>
            </w:tcBorders>
            <w:shd w:val="clear" w:color="auto" w:fill="auto"/>
            <w:noWrap/>
            <w:vAlign w:val="bottom"/>
            <w:hideMark/>
          </w:tcPr>
          <w:p w:rsidR="00800D85" w:rsidRPr="00800D85" w:rsidRDefault="00800D85" w:rsidP="00800D85">
            <w:pPr>
              <w:jc w:val="right"/>
              <w:rPr>
                <w:rFonts w:ascii="Lucida Bright" w:hAnsi="Lucida Bright" w:cs="Calibri"/>
                <w:sz w:val="18"/>
                <w:szCs w:val="18"/>
                <w:lang w:val="es-ES"/>
              </w:rPr>
            </w:pPr>
            <w:r w:rsidRPr="00800D85">
              <w:rPr>
                <w:rFonts w:ascii="Lucida Bright" w:hAnsi="Lucida Bright" w:cs="Calibri"/>
                <w:sz w:val="18"/>
                <w:szCs w:val="18"/>
                <w:lang w:val="es-ES"/>
              </w:rPr>
              <w:t>5.788.320,65</w:t>
            </w:r>
          </w:p>
        </w:tc>
        <w:tc>
          <w:tcPr>
            <w:tcW w:w="1760" w:type="dxa"/>
            <w:tcBorders>
              <w:top w:val="nil"/>
              <w:left w:val="nil"/>
              <w:bottom w:val="single" w:sz="8" w:space="0" w:color="000000"/>
              <w:right w:val="single" w:sz="8" w:space="0" w:color="000000"/>
            </w:tcBorders>
            <w:shd w:val="clear" w:color="000000" w:fill="FFFFFF"/>
            <w:noWrap/>
            <w:vAlign w:val="center"/>
            <w:hideMark/>
          </w:tcPr>
          <w:p w:rsidR="00800D85" w:rsidRPr="00800D85" w:rsidRDefault="00800D85" w:rsidP="00800D85">
            <w:pPr>
              <w:jc w:val="right"/>
              <w:rPr>
                <w:rFonts w:ascii="Lucida Bright" w:hAnsi="Lucida Bright" w:cs="Calibri"/>
                <w:color w:val="000000"/>
                <w:sz w:val="18"/>
                <w:szCs w:val="18"/>
                <w:lang w:val="es-ES"/>
              </w:rPr>
            </w:pPr>
            <w:r w:rsidRPr="00800D85">
              <w:rPr>
                <w:rFonts w:ascii="Lucida Bright" w:hAnsi="Lucida Bright" w:cs="Calibri"/>
                <w:color w:val="000000"/>
                <w:sz w:val="18"/>
                <w:szCs w:val="18"/>
                <w:lang w:val="es-ES"/>
              </w:rPr>
              <w:t xml:space="preserve">(231.532,83) </w:t>
            </w:r>
          </w:p>
        </w:tc>
      </w:tr>
      <w:tr w:rsidR="00800D85" w:rsidRPr="00800D85" w:rsidTr="00800D85">
        <w:trPr>
          <w:trHeight w:val="315"/>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800D85" w:rsidRPr="00800D85" w:rsidRDefault="00800D85" w:rsidP="00800D85">
            <w:pPr>
              <w:ind w:firstLineChars="200" w:firstLine="361"/>
              <w:jc w:val="right"/>
              <w:rPr>
                <w:rFonts w:ascii="Lucida Bright" w:hAnsi="Lucida Bright" w:cs="Calibri"/>
                <w:b/>
                <w:bCs/>
                <w:color w:val="000000"/>
                <w:sz w:val="18"/>
                <w:szCs w:val="18"/>
                <w:lang w:val="es-ES"/>
              </w:rPr>
            </w:pPr>
            <w:r w:rsidRPr="00800D85">
              <w:rPr>
                <w:rFonts w:ascii="Lucida Bright" w:hAnsi="Lucida Bright" w:cs="Calibri"/>
                <w:b/>
                <w:bCs/>
                <w:color w:val="000000"/>
                <w:sz w:val="18"/>
                <w:szCs w:val="18"/>
                <w:lang w:val="es-ES"/>
              </w:rPr>
              <w:t>TOTAL</w:t>
            </w:r>
          </w:p>
        </w:tc>
        <w:tc>
          <w:tcPr>
            <w:tcW w:w="1700" w:type="dxa"/>
            <w:tcBorders>
              <w:top w:val="nil"/>
              <w:left w:val="nil"/>
              <w:bottom w:val="single" w:sz="8" w:space="0" w:color="000000"/>
              <w:right w:val="single" w:sz="8" w:space="0" w:color="000000"/>
            </w:tcBorders>
            <w:shd w:val="clear" w:color="auto" w:fill="auto"/>
            <w:noWrap/>
            <w:vAlign w:val="center"/>
            <w:hideMark/>
          </w:tcPr>
          <w:p w:rsidR="00800D85" w:rsidRPr="00800D85" w:rsidRDefault="00800D85" w:rsidP="00800D85">
            <w:pPr>
              <w:jc w:val="right"/>
              <w:rPr>
                <w:rFonts w:ascii="Lucida Bright" w:hAnsi="Lucida Bright" w:cs="Calibri"/>
                <w:b/>
                <w:bCs/>
                <w:color w:val="000000"/>
                <w:sz w:val="18"/>
                <w:szCs w:val="18"/>
                <w:lang w:val="es-ES"/>
              </w:rPr>
            </w:pPr>
            <w:r w:rsidRPr="00800D85">
              <w:rPr>
                <w:rFonts w:ascii="Lucida Bright" w:hAnsi="Lucida Bright" w:cs="Calibri"/>
                <w:b/>
                <w:bCs/>
                <w:color w:val="000000"/>
                <w:sz w:val="18"/>
                <w:szCs w:val="18"/>
                <w:lang w:val="es-ES"/>
              </w:rPr>
              <w:t>10.408.176,93</w:t>
            </w:r>
          </w:p>
        </w:tc>
        <w:tc>
          <w:tcPr>
            <w:tcW w:w="1760" w:type="dxa"/>
            <w:tcBorders>
              <w:top w:val="nil"/>
              <w:left w:val="nil"/>
              <w:bottom w:val="single" w:sz="8" w:space="0" w:color="000000"/>
              <w:right w:val="single" w:sz="8" w:space="0" w:color="000000"/>
            </w:tcBorders>
            <w:shd w:val="clear" w:color="auto" w:fill="auto"/>
            <w:noWrap/>
            <w:vAlign w:val="center"/>
            <w:hideMark/>
          </w:tcPr>
          <w:p w:rsidR="00800D85" w:rsidRPr="00800D85" w:rsidRDefault="00800D85" w:rsidP="00800D85">
            <w:pPr>
              <w:jc w:val="right"/>
              <w:rPr>
                <w:rFonts w:ascii="Lucida Bright" w:hAnsi="Lucida Bright" w:cs="Calibri"/>
                <w:b/>
                <w:bCs/>
                <w:color w:val="000000"/>
                <w:sz w:val="18"/>
                <w:szCs w:val="18"/>
                <w:lang w:val="es-ES"/>
              </w:rPr>
            </w:pPr>
            <w:r w:rsidRPr="00800D85">
              <w:rPr>
                <w:rFonts w:ascii="Lucida Bright" w:hAnsi="Lucida Bright" w:cs="Calibri"/>
                <w:b/>
                <w:bCs/>
                <w:color w:val="000000"/>
                <w:sz w:val="18"/>
                <w:szCs w:val="18"/>
                <w:lang w:val="es-ES"/>
              </w:rPr>
              <w:t xml:space="preserve">(539.523,24) </w:t>
            </w:r>
          </w:p>
        </w:tc>
      </w:tr>
    </w:tbl>
    <w:p w:rsidR="00902F34" w:rsidRDefault="00902F34" w:rsidP="0050293A">
      <w:pPr>
        <w:tabs>
          <w:tab w:val="right" w:pos="8364"/>
        </w:tabs>
        <w:ind w:firstLine="567"/>
        <w:jc w:val="both"/>
        <w:rPr>
          <w:rFonts w:ascii="NewBaskerville" w:hAnsi="NewBaskerville"/>
          <w:bCs/>
        </w:rPr>
      </w:pPr>
    </w:p>
    <w:p w:rsidR="00135BD4" w:rsidRDefault="00135BD4" w:rsidP="0050293A">
      <w:pPr>
        <w:tabs>
          <w:tab w:val="right" w:pos="8364"/>
        </w:tabs>
        <w:ind w:firstLine="567"/>
        <w:jc w:val="both"/>
        <w:rPr>
          <w:rFonts w:ascii="NewBaskerville" w:hAnsi="NewBaskerville"/>
          <w:bCs/>
        </w:rPr>
      </w:pPr>
    </w:p>
    <w:p w:rsidR="0051409B" w:rsidRDefault="0051409B" w:rsidP="00F348FE">
      <w:pPr>
        <w:tabs>
          <w:tab w:val="right" w:pos="8364"/>
        </w:tabs>
        <w:ind w:left="567" w:hanging="567"/>
        <w:jc w:val="both"/>
        <w:rPr>
          <w:b/>
          <w:bCs/>
          <w:sz w:val="24"/>
          <w:szCs w:val="24"/>
        </w:rPr>
        <w:sectPr w:rsidR="0051409B" w:rsidSect="00304E6C">
          <w:pgSz w:w="11907" w:h="16840" w:code="9"/>
          <w:pgMar w:top="1701" w:right="1418" w:bottom="1701" w:left="1276" w:header="567" w:footer="720" w:gutter="0"/>
          <w:cols w:space="720"/>
          <w:docGrid w:linePitch="272"/>
        </w:sectPr>
      </w:pPr>
    </w:p>
    <w:p w:rsidR="00E82CFF" w:rsidRDefault="00E82CFF" w:rsidP="00F348FE">
      <w:pPr>
        <w:tabs>
          <w:tab w:val="right" w:pos="8364"/>
        </w:tabs>
        <w:ind w:left="567" w:hanging="567"/>
        <w:jc w:val="both"/>
        <w:rPr>
          <w:rFonts w:ascii="NewBaskerville" w:hAnsi="NewBaskerville"/>
          <w:b/>
          <w:bCs/>
          <w:sz w:val="24"/>
          <w:szCs w:val="24"/>
        </w:rPr>
      </w:pPr>
    </w:p>
    <w:p w:rsidR="004321BA" w:rsidRPr="00E73E9C" w:rsidRDefault="00F706A9" w:rsidP="00F348FE">
      <w:pPr>
        <w:tabs>
          <w:tab w:val="right" w:pos="8364"/>
        </w:tabs>
        <w:ind w:left="567" w:hanging="567"/>
        <w:jc w:val="both"/>
        <w:rPr>
          <w:rFonts w:ascii="NewBaskerville" w:hAnsi="NewBaskerville"/>
          <w:b/>
          <w:bCs/>
          <w:sz w:val="24"/>
          <w:szCs w:val="24"/>
        </w:rPr>
      </w:pPr>
      <w:r w:rsidRPr="00E73E9C">
        <w:rPr>
          <w:rFonts w:ascii="NewBaskerville" w:hAnsi="NewBaskerville"/>
          <w:b/>
          <w:bCs/>
          <w:sz w:val="24"/>
          <w:szCs w:val="24"/>
        </w:rPr>
        <w:t>8</w:t>
      </w:r>
      <w:r w:rsidR="001D3DA0" w:rsidRPr="00E73E9C">
        <w:rPr>
          <w:rFonts w:ascii="NewBaskerville" w:hAnsi="NewBaskerville"/>
          <w:b/>
          <w:bCs/>
          <w:sz w:val="24"/>
          <w:szCs w:val="24"/>
        </w:rPr>
        <w:t>.</w:t>
      </w:r>
      <w:r w:rsidR="00764B1E" w:rsidRPr="00E73E9C">
        <w:rPr>
          <w:rFonts w:ascii="NewBaskerville" w:hAnsi="NewBaskerville"/>
          <w:b/>
          <w:bCs/>
          <w:sz w:val="24"/>
          <w:szCs w:val="24"/>
        </w:rPr>
        <w:t xml:space="preserve"> </w:t>
      </w:r>
      <w:r w:rsidR="00997D65" w:rsidRPr="00E73E9C">
        <w:rPr>
          <w:rFonts w:ascii="NewBaskerville" w:hAnsi="NewBaskerville"/>
          <w:b/>
          <w:bCs/>
          <w:sz w:val="24"/>
          <w:szCs w:val="24"/>
        </w:rPr>
        <w:t>Arrendamientos operativos - Concesiones y Autorizaciones</w:t>
      </w:r>
    </w:p>
    <w:p w:rsidR="004C5C4B" w:rsidRDefault="004C5C4B" w:rsidP="00257560">
      <w:pPr>
        <w:tabs>
          <w:tab w:val="right" w:pos="8364"/>
        </w:tabs>
        <w:ind w:firstLine="540"/>
        <w:jc w:val="both"/>
        <w:rPr>
          <w:bCs/>
        </w:rPr>
      </w:pPr>
    </w:p>
    <w:p w:rsidR="0051409B" w:rsidRDefault="00410413" w:rsidP="00257560">
      <w:pPr>
        <w:tabs>
          <w:tab w:val="right" w:pos="8364"/>
        </w:tabs>
        <w:ind w:firstLine="540"/>
        <w:jc w:val="both"/>
        <w:rPr>
          <w:rFonts w:ascii="NewBaskerville" w:hAnsi="NewBaskerville"/>
          <w:bCs/>
        </w:rPr>
      </w:pPr>
      <w:r>
        <w:rPr>
          <w:rFonts w:ascii="NewBaskerville" w:hAnsi="NewBaskerville"/>
          <w:bCs/>
        </w:rPr>
        <w:t>Información del importe total de los cobros futuros mínimos correspondientes a los arrendamientos operativos no cancelables, en miles de euros:</w:t>
      </w:r>
    </w:p>
    <w:p w:rsidR="00EA2B1B" w:rsidRDefault="00EA2B1B" w:rsidP="00257560">
      <w:pPr>
        <w:tabs>
          <w:tab w:val="right" w:pos="8364"/>
        </w:tabs>
        <w:ind w:firstLine="540"/>
        <w:jc w:val="both"/>
        <w:rPr>
          <w:rFonts w:ascii="NewBaskerville" w:hAnsi="NewBaskerville"/>
          <w:bCs/>
        </w:rPr>
      </w:pPr>
    </w:p>
    <w:p w:rsidR="00410413" w:rsidRDefault="00AF1566" w:rsidP="00410413">
      <w:pPr>
        <w:pStyle w:val="Prrafodelista"/>
        <w:numPr>
          <w:ilvl w:val="0"/>
          <w:numId w:val="6"/>
        </w:numPr>
        <w:tabs>
          <w:tab w:val="right" w:pos="8364"/>
        </w:tabs>
        <w:jc w:val="both"/>
        <w:rPr>
          <w:rFonts w:ascii="NewBaskerville" w:hAnsi="NewBaskerville"/>
          <w:bCs/>
        </w:rPr>
      </w:pPr>
      <w:r>
        <w:rPr>
          <w:rFonts w:ascii="NewBaskerville" w:hAnsi="NewBaskerville"/>
          <w:bCs/>
        </w:rPr>
        <w:t>Hasta un año:  58.069,77</w:t>
      </w:r>
      <w:r w:rsidR="00410413">
        <w:rPr>
          <w:rFonts w:ascii="NewBaskerville" w:hAnsi="NewBaskerville"/>
          <w:bCs/>
        </w:rPr>
        <w:t xml:space="preserve">                   </w:t>
      </w:r>
    </w:p>
    <w:p w:rsidR="00410413" w:rsidRDefault="00410413" w:rsidP="00410413">
      <w:pPr>
        <w:pStyle w:val="Prrafodelista"/>
        <w:numPr>
          <w:ilvl w:val="0"/>
          <w:numId w:val="6"/>
        </w:numPr>
        <w:tabs>
          <w:tab w:val="right" w:pos="8364"/>
        </w:tabs>
        <w:jc w:val="both"/>
        <w:rPr>
          <w:rFonts w:ascii="NewBaskerville" w:hAnsi="NewBaskerville"/>
          <w:bCs/>
        </w:rPr>
      </w:pPr>
      <w:r>
        <w:rPr>
          <w:rFonts w:ascii="NewBaskerville" w:hAnsi="NewBaskerville"/>
          <w:bCs/>
        </w:rPr>
        <w:t>Entre uno y cinco años:</w:t>
      </w:r>
      <w:r w:rsidR="00AF1566">
        <w:rPr>
          <w:rFonts w:ascii="NewBaskerville" w:hAnsi="NewBaskerville"/>
          <w:bCs/>
        </w:rPr>
        <w:t xml:space="preserve">  142.962,42</w:t>
      </w:r>
    </w:p>
    <w:p w:rsidR="00410413" w:rsidRDefault="00410413" w:rsidP="00410413">
      <w:pPr>
        <w:pStyle w:val="Prrafodelista"/>
        <w:numPr>
          <w:ilvl w:val="0"/>
          <w:numId w:val="6"/>
        </w:numPr>
        <w:tabs>
          <w:tab w:val="right" w:pos="8364"/>
        </w:tabs>
        <w:jc w:val="both"/>
        <w:rPr>
          <w:rFonts w:ascii="NewBaskerville" w:hAnsi="NewBaskerville"/>
          <w:bCs/>
        </w:rPr>
      </w:pPr>
      <w:r>
        <w:rPr>
          <w:rFonts w:ascii="NewBaskerville" w:hAnsi="NewBaskerville"/>
          <w:bCs/>
        </w:rPr>
        <w:t>Más de cinco años:</w:t>
      </w:r>
      <w:r w:rsidR="00AF1566">
        <w:rPr>
          <w:rFonts w:ascii="NewBaskerville" w:hAnsi="NewBaskerville"/>
          <w:bCs/>
        </w:rPr>
        <w:t xml:space="preserve">  150.624,31</w:t>
      </w:r>
    </w:p>
    <w:p w:rsidR="00EA2B1B" w:rsidRPr="00410413" w:rsidRDefault="00EA2B1B" w:rsidP="00EA2B1B">
      <w:pPr>
        <w:pStyle w:val="Prrafodelista"/>
        <w:tabs>
          <w:tab w:val="right" w:pos="8364"/>
        </w:tabs>
        <w:ind w:left="1287"/>
        <w:jc w:val="both"/>
        <w:rPr>
          <w:rFonts w:ascii="NewBaskerville" w:hAnsi="NewBaskerville"/>
          <w:bCs/>
        </w:rPr>
      </w:pPr>
    </w:p>
    <w:p w:rsidR="0051409B" w:rsidRDefault="0051409B" w:rsidP="00257560">
      <w:pPr>
        <w:tabs>
          <w:tab w:val="right" w:pos="8364"/>
        </w:tabs>
        <w:ind w:firstLine="540"/>
        <w:jc w:val="both"/>
        <w:rPr>
          <w:rFonts w:ascii="NewBaskerville" w:hAnsi="NewBaskerville"/>
          <w:bCs/>
        </w:rPr>
      </w:pPr>
    </w:p>
    <w:p w:rsidR="00C95D96" w:rsidRDefault="000B4473" w:rsidP="00257560">
      <w:pPr>
        <w:tabs>
          <w:tab w:val="right" w:pos="8364"/>
        </w:tabs>
        <w:ind w:firstLine="540"/>
        <w:jc w:val="both"/>
        <w:rPr>
          <w:rFonts w:ascii="NewBaskerville" w:hAnsi="NewBaskerville"/>
          <w:bCs/>
        </w:rPr>
      </w:pPr>
      <w:r>
        <w:rPr>
          <w:rFonts w:ascii="NewBaskerville" w:hAnsi="NewBaskerville"/>
          <w:bCs/>
        </w:rPr>
        <w:t>Detalle de</w:t>
      </w:r>
      <w:r w:rsidR="002C4355" w:rsidRPr="00E73E9C">
        <w:rPr>
          <w:rFonts w:ascii="NewBaskerville" w:hAnsi="NewBaskerville"/>
          <w:bCs/>
        </w:rPr>
        <w:t xml:space="preserve"> </w:t>
      </w:r>
      <w:r w:rsidR="004321BA" w:rsidRPr="00E73E9C">
        <w:rPr>
          <w:rFonts w:ascii="NewBaskerville" w:hAnsi="NewBaskerville"/>
          <w:bCs/>
        </w:rPr>
        <w:t>los ingresos</w:t>
      </w:r>
      <w:r w:rsidR="002C4355" w:rsidRPr="00E73E9C">
        <w:rPr>
          <w:rFonts w:ascii="NewBaskerville" w:hAnsi="NewBaskerville"/>
          <w:bCs/>
        </w:rPr>
        <w:t xml:space="preserve"> sobre las tasas de aprovechamiento especial de dominio </w:t>
      </w:r>
      <w:r w:rsidR="008155BC" w:rsidRPr="00E73E9C">
        <w:rPr>
          <w:rFonts w:ascii="NewBaskerville" w:hAnsi="NewBaskerville"/>
          <w:bCs/>
        </w:rPr>
        <w:t>público</w:t>
      </w:r>
      <w:r w:rsidR="002C4355" w:rsidRPr="00E73E9C">
        <w:rPr>
          <w:rFonts w:ascii="NewBaskerville" w:hAnsi="NewBaskerville"/>
          <w:bCs/>
        </w:rPr>
        <w:t>/ actividad de las concesiones y autorizaciones más significativas</w:t>
      </w:r>
      <w:r w:rsidR="00982A77">
        <w:rPr>
          <w:rFonts w:ascii="NewBaskerville" w:hAnsi="NewBaskerville"/>
          <w:bCs/>
        </w:rPr>
        <w:t>, importes en euros</w:t>
      </w:r>
      <w:r w:rsidR="002C4355" w:rsidRPr="00E73E9C">
        <w:rPr>
          <w:rFonts w:ascii="NewBaskerville" w:hAnsi="NewBaskerville"/>
          <w:bCs/>
        </w:rPr>
        <w:t>:</w:t>
      </w:r>
    </w:p>
    <w:tbl>
      <w:tblPr>
        <w:tblW w:w="9380" w:type="dxa"/>
        <w:tblInd w:w="65" w:type="dxa"/>
        <w:tblCellMar>
          <w:left w:w="70" w:type="dxa"/>
          <w:right w:w="70" w:type="dxa"/>
        </w:tblCellMar>
        <w:tblLook w:val="04A0" w:firstRow="1" w:lastRow="0" w:firstColumn="1" w:lastColumn="0" w:noHBand="0" w:noVBand="1"/>
      </w:tblPr>
      <w:tblGrid>
        <w:gridCol w:w="952"/>
        <w:gridCol w:w="1277"/>
        <w:gridCol w:w="1593"/>
        <w:gridCol w:w="3563"/>
        <w:gridCol w:w="1104"/>
        <w:gridCol w:w="1104"/>
      </w:tblGrid>
      <w:tr w:rsidR="00E91984" w:rsidRPr="00E91984" w:rsidTr="00E91984">
        <w:trPr>
          <w:trHeight w:val="1350"/>
        </w:trPr>
        <w:tc>
          <w:tcPr>
            <w:tcW w:w="952"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E91984" w:rsidRPr="00E91984" w:rsidRDefault="00E91984" w:rsidP="00E91984">
            <w:pPr>
              <w:jc w:val="center"/>
              <w:rPr>
                <w:rFonts w:ascii="Lucida Bright" w:hAnsi="Lucida Bright" w:cs="Calibri"/>
                <w:b/>
                <w:bCs/>
                <w:color w:val="000000"/>
                <w:sz w:val="18"/>
                <w:szCs w:val="18"/>
                <w:lang w:val="es-ES"/>
              </w:rPr>
            </w:pPr>
            <w:r w:rsidRPr="00E91984">
              <w:rPr>
                <w:rFonts w:ascii="Lucida Bright" w:hAnsi="Lucida Bright" w:cs="Calibri"/>
                <w:b/>
                <w:bCs/>
                <w:color w:val="000000"/>
                <w:sz w:val="18"/>
                <w:szCs w:val="18"/>
                <w:lang w:val="es-ES"/>
              </w:rPr>
              <w:t xml:space="preserve">Puerto </w:t>
            </w:r>
          </w:p>
        </w:tc>
        <w:tc>
          <w:tcPr>
            <w:tcW w:w="1277" w:type="dxa"/>
            <w:tcBorders>
              <w:top w:val="single" w:sz="4" w:space="0" w:color="auto"/>
              <w:left w:val="nil"/>
              <w:bottom w:val="single" w:sz="4" w:space="0" w:color="auto"/>
              <w:right w:val="single" w:sz="4" w:space="0" w:color="auto"/>
            </w:tcBorders>
            <w:shd w:val="clear" w:color="000000" w:fill="CCFFCC"/>
            <w:vAlign w:val="center"/>
            <w:hideMark/>
          </w:tcPr>
          <w:p w:rsidR="00E91984" w:rsidRPr="00E91984" w:rsidRDefault="00E91984" w:rsidP="00E91984">
            <w:pPr>
              <w:jc w:val="center"/>
              <w:rPr>
                <w:rFonts w:ascii="Lucida Bright" w:hAnsi="Lucida Bright" w:cs="Calibri"/>
                <w:b/>
                <w:bCs/>
                <w:color w:val="000000"/>
                <w:sz w:val="18"/>
                <w:szCs w:val="18"/>
                <w:lang w:val="es-ES"/>
              </w:rPr>
            </w:pPr>
            <w:r w:rsidRPr="00E91984">
              <w:rPr>
                <w:rFonts w:ascii="Lucida Bright" w:hAnsi="Lucida Bright" w:cs="Calibri"/>
                <w:b/>
                <w:bCs/>
                <w:color w:val="000000"/>
                <w:sz w:val="18"/>
                <w:szCs w:val="18"/>
                <w:lang w:val="es-ES"/>
              </w:rPr>
              <w:t xml:space="preserve">Referencia título dominio público </w:t>
            </w:r>
          </w:p>
        </w:tc>
        <w:tc>
          <w:tcPr>
            <w:tcW w:w="1463" w:type="dxa"/>
            <w:tcBorders>
              <w:top w:val="single" w:sz="4" w:space="0" w:color="auto"/>
              <w:left w:val="nil"/>
              <w:bottom w:val="single" w:sz="4" w:space="0" w:color="auto"/>
              <w:right w:val="single" w:sz="4" w:space="0" w:color="auto"/>
            </w:tcBorders>
            <w:shd w:val="clear" w:color="000000" w:fill="CCFFCC"/>
            <w:vAlign w:val="center"/>
            <w:hideMark/>
          </w:tcPr>
          <w:p w:rsidR="00E91984" w:rsidRPr="00E91984" w:rsidRDefault="00E91984" w:rsidP="00E91984">
            <w:pPr>
              <w:jc w:val="center"/>
              <w:rPr>
                <w:rFonts w:ascii="Lucida Bright" w:hAnsi="Lucida Bright" w:cs="Calibri"/>
                <w:b/>
                <w:bCs/>
                <w:color w:val="000000"/>
                <w:sz w:val="18"/>
                <w:szCs w:val="18"/>
                <w:lang w:val="es-ES"/>
              </w:rPr>
            </w:pPr>
            <w:r w:rsidRPr="00E91984">
              <w:rPr>
                <w:rFonts w:ascii="Lucida Bright" w:hAnsi="Lucida Bright" w:cs="Calibri"/>
                <w:b/>
                <w:bCs/>
                <w:color w:val="000000"/>
                <w:sz w:val="18"/>
                <w:szCs w:val="18"/>
                <w:lang w:val="es-ES"/>
              </w:rPr>
              <w:t xml:space="preserve">Sujeto Pasivo </w:t>
            </w:r>
          </w:p>
        </w:tc>
        <w:tc>
          <w:tcPr>
            <w:tcW w:w="3563" w:type="dxa"/>
            <w:tcBorders>
              <w:top w:val="single" w:sz="4" w:space="0" w:color="auto"/>
              <w:left w:val="nil"/>
              <w:bottom w:val="single" w:sz="4" w:space="0" w:color="auto"/>
              <w:right w:val="single" w:sz="4" w:space="0" w:color="auto"/>
            </w:tcBorders>
            <w:shd w:val="clear" w:color="000000" w:fill="CCFFCC"/>
            <w:vAlign w:val="center"/>
            <w:hideMark/>
          </w:tcPr>
          <w:p w:rsidR="00E91984" w:rsidRPr="00E91984" w:rsidRDefault="00E91984" w:rsidP="00E91984">
            <w:pPr>
              <w:jc w:val="center"/>
              <w:rPr>
                <w:rFonts w:ascii="Lucida Bright" w:hAnsi="Lucida Bright" w:cs="Calibri"/>
                <w:b/>
                <w:bCs/>
                <w:color w:val="000000"/>
                <w:sz w:val="18"/>
                <w:szCs w:val="18"/>
                <w:lang w:val="es-ES"/>
              </w:rPr>
            </w:pPr>
            <w:r w:rsidRPr="00E91984">
              <w:rPr>
                <w:rFonts w:ascii="Lucida Bright" w:hAnsi="Lucida Bright" w:cs="Calibri"/>
                <w:b/>
                <w:bCs/>
                <w:color w:val="000000"/>
                <w:sz w:val="18"/>
                <w:szCs w:val="18"/>
                <w:lang w:val="es-ES"/>
              </w:rPr>
              <w:t xml:space="preserve">Objeto título dominio público </w:t>
            </w:r>
          </w:p>
        </w:tc>
        <w:tc>
          <w:tcPr>
            <w:tcW w:w="1053" w:type="dxa"/>
            <w:tcBorders>
              <w:top w:val="single" w:sz="4" w:space="0" w:color="auto"/>
              <w:left w:val="nil"/>
              <w:bottom w:val="single" w:sz="4" w:space="0" w:color="auto"/>
              <w:right w:val="single" w:sz="4" w:space="0" w:color="auto"/>
            </w:tcBorders>
            <w:shd w:val="clear" w:color="000000" w:fill="CCFFCC"/>
            <w:vAlign w:val="center"/>
            <w:hideMark/>
          </w:tcPr>
          <w:p w:rsidR="00E91984" w:rsidRPr="00E91984" w:rsidRDefault="00E91984" w:rsidP="00E91984">
            <w:pPr>
              <w:jc w:val="center"/>
              <w:rPr>
                <w:rFonts w:ascii="Lucida Bright" w:hAnsi="Lucida Bright" w:cs="Calibri"/>
                <w:b/>
                <w:bCs/>
                <w:color w:val="000000"/>
                <w:sz w:val="18"/>
                <w:szCs w:val="18"/>
                <w:lang w:val="es-ES"/>
              </w:rPr>
            </w:pPr>
            <w:r w:rsidRPr="00E91984">
              <w:rPr>
                <w:rFonts w:ascii="Lucida Bright" w:hAnsi="Lucida Bright" w:cs="Calibri"/>
                <w:b/>
                <w:bCs/>
                <w:color w:val="000000"/>
                <w:sz w:val="18"/>
                <w:szCs w:val="18"/>
                <w:lang w:val="es-ES"/>
              </w:rPr>
              <w:t>Importe 2024</w:t>
            </w:r>
          </w:p>
        </w:tc>
        <w:tc>
          <w:tcPr>
            <w:tcW w:w="1072" w:type="dxa"/>
            <w:tcBorders>
              <w:top w:val="single" w:sz="4" w:space="0" w:color="auto"/>
              <w:left w:val="nil"/>
              <w:bottom w:val="single" w:sz="4" w:space="0" w:color="auto"/>
              <w:right w:val="single" w:sz="4" w:space="0" w:color="auto"/>
            </w:tcBorders>
            <w:shd w:val="clear" w:color="000000" w:fill="CCFFCC"/>
            <w:vAlign w:val="center"/>
            <w:hideMark/>
          </w:tcPr>
          <w:p w:rsidR="00E91984" w:rsidRPr="00E91984" w:rsidRDefault="00E91984" w:rsidP="00E91984">
            <w:pPr>
              <w:jc w:val="center"/>
              <w:rPr>
                <w:rFonts w:ascii="Lucida Bright" w:hAnsi="Lucida Bright" w:cs="Calibri"/>
                <w:b/>
                <w:bCs/>
                <w:color w:val="000000"/>
                <w:sz w:val="18"/>
                <w:szCs w:val="18"/>
                <w:lang w:val="es-ES"/>
              </w:rPr>
            </w:pPr>
            <w:r w:rsidRPr="00E91984">
              <w:rPr>
                <w:rFonts w:ascii="Lucida Bright" w:hAnsi="Lucida Bright" w:cs="Calibri"/>
                <w:b/>
                <w:bCs/>
                <w:color w:val="000000"/>
                <w:sz w:val="18"/>
                <w:szCs w:val="18"/>
                <w:lang w:val="es-ES"/>
              </w:rPr>
              <w:t>Importe 2023</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Alcúdia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0871 CP/G</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ALCUDIAMAR S 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ZONA DEPORTIVA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2.631.185,41</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2.631.185,41</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Alcúdia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1122-CPG</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REPSOL BUTANO S.A.</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UTULIZACIÓN DE INSTALACIONES PARA LA DESCARGA DE BUQUES BUTANEROS</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164.926,81</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164.926,81</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Alcúdia</w:t>
            </w:r>
          </w:p>
        </w:tc>
        <w:tc>
          <w:tcPr>
            <w:tcW w:w="1277" w:type="dxa"/>
            <w:tcBorders>
              <w:top w:val="nil"/>
              <w:left w:val="nil"/>
              <w:bottom w:val="single" w:sz="4" w:space="0" w:color="000000"/>
              <w:right w:val="nil"/>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xml:space="preserve">AU-D-A-01-0396-23      </w:t>
            </w:r>
          </w:p>
        </w:tc>
        <w:tc>
          <w:tcPr>
            <w:tcW w:w="1463"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CEPSA COMERCIAL PETROLEO S.A.U.</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FACTORIA PARA ALMACENAJE Y DISTRIBUCION DE PRODUCTOS ASFÁLTICOS EN EL PUERTO DE ALCUDIA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152.566,32</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Alcúdia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1109-CP/G</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TRANSPULVE 2009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CONCESIÓN ADMINISTRATIVA PARA LA GESTIÓN DE UN CENTRO DE ALMACENAMIENTO Y DISTRIBUCIÓN DE CEMENTO EN EL MUELLE DE RIBERA DEL PUERTO DE ALCÚDIA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131.064,56</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131.064,56</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Alcúdia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GSP-177</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COLABORADORA HOTELERA UNO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EXPLOTACIÓN DE UN ESTABLECIMIENTO PARA SERVICIOS TURÍSTIOS EN EL FARO DE FORMENTOR (MALLORCA)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62.966,34</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62.966,34</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Eivissa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GSP-184</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OCIBAR S. A.</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PUESTOS DE AMARRE Y LOCALES COMERCIALES EN BOTAFOC DEL PUERTO DE EIVISSA</w:t>
            </w:r>
          </w:p>
        </w:tc>
        <w:tc>
          <w:tcPr>
            <w:tcW w:w="105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3.013.884,77</w:t>
            </w:r>
          </w:p>
        </w:tc>
        <w:tc>
          <w:tcPr>
            <w:tcW w:w="1072"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3.013.884,77</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lastRenderedPageBreak/>
              <w:t>Eivissa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GSP-118</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SERVEIS MARITIMS PORT EIVISSA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EXPLOTACIÓN DE PUESTOS DE AMARRE EN LA RIBERA NORTE DEL PUERTO DE IBIZA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1.965.118,12</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1.965.118,12</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Eivissa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GSP-182</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IGY GESTORAS MARINAS SPAIN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EXPLOTACIÓN DE PUESTOS DE AMARRE PARA EMBARCACIONES DE GRAN ESLORA Y DE UN EDIFICIO DE SERVICIOS EN LA DÁRSENA DE LEVANTE DEL PUERTO DE EIVISSA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504.885,18</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Eivissa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AU-D-I-01-0818-23</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IGY GESTORAS MARINAS SPAIN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EXPLOTACIÓN PUESTOS AMARRE DE GRAN ESLORA Y OFICINA ADMINISTRATIVA MUELLE Y DÁRSENA LEVANTE DE EIVISSA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258.022,31</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Eivissa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GSP-168</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TANIT IBIZA PORT SA</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PUESTOS DE AMARRE EN LA DÁRSENA DE PONIENTE DEL PUERTO DE EIVISSA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333.166,19</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782.520,43</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Eivissa</w:t>
            </w:r>
          </w:p>
        </w:tc>
        <w:tc>
          <w:tcPr>
            <w:tcW w:w="1277" w:type="dxa"/>
            <w:tcBorders>
              <w:top w:val="nil"/>
              <w:left w:val="nil"/>
              <w:bottom w:val="single" w:sz="4" w:space="0" w:color="000000"/>
              <w:right w:val="single" w:sz="4" w:space="0" w:color="000000"/>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AU-D-I-01-0845-24</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TANIT IBIZA PORT SA</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PUESTOS DE AMARRE EN LA DÁRSENA DE PONIENTE DEL PUERTO DE EIVISSA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422.958,59</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Eivissa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GSP-192</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PUERTOS Y LITORALES SOSTENIBLES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UNA INSTALACIÓN NÁUTICA PARA PEQUEÑAS Y MEDIANAS ESLORAS EN EL PUERTO DE EIVISSA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296.530,79</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Eivissa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GSP-171</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CLUB NAUTICO DE IBIZA</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UNA INSTALACIÓN NÁUTICA PARA PEQUEÑAS Y MEDIANAS ESLORAS EN EL PUERTO DE EIVISSA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124.781,22</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371.899,37</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Eivissa</w:t>
            </w:r>
          </w:p>
        </w:tc>
        <w:tc>
          <w:tcPr>
            <w:tcW w:w="1277" w:type="dxa"/>
            <w:tcBorders>
              <w:top w:val="nil"/>
              <w:left w:val="nil"/>
              <w:bottom w:val="single" w:sz="4" w:space="0" w:color="000000"/>
              <w:right w:val="single" w:sz="4" w:space="0" w:color="000000"/>
            </w:tcBorders>
            <w:shd w:val="clear" w:color="000000" w:fill="FFFFFF"/>
            <w:noWrap/>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AU-D-I-01-0837-23</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TANIT IBIZA PORT SA</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Y EXPLOTACIÓN DE UNAS INSTALACIONES DESTINADAS A REALIZAR TRABAJOS DE MANTENIMIENTO Y REPARACIÓN DE EMBARCACIONES</w:t>
            </w:r>
          </w:p>
        </w:tc>
        <w:tc>
          <w:tcPr>
            <w:tcW w:w="1053" w:type="dxa"/>
            <w:tcBorders>
              <w:top w:val="nil"/>
              <w:left w:val="nil"/>
              <w:bottom w:val="single" w:sz="4" w:space="0" w:color="auto"/>
              <w:right w:val="single" w:sz="4" w:space="0" w:color="auto"/>
            </w:tcBorders>
            <w:shd w:val="clear" w:color="auto" w:fill="auto"/>
            <w:noWrap/>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136.444,82</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Eivissa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GSP-109</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TANIT IBIZA PORT SA</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EXPLOTACIÓN DE UN VARADERO JUNTO AL MUELLE PESQUERO DEL PUERTO DE IBIZA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122.785,21</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lastRenderedPageBreak/>
              <w:t>La Savina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GSP-181</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PORT MED FORMENTERA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PUESTOS DE AMARRE EN LA DÁRSENA INTERIOR DE PONIENTE EN EL PUERTO DE LA SAVINA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601.091,63</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612.894,84</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La Savina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GSP-173</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PUERTOS Y LITORALES SOSTENIBLES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EXPLOTACIÓN DE LA DÁRSENA PARA EMBARCACIONES MENORES EN EL PUERTO DE LA SAVINA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217.257,38</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217.257,37</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La Savina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GSP-160</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SERCOMISA</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LOCALES COMERCIALES Y OFICINAS EN LA ESTACIÓN MARÍTIMA Y DE DOS EDIFICIOS EN EL PASEO DE LA MARINA DEL PUERTO DE LA SAVINA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155.815,40</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155.185,42</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La Savina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GSP-183</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PUERTOS Y LITORALES SOSTENIBLES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INSTALACIÓN DE SUMINISTRO DE COMBUSTIBLES EN EL MUELLE COMERCIAL DEL PUERTO DE LA SAVINA, FORMENTERA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68.742,46</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3.578,37</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La Savina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F-01-0416-22</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PUERTOS Y LITORALES SOSTENIBLES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INSTALACIÓN DE SUMUNISTRO DE COMBUSTIBLES EN EL MUELLE COMERCIAL DEL PUERTO DE LA SAVINA, FORMENTERA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62.354,99</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La Savina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GSP-145</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SOVALGARAY MARITIMA SLU</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EXPLOTACIÓN DE UN EDIFICIO PARA APARCAMIENTO, LOCALES Y DESPACHOS, SITUADO EN LA CALZADA DE PONIENTE DEL PUERTO DE LA SAVINA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50.462,47</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50.462,46</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Maó-Mahón</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GSP-180</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TANIT IBIZA PORT SA</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PUESTOS DE AMARRE EN LA PUNTA DE CALA FIGUERA, EN EL MUELLO DE LEVANTE DEL PUERTO DE MAÓ</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258.132,51</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268.785,76</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Maó-Mahón</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AU-D-M-01-0869-23</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MARINA DEPORTIVA DE MENORCA.SL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PUESTOS  DE  AMARRE  EN  LA  RIBERA NORTE DEL PUERTO DE MAÓ</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243.198,87</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58.634,25</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Maó-Mahón</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GSP-149</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MARINA DEPORTIVA DE MENORCA.SL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PUESTOS DE AMARRE EN LA RIBERA NORTE DEL PUERTO DE MAÓ</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152.803,05</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lastRenderedPageBreak/>
              <w:t>Maó-Mahón</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GSP-179</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CLUB MARÍTIMO DE MAHÓN</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UNA INSTALACIÓN NÁUTICO-DEPORTIVA EN EL MUELLO DE LEVANTE DEL PUERTO DE MAÓ, ENTRE LA PUNTA DEL RELLOTGE Y ES GATASSUS</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206.503,13</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206.503,14</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Maó-Mahón</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1099-CP/G</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CEMEX ESPAÑA OPERACIONES SLU</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EXPLOTACIÓN DE TERMINAL Y CANALIZACIONES EXISTENTES PARA LA RECEPCIÓN, ALMACENAMIENTO, ENSACADO, PALETIZADO Y DISTRIBUCIÓN DE CEMENTO Y PRODUCTOS DERIVADOS</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146.306,11</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146.306,11</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Maó-Mahón</w:t>
            </w:r>
          </w:p>
        </w:tc>
        <w:tc>
          <w:tcPr>
            <w:tcW w:w="1277" w:type="dxa"/>
            <w:tcBorders>
              <w:top w:val="nil"/>
              <w:left w:val="nil"/>
              <w:bottom w:val="single" w:sz="4" w:space="0" w:color="000000"/>
              <w:right w:val="nil"/>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AU-D-M-01-0887-24</w:t>
            </w:r>
          </w:p>
        </w:tc>
        <w:tc>
          <w:tcPr>
            <w:tcW w:w="1463"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CLUB MARITIMO DE MAHON</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EXPLOTACIÓN DE INSTALACIÓN DE SUMINISTRO DE COMBUSTIBLE (GASOLINA Y GASÓLEO 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143.379,30</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Maó-Mahón</w:t>
            </w:r>
          </w:p>
        </w:tc>
        <w:tc>
          <w:tcPr>
            <w:tcW w:w="1277" w:type="dxa"/>
            <w:tcBorders>
              <w:top w:val="nil"/>
              <w:left w:val="nil"/>
              <w:bottom w:val="nil"/>
              <w:right w:val="nil"/>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AU-D-M-01-0877-23</w:t>
            </w:r>
          </w:p>
        </w:tc>
        <w:tc>
          <w:tcPr>
            <w:tcW w:w="1463"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MARINA DEPORTIVA DE MENORCA.SL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xml:space="preserve">GESTIÓN DE PUESTOS DE AMARRE EN LA COLARSEGA DEL PUERTO DE MAÓ </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139.342,71</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Maó-Mahón</w:t>
            </w:r>
          </w:p>
        </w:tc>
        <w:tc>
          <w:tcPr>
            <w:tcW w:w="1277" w:type="dxa"/>
            <w:tcBorders>
              <w:top w:val="single" w:sz="4" w:space="0" w:color="auto"/>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GSP-176</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POON HILL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PUESTOS DE AMARRE EN LA ZONA DEL VARADERO REYNÉS DEL MUELLE DE LEVANTE DEL PUERTO DE MAÓ</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129.884,19</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129.884,19</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Maó-Mahón</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M-01-0832-22</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DESARROLLOS CONCESIONALES INSULARES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EXPLANADA PARALA REPARACIÓN, VARADA Y BOTADURA DE EMBARCACIONES</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123.311,22</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123.311,23</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Maó-Mahón</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GSP-172</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AMARRES PONIENTE,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PUESTOS DE AMARRE Y DE TALLER EN EL MUELLE DE PONIENTE DEL PUERTO DE MAÓ</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79.222,02</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123.493,96</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Maó-Mahón</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GSP-162</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DESARROLLOS CONCESIONALES INSULARES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416638">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PUESTOS DE AMARRE PARA EMBARCACIONES DE ALQUILER EN LOS MUELLES DE LEVANTE DE LA RIBERA SUR DEL PUERTO DE MAÓ</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65.821,22</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65.821,21</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GSP-115</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SERVICIOS TECNICOS PORTUARIOS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EXPLOTACION DE LAS INSTALACIONES CON DESTINO A SERVICIOS DE VARADA Y BOTADURA DE EMBARCACIONES EN LOS MUELLES COMERCIALES DEL PTO. DE PALMA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3.077.868,56</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3.077.868,54</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lastRenderedPageBreak/>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0212-COP</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CLUB DE MAR MALLORCA</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CONSTRUCCION Y LA EXPLOTACIÓN DE UNA DÁRSENA DEPORTIVA, CON USOS COMPLEMENTARIOS (VARADERO, ESTACIÓN DE SERVICIOS DE COMBUSTIBLE, LOCALES COMERCIALES, BARES, CAFETERIAS, RESTAURANTE, SALAS DE REUNIONES Y PARA ACONTECIMIENTOS, LOCALES DE DIVERSIÓN Y ENTRETENIMIENTO, EDIFICIO SOCIAL, ETC)</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2.703.084,87</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3.305.113,03</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P-01-0I35-22</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REAL CLUB NAUTICO DE PALMA</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AUTORIZACIÓN PARA LA GESTIÓN DE UNA INSTALACIÓN NÁUTICA EN EL CONTRAMUELLE MOLLET DEL PUERTO DE PALMA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1.259.650,81</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1.259.650,83</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P-02-0H85-22</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GRIMALDI LOGISTICA ESPAÑA,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DEP. MERCANCÍAS, 2 CASETAS CONTROL, OFICINAS, ANTENA Y COND. SUBT.</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694.360,87</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694.360,88</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0210-COP</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CEMEX ESPAÑA OPERACIONES SLU</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CONCESIÓN ADMINISTRATIVA PARA LA GESTIÓN DE CENTRO DE CARGA, DESCARGA, ALMACENAJE Y DISTRIBUCIÓN DE CEMENTO, EN LA SEGUNDA ALINEACIÓN DEL DIQUE DEL OESTE, DEL PUERTO DE PALMA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558.915,23</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611.044,25</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AU-D-P-01-1042-24</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INIC PORT MIRALL DE MAR DE MCA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SERVICIOS PORTUARIOS A EMBARCACIONES DE RECREO  (ENTRE LA TERMINAL DE TRAFICO LOCAL Y EL PANTALAN DEL MEDITERRANEO)</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520.797,87</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GSP-093</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INIC PORT MIRALL DE MAR DE MCA</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SERVICIOS PORTUARIOS A EMBARCACIONES DE RECREO EN EL PASEO MARÍTIMO EN EL PUERTO DE PALMA DE MALLORCA (ENTRE LA TERMINAL DE TRAFICO LOCAL Y EL PANTALAN DEL MEDITERRANEO).</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302.056,53</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638.065,55</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AU-D-P-01-1040-24</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TANIT IBIZA PORT SA</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PUESTOS DE AMARRE PARA EMBARCACIONES DE RECREO EN EL PANTALÁN DE LA CUARENTENA DEL PUERTO DEL PUERTO DE PALMA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418.583,75</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GSP-131</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TANIT IBIZA PORT SA</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PUESTOS DE AMARRE PARA EMBARCACIONES DE RECREO EN EL PANTALÁN DE LA CUARENTENA DEL PUERTO DEL PUERTO DE PALMA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21.291,57</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271.963,27</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AU-D-P-01-1024-23</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LA LONJA MARINA CHARTER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PUESTOS DE AMARRE PARA EMBARCACIONES DE ALQUILER</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329.342,38</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83.914,63</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lastRenderedPageBreak/>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GSP-124</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LA LONJA MARINA CHARTER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PUESTOS DE AMARRE PARA EMBARCACIONES DE ALQUILER EN EL MUELLE DE LA LONJA DEL PTO. DE PALMA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165.137,04</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GSP-141</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AMARRES DEPORTIVOS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GESTION DE PUESTOS DE AMARRE PARA EMBARCACIONES DE RECREO EN EL PANTALÁN DEL MEDITERRÁNEO DEL PUERTO DE PALMA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326.549,47</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326.549,47</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AU-D-P-L-02-0549-23</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GLOBAL YACHT FINISHING S 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EXPLOTACIÓN DE UN EDIFICIO, MÁQUINA DE TABACO Y LETREROS EN EL ESPIGÓN EXTERIOR DEL PUERTO DE PALMA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304.945,41</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126.990,94</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L-P-01-0549-22</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GLOBAL YACHT FINISHING S 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EXPLOTACIÓN DE UN EDIFICIO, MÁQUINA DE TABACO Y LETREROS EN EL ESPIGÓN EXTERIOR DEL PUERTO DE PALMA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162.916,01</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AU-D-P-04-0I31-24</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SERVICIOS TECNICOS PORTUARIOS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DEPÓSITO EMBARCACIONES</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299.657,27</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auto" w:fill="auto"/>
            <w:noWrap/>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P-01-0I31-22</w:t>
            </w:r>
          </w:p>
        </w:tc>
        <w:tc>
          <w:tcPr>
            <w:tcW w:w="146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SERVICIOS TECNICOS PORTUARIOS SL</w:t>
            </w:r>
          </w:p>
        </w:tc>
        <w:tc>
          <w:tcPr>
            <w:tcW w:w="356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DEPÓSITO DE EMBARCACIONES</w:t>
            </w:r>
          </w:p>
        </w:tc>
        <w:tc>
          <w:tcPr>
            <w:tcW w:w="105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c>
          <w:tcPr>
            <w:tcW w:w="1072"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184.404,06</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AU-D-P-03-0131-23</w:t>
            </w:r>
          </w:p>
        </w:tc>
        <w:tc>
          <w:tcPr>
            <w:tcW w:w="146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SERVICIOS TECNICOS PORTUARIOS SL</w:t>
            </w:r>
          </w:p>
        </w:tc>
        <w:tc>
          <w:tcPr>
            <w:tcW w:w="356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DEPÓSITO DE EMBARCACIONES</w:t>
            </w:r>
          </w:p>
        </w:tc>
        <w:tc>
          <w:tcPr>
            <w:tcW w:w="105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c>
          <w:tcPr>
            <w:tcW w:w="1072"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98.156,23</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0015-COP</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NAVIERA BALEAR S 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PUESTOS DE AMARRE Y SERVICIO DE SUMINISTRO PARA EMBARCACIONES CHARTER</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281.943,67</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281.943,67</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0013-COP</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ASTILLEROS DE MALLORCA S A</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MODERNIZACION DE ASTILLEROS</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230.323,43</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230.323,42</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lastRenderedPageBreak/>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GSP-137</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AMARRES DEPORTIVOS SL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GESTIÓN DE LOCALES, DESPACHOS Y PUESTOS DE AMARRE EN EL MUELLE VIEJO DEL PUERTO DE PALMA DE MALLORCA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188.687,19</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188.687,18</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GSP-159</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MARPORTSUNBEACH MALLORCA S 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EXPLOTACION DE UN ESTABLECIMIENTO PARA SERVICIOS A USUARIOS PORTUARIOS EN LA ZONA DE TRONERAS DEL PORTITXOL DEL PUERTO DE PALMA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170.275,35</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170.275,34</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0106-COP</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EXOLUM CORPORATION SA</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TUBERÍAS DE DESCARGA DE COMBUSTIBLE</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147.924,69</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126.913,22</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AU-D-P-L-02-0513-23</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CLUB DE MAR MALLORCA</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ALMACÉN</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145.270,31</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38.715,83</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auto" w:fill="auto"/>
            <w:noWrap/>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GSP-178</w:t>
            </w:r>
          </w:p>
        </w:tc>
        <w:tc>
          <w:tcPr>
            <w:tcW w:w="146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SERVICIOS TECNICOS PORTUARIOS SL</w:t>
            </w:r>
          </w:p>
        </w:tc>
        <w:tc>
          <w:tcPr>
            <w:tcW w:w="356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EXPLOTACIÓN DE UN EDIFICIO SITUADO EN EL ESPIGÓN DE LA CONSIGNA DEL PUERTO DE PALMA</w:t>
            </w:r>
          </w:p>
        </w:tc>
        <w:tc>
          <w:tcPr>
            <w:tcW w:w="105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143.439,56</w:t>
            </w:r>
          </w:p>
        </w:tc>
        <w:tc>
          <w:tcPr>
            <w:tcW w:w="1072"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143.439,55</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auto" w:fill="auto"/>
            <w:noWrap/>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GSP-186</w:t>
            </w:r>
          </w:p>
        </w:tc>
        <w:tc>
          <w:tcPr>
            <w:tcW w:w="146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HEMISPHERE COATING SERVICES SLU</w:t>
            </w:r>
          </w:p>
        </w:tc>
        <w:tc>
          <w:tcPr>
            <w:tcW w:w="356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EXPLOTACIÓN DE UN EDIFICIO DESTINADO A LA PRESTACIÓN DE SERVICIOS COMERCIALES EN EL CAMINO DE LA ESCOLLERA Nº 5 DEL PUERTO DE PALMA</w:t>
            </w:r>
          </w:p>
        </w:tc>
        <w:tc>
          <w:tcPr>
            <w:tcW w:w="105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131.004,68</w:t>
            </w:r>
          </w:p>
        </w:tc>
        <w:tc>
          <w:tcPr>
            <w:tcW w:w="1072"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13.997,77</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GSP-175</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RESTAURANTE CASA EDUARDO S 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EXPLOTACIÓN DE UN RESTAURANTE EN EL CONTRAMUELLE MOLLET DEL PUERTO DE PALMA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102.386,02</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102.236,94</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xml:space="preserve">0148-COP </w:t>
            </w:r>
          </w:p>
        </w:tc>
        <w:tc>
          <w:tcPr>
            <w:tcW w:w="14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CLUB NÁUTICO PORTITXOL</w:t>
            </w:r>
          </w:p>
        </w:tc>
        <w:tc>
          <w:tcPr>
            <w:tcW w:w="356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OBRAS DE REFORMA</w:t>
            </w:r>
          </w:p>
        </w:tc>
        <w:tc>
          <w:tcPr>
            <w:tcW w:w="1053"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100.311,23</w:t>
            </w:r>
          </w:p>
        </w:tc>
        <w:tc>
          <w:tcPr>
            <w:tcW w:w="1072" w:type="dxa"/>
            <w:tcBorders>
              <w:top w:val="nil"/>
              <w:left w:val="nil"/>
              <w:bottom w:val="single" w:sz="4" w:space="0" w:color="auto"/>
              <w:right w:val="single" w:sz="4" w:space="0" w:color="auto"/>
            </w:tcBorders>
            <w:shd w:val="clear" w:color="000000" w:fill="FFFFFF"/>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100.311,23</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auto" w:fill="auto"/>
            <w:noWrap/>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GSP-51.16</w:t>
            </w:r>
          </w:p>
        </w:tc>
        <w:tc>
          <w:tcPr>
            <w:tcW w:w="146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GRIMALDI LOGISTICA ESPAÑA, SL</w:t>
            </w:r>
          </w:p>
        </w:tc>
        <w:tc>
          <w:tcPr>
            <w:tcW w:w="356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SERVICIO DE MANIPULACIÓN DE MERCANCIAS</w:t>
            </w:r>
          </w:p>
        </w:tc>
        <w:tc>
          <w:tcPr>
            <w:tcW w:w="105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69.770,29</w:t>
            </w:r>
          </w:p>
        </w:tc>
        <w:tc>
          <w:tcPr>
            <w:tcW w:w="1072"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61.592,83</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lastRenderedPageBreak/>
              <w:t>Palma</w:t>
            </w:r>
          </w:p>
        </w:tc>
        <w:tc>
          <w:tcPr>
            <w:tcW w:w="1277"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AU-D-P-12-0D83-24</w:t>
            </w:r>
          </w:p>
        </w:tc>
        <w:tc>
          <w:tcPr>
            <w:tcW w:w="146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AGENCIA DESENVOLUPAMENT REGIONAL DE LES ILLES BALEARS</w:t>
            </w:r>
          </w:p>
        </w:tc>
        <w:tc>
          <w:tcPr>
            <w:tcW w:w="356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 INTERNATIONAL BOAT SHOW</w:t>
            </w:r>
          </w:p>
        </w:tc>
        <w:tc>
          <w:tcPr>
            <w:tcW w:w="105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66.124,07</w:t>
            </w:r>
          </w:p>
        </w:tc>
        <w:tc>
          <w:tcPr>
            <w:tcW w:w="1072"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r>
      <w:tr w:rsidR="00E91984" w:rsidRPr="00E91984" w:rsidTr="00E91984">
        <w:trPr>
          <w:trHeight w:val="135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w:t>
            </w:r>
          </w:p>
        </w:tc>
        <w:tc>
          <w:tcPr>
            <w:tcW w:w="1277" w:type="dxa"/>
            <w:tcBorders>
              <w:top w:val="nil"/>
              <w:left w:val="nil"/>
              <w:bottom w:val="single" w:sz="4" w:space="0" w:color="auto"/>
              <w:right w:val="single" w:sz="4" w:space="0" w:color="auto"/>
            </w:tcBorders>
            <w:shd w:val="clear" w:color="auto" w:fill="auto"/>
            <w:noWrap/>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P-11-0D83-23</w:t>
            </w:r>
          </w:p>
        </w:tc>
        <w:tc>
          <w:tcPr>
            <w:tcW w:w="146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AGENCIA DESENVOLUPAMENT REGIONAL DE LES ILLES BALEARS</w:t>
            </w:r>
          </w:p>
        </w:tc>
        <w:tc>
          <w:tcPr>
            <w:tcW w:w="356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PALMA INTERNATIONAL BOAT SHOW</w:t>
            </w:r>
          </w:p>
        </w:tc>
        <w:tc>
          <w:tcPr>
            <w:tcW w:w="1053"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 </w:t>
            </w:r>
          </w:p>
        </w:tc>
        <w:tc>
          <w:tcPr>
            <w:tcW w:w="1072" w:type="dxa"/>
            <w:tcBorders>
              <w:top w:val="nil"/>
              <w:left w:val="nil"/>
              <w:bottom w:val="single" w:sz="4" w:space="0" w:color="auto"/>
              <w:right w:val="single" w:sz="4" w:space="0" w:color="auto"/>
            </w:tcBorders>
            <w:shd w:val="clear" w:color="auto" w:fill="auto"/>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65.206,03</w:t>
            </w:r>
          </w:p>
        </w:tc>
      </w:tr>
      <w:tr w:rsidR="00E91984" w:rsidRPr="00E91984" w:rsidTr="00E91984">
        <w:trPr>
          <w:trHeight w:val="360"/>
        </w:trPr>
        <w:tc>
          <w:tcPr>
            <w:tcW w:w="952" w:type="dxa"/>
            <w:tcBorders>
              <w:top w:val="nil"/>
              <w:left w:val="nil"/>
              <w:bottom w:val="nil"/>
              <w:right w:val="nil"/>
            </w:tcBorders>
            <w:shd w:val="clear" w:color="auto" w:fill="auto"/>
            <w:noWrap/>
            <w:vAlign w:val="bottom"/>
            <w:hideMark/>
          </w:tcPr>
          <w:p w:rsidR="00E91984" w:rsidRPr="00E91984" w:rsidRDefault="00E91984" w:rsidP="00E91984">
            <w:pPr>
              <w:rPr>
                <w:rFonts w:ascii="Calibri" w:hAnsi="Calibri" w:cs="Calibri"/>
                <w:color w:val="000000"/>
                <w:sz w:val="22"/>
                <w:szCs w:val="22"/>
                <w:lang w:val="es-ES"/>
              </w:rPr>
            </w:pPr>
          </w:p>
        </w:tc>
        <w:tc>
          <w:tcPr>
            <w:tcW w:w="1277" w:type="dxa"/>
            <w:tcBorders>
              <w:top w:val="nil"/>
              <w:left w:val="nil"/>
              <w:bottom w:val="nil"/>
              <w:right w:val="nil"/>
            </w:tcBorders>
            <w:shd w:val="clear" w:color="auto" w:fill="auto"/>
            <w:noWrap/>
            <w:vAlign w:val="bottom"/>
            <w:hideMark/>
          </w:tcPr>
          <w:p w:rsidR="00E91984" w:rsidRPr="00E91984" w:rsidRDefault="00E91984" w:rsidP="00E91984">
            <w:pPr>
              <w:rPr>
                <w:rFonts w:ascii="Calibri" w:hAnsi="Calibri" w:cs="Calibri"/>
                <w:color w:val="000000"/>
                <w:sz w:val="22"/>
                <w:szCs w:val="22"/>
                <w:lang w:val="es-ES"/>
              </w:rPr>
            </w:pPr>
          </w:p>
        </w:tc>
        <w:tc>
          <w:tcPr>
            <w:tcW w:w="1463" w:type="dxa"/>
            <w:tcBorders>
              <w:top w:val="nil"/>
              <w:left w:val="nil"/>
              <w:bottom w:val="nil"/>
              <w:right w:val="nil"/>
            </w:tcBorders>
            <w:shd w:val="clear" w:color="auto" w:fill="auto"/>
            <w:noWrap/>
            <w:vAlign w:val="bottom"/>
            <w:hideMark/>
          </w:tcPr>
          <w:p w:rsidR="00E91984" w:rsidRPr="00E91984" w:rsidRDefault="00E91984" w:rsidP="00E91984">
            <w:pPr>
              <w:rPr>
                <w:rFonts w:ascii="Calibri" w:hAnsi="Calibri" w:cs="Calibri"/>
                <w:color w:val="000000"/>
                <w:sz w:val="22"/>
                <w:szCs w:val="22"/>
                <w:lang w:val="es-ES"/>
              </w:rPr>
            </w:pPr>
          </w:p>
        </w:tc>
        <w:tc>
          <w:tcPr>
            <w:tcW w:w="3563" w:type="dxa"/>
            <w:tcBorders>
              <w:top w:val="nil"/>
              <w:left w:val="nil"/>
              <w:bottom w:val="nil"/>
              <w:right w:val="nil"/>
            </w:tcBorders>
            <w:shd w:val="clear" w:color="auto" w:fill="auto"/>
            <w:noWrap/>
            <w:vAlign w:val="bottom"/>
            <w:hideMark/>
          </w:tcPr>
          <w:p w:rsidR="00E91984" w:rsidRPr="00E91984" w:rsidRDefault="00E91984" w:rsidP="00E91984">
            <w:pPr>
              <w:rPr>
                <w:rFonts w:ascii="Calibri" w:hAnsi="Calibri" w:cs="Calibri"/>
                <w:color w:val="000000"/>
                <w:sz w:val="22"/>
                <w:szCs w:val="22"/>
                <w:lang w:val="es-ES"/>
              </w:rPr>
            </w:pP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25.163.514,82</w:t>
            </w:r>
          </w:p>
        </w:tc>
        <w:tc>
          <w:tcPr>
            <w:tcW w:w="1072" w:type="dxa"/>
            <w:tcBorders>
              <w:top w:val="nil"/>
              <w:left w:val="nil"/>
              <w:bottom w:val="single" w:sz="4" w:space="0" w:color="auto"/>
              <w:right w:val="single" w:sz="4" w:space="0" w:color="auto"/>
            </w:tcBorders>
            <w:shd w:val="clear" w:color="auto" w:fill="auto"/>
            <w:noWrap/>
            <w:vAlign w:val="bottom"/>
            <w:hideMark/>
          </w:tcPr>
          <w:p w:rsidR="00E91984" w:rsidRPr="00E91984" w:rsidRDefault="00E91984" w:rsidP="00E91984">
            <w:pPr>
              <w:jc w:val="right"/>
              <w:rPr>
                <w:rFonts w:ascii="Lucida Bright" w:hAnsi="Lucida Bright" w:cs="Calibri"/>
                <w:color w:val="000000"/>
                <w:sz w:val="14"/>
                <w:szCs w:val="14"/>
                <w:lang w:val="es-ES"/>
              </w:rPr>
            </w:pPr>
            <w:r w:rsidRPr="00E91984">
              <w:rPr>
                <w:rFonts w:ascii="Lucida Bright" w:hAnsi="Lucida Bright" w:cs="Calibri"/>
                <w:color w:val="000000"/>
                <w:sz w:val="14"/>
                <w:szCs w:val="14"/>
                <w:lang w:val="es-ES"/>
              </w:rPr>
              <w:t>24.411.427,42</w:t>
            </w:r>
          </w:p>
        </w:tc>
      </w:tr>
    </w:tbl>
    <w:p w:rsidR="007F67C2" w:rsidRDefault="007F67C2" w:rsidP="00257560">
      <w:pPr>
        <w:tabs>
          <w:tab w:val="right" w:pos="8364"/>
        </w:tabs>
        <w:ind w:firstLine="540"/>
        <w:jc w:val="both"/>
        <w:rPr>
          <w:rFonts w:ascii="NewBaskerville" w:hAnsi="NewBaskerville"/>
          <w:bCs/>
        </w:rPr>
      </w:pPr>
    </w:p>
    <w:p w:rsidR="00BF6E86" w:rsidRPr="00E73E9C" w:rsidRDefault="00BF6E86" w:rsidP="00257560">
      <w:pPr>
        <w:tabs>
          <w:tab w:val="right" w:pos="8364"/>
        </w:tabs>
        <w:ind w:firstLine="540"/>
        <w:jc w:val="both"/>
        <w:rPr>
          <w:rFonts w:ascii="NewBaskerville" w:hAnsi="NewBaskerville"/>
          <w:bCs/>
        </w:rPr>
      </w:pPr>
    </w:p>
    <w:p w:rsidR="005A1210" w:rsidRDefault="005A1210" w:rsidP="00257560">
      <w:pPr>
        <w:tabs>
          <w:tab w:val="right" w:pos="8364"/>
        </w:tabs>
        <w:ind w:firstLine="540"/>
        <w:jc w:val="both"/>
        <w:rPr>
          <w:bCs/>
        </w:rPr>
      </w:pPr>
    </w:p>
    <w:p w:rsidR="00D96A20" w:rsidRDefault="00D96A20" w:rsidP="00257560">
      <w:pPr>
        <w:tabs>
          <w:tab w:val="right" w:pos="8364"/>
        </w:tabs>
        <w:ind w:firstLine="540"/>
        <w:jc w:val="both"/>
        <w:rPr>
          <w:bCs/>
        </w:rPr>
      </w:pPr>
    </w:p>
    <w:p w:rsidR="004B000D" w:rsidRDefault="004B000D" w:rsidP="00FC791B">
      <w:pPr>
        <w:tabs>
          <w:tab w:val="right" w:pos="8364"/>
        </w:tabs>
        <w:jc w:val="both"/>
        <w:rPr>
          <w:bCs/>
        </w:rPr>
      </w:pPr>
    </w:p>
    <w:p w:rsidR="004B000D" w:rsidRDefault="004B000D" w:rsidP="00257560">
      <w:pPr>
        <w:tabs>
          <w:tab w:val="right" w:pos="8364"/>
        </w:tabs>
        <w:ind w:firstLine="540"/>
        <w:jc w:val="both"/>
        <w:rPr>
          <w:bCs/>
        </w:rPr>
      </w:pPr>
    </w:p>
    <w:p w:rsidR="004B000D" w:rsidRDefault="00FC791B" w:rsidP="00FC791B">
      <w:pPr>
        <w:tabs>
          <w:tab w:val="left" w:pos="997"/>
        </w:tabs>
        <w:ind w:firstLine="540"/>
        <w:jc w:val="both"/>
        <w:rPr>
          <w:bCs/>
        </w:rPr>
      </w:pPr>
      <w:r>
        <w:rPr>
          <w:bCs/>
        </w:rPr>
        <w:tab/>
      </w:r>
    </w:p>
    <w:p w:rsidR="00FC791B" w:rsidRDefault="00FC791B" w:rsidP="00FC791B">
      <w:pPr>
        <w:tabs>
          <w:tab w:val="left" w:pos="997"/>
        </w:tabs>
        <w:ind w:firstLine="540"/>
        <w:jc w:val="both"/>
        <w:rPr>
          <w:bCs/>
        </w:rPr>
      </w:pPr>
    </w:p>
    <w:p w:rsidR="00FC791B" w:rsidRDefault="00FC791B" w:rsidP="00FC791B">
      <w:pPr>
        <w:tabs>
          <w:tab w:val="left" w:pos="997"/>
        </w:tabs>
        <w:ind w:firstLine="540"/>
        <w:jc w:val="both"/>
        <w:rPr>
          <w:bCs/>
        </w:rPr>
      </w:pPr>
    </w:p>
    <w:p w:rsidR="004B000D" w:rsidRDefault="004B000D" w:rsidP="00257560">
      <w:pPr>
        <w:tabs>
          <w:tab w:val="right" w:pos="8364"/>
        </w:tabs>
        <w:ind w:firstLine="540"/>
        <w:jc w:val="both"/>
        <w:rPr>
          <w:bCs/>
        </w:rPr>
      </w:pPr>
    </w:p>
    <w:p w:rsidR="00187A36" w:rsidRDefault="00187A36" w:rsidP="00FC791B">
      <w:pPr>
        <w:tabs>
          <w:tab w:val="right" w:pos="567"/>
          <w:tab w:val="right" w:pos="8364"/>
        </w:tabs>
        <w:jc w:val="both"/>
        <w:rPr>
          <w:bCs/>
          <w:noProof/>
          <w:lang w:val="es-ES"/>
        </w:rPr>
      </w:pPr>
    </w:p>
    <w:p w:rsidR="004B000D" w:rsidRDefault="004B000D" w:rsidP="00FC791B">
      <w:pPr>
        <w:tabs>
          <w:tab w:val="right" w:pos="567"/>
          <w:tab w:val="right" w:pos="8364"/>
        </w:tabs>
        <w:jc w:val="both"/>
        <w:rPr>
          <w:bCs/>
        </w:rPr>
      </w:pPr>
    </w:p>
    <w:p w:rsidR="004B000D" w:rsidRDefault="004B000D" w:rsidP="00257560">
      <w:pPr>
        <w:tabs>
          <w:tab w:val="right" w:pos="8364"/>
        </w:tabs>
        <w:ind w:firstLine="540"/>
        <w:jc w:val="both"/>
        <w:rPr>
          <w:bCs/>
        </w:rPr>
      </w:pPr>
    </w:p>
    <w:p w:rsidR="004B000D" w:rsidRDefault="004B000D" w:rsidP="00257560">
      <w:pPr>
        <w:tabs>
          <w:tab w:val="right" w:pos="8364"/>
        </w:tabs>
        <w:ind w:firstLine="540"/>
        <w:jc w:val="both"/>
        <w:rPr>
          <w:bCs/>
        </w:rPr>
      </w:pPr>
    </w:p>
    <w:p w:rsidR="00B65CD5" w:rsidRDefault="00B65CD5" w:rsidP="00257560">
      <w:pPr>
        <w:tabs>
          <w:tab w:val="right" w:pos="8364"/>
        </w:tabs>
        <w:ind w:firstLine="540"/>
        <w:jc w:val="both"/>
        <w:rPr>
          <w:bCs/>
        </w:rPr>
      </w:pPr>
    </w:p>
    <w:p w:rsidR="00B65CD5" w:rsidRDefault="00B65CD5" w:rsidP="00FC791B">
      <w:pPr>
        <w:tabs>
          <w:tab w:val="right" w:pos="8364"/>
        </w:tabs>
        <w:jc w:val="both"/>
        <w:rPr>
          <w:bCs/>
        </w:rPr>
      </w:pPr>
    </w:p>
    <w:p w:rsidR="00B65CD5" w:rsidRDefault="00B65CD5" w:rsidP="00FC791B">
      <w:pPr>
        <w:tabs>
          <w:tab w:val="right" w:pos="8364"/>
        </w:tabs>
        <w:jc w:val="both"/>
        <w:rPr>
          <w:bCs/>
        </w:rPr>
      </w:pPr>
    </w:p>
    <w:p w:rsidR="00B65CD5" w:rsidRDefault="00B65CD5" w:rsidP="00257560">
      <w:pPr>
        <w:tabs>
          <w:tab w:val="right" w:pos="8364"/>
        </w:tabs>
        <w:ind w:firstLine="540"/>
        <w:jc w:val="both"/>
        <w:rPr>
          <w:bCs/>
        </w:rPr>
      </w:pPr>
    </w:p>
    <w:p w:rsidR="004B000D" w:rsidRDefault="004B000D" w:rsidP="00257560">
      <w:pPr>
        <w:tabs>
          <w:tab w:val="right" w:pos="8364"/>
        </w:tabs>
        <w:ind w:firstLine="540"/>
        <w:jc w:val="both"/>
        <w:rPr>
          <w:bCs/>
        </w:rPr>
      </w:pPr>
    </w:p>
    <w:p w:rsidR="003252D8" w:rsidRDefault="003252D8" w:rsidP="00257560">
      <w:pPr>
        <w:tabs>
          <w:tab w:val="right" w:pos="8364"/>
        </w:tabs>
        <w:ind w:firstLine="540"/>
        <w:jc w:val="both"/>
        <w:rPr>
          <w:bCs/>
        </w:rPr>
      </w:pPr>
    </w:p>
    <w:p w:rsidR="00BF6E86" w:rsidRDefault="00BF6E86" w:rsidP="00257560">
      <w:pPr>
        <w:tabs>
          <w:tab w:val="right" w:pos="8364"/>
        </w:tabs>
        <w:ind w:firstLine="540"/>
        <w:jc w:val="both"/>
        <w:rPr>
          <w:bCs/>
        </w:rPr>
        <w:sectPr w:rsidR="00BF6E86" w:rsidSect="00304E6C">
          <w:pgSz w:w="11907" w:h="16840" w:code="9"/>
          <w:pgMar w:top="1701" w:right="1418" w:bottom="1701" w:left="1276" w:header="567" w:footer="720" w:gutter="0"/>
          <w:cols w:space="720"/>
          <w:docGrid w:linePitch="272"/>
        </w:sectPr>
      </w:pPr>
    </w:p>
    <w:p w:rsidR="003252D8" w:rsidRDefault="003252D8" w:rsidP="00257560">
      <w:pPr>
        <w:tabs>
          <w:tab w:val="right" w:pos="8364"/>
        </w:tabs>
        <w:ind w:firstLine="540"/>
        <w:jc w:val="both"/>
        <w:rPr>
          <w:bCs/>
        </w:rPr>
      </w:pPr>
    </w:p>
    <w:p w:rsidR="00187A36" w:rsidRPr="007F67C2" w:rsidRDefault="00F706A9" w:rsidP="00187A36">
      <w:pPr>
        <w:tabs>
          <w:tab w:val="right" w:pos="8364"/>
        </w:tabs>
        <w:jc w:val="both"/>
        <w:rPr>
          <w:rFonts w:ascii="NewBaskerville" w:hAnsi="NewBaskerville"/>
          <w:bCs/>
          <w:color w:val="FF0000"/>
          <w:sz w:val="24"/>
        </w:rPr>
      </w:pPr>
      <w:r w:rsidRPr="007F67C2">
        <w:rPr>
          <w:rFonts w:ascii="NewBaskerville" w:hAnsi="NewBaskerville"/>
          <w:b/>
          <w:bCs/>
          <w:sz w:val="24"/>
          <w:szCs w:val="24"/>
        </w:rPr>
        <w:t>9</w:t>
      </w:r>
      <w:r w:rsidR="00187A36" w:rsidRPr="007F67C2">
        <w:rPr>
          <w:rFonts w:ascii="NewBaskerville" w:hAnsi="NewBaskerville"/>
          <w:b/>
          <w:bCs/>
          <w:sz w:val="24"/>
          <w:szCs w:val="24"/>
        </w:rPr>
        <w:t>. Instrumentos financieros</w:t>
      </w:r>
    </w:p>
    <w:p w:rsidR="00187A36" w:rsidRDefault="00187A36" w:rsidP="00187A36"/>
    <w:p w:rsidR="00920A02" w:rsidRDefault="003F24D6" w:rsidP="00920A02">
      <w:pPr>
        <w:ind w:firstLine="567"/>
        <w:rPr>
          <w:rFonts w:ascii="NewBaskerville" w:hAnsi="NewBaskerville"/>
        </w:rPr>
      </w:pPr>
      <w:r>
        <w:rPr>
          <w:rFonts w:ascii="NewBaskerville" w:hAnsi="NewBaskerville"/>
        </w:rPr>
        <w:t>Seguidamente</w:t>
      </w:r>
      <w:r w:rsidR="00920A02">
        <w:rPr>
          <w:rFonts w:ascii="NewBaskerville" w:hAnsi="NewBaskerville"/>
        </w:rPr>
        <w:t xml:space="preserve"> se muestran el valor en libros de cada una de las categorías de activos y pasivos financieros.</w:t>
      </w:r>
    </w:p>
    <w:p w:rsidR="00920A02" w:rsidRDefault="00920A02" w:rsidP="00920A02">
      <w:pPr>
        <w:ind w:firstLine="567"/>
        <w:rPr>
          <w:rFonts w:ascii="NewBaskerville" w:hAnsi="NewBaskerville"/>
        </w:rPr>
      </w:pPr>
    </w:p>
    <w:p w:rsidR="00920A02" w:rsidRDefault="00920A02" w:rsidP="00920A02">
      <w:pPr>
        <w:ind w:firstLine="567"/>
        <w:rPr>
          <w:rFonts w:ascii="NewBaskerville" w:hAnsi="NewBaskerville"/>
        </w:rPr>
      </w:pPr>
    </w:p>
    <w:tbl>
      <w:tblPr>
        <w:tblW w:w="14317" w:type="dxa"/>
        <w:tblInd w:w="70" w:type="dxa"/>
        <w:tblCellMar>
          <w:left w:w="70" w:type="dxa"/>
          <w:right w:w="70" w:type="dxa"/>
        </w:tblCellMar>
        <w:tblLook w:val="04A0" w:firstRow="1" w:lastRow="0" w:firstColumn="1" w:lastColumn="0" w:noHBand="0" w:noVBand="1"/>
      </w:tblPr>
      <w:tblGrid>
        <w:gridCol w:w="2335"/>
        <w:gridCol w:w="543"/>
        <w:gridCol w:w="543"/>
        <w:gridCol w:w="623"/>
        <w:gridCol w:w="623"/>
        <w:gridCol w:w="1131"/>
        <w:gridCol w:w="1038"/>
        <w:gridCol w:w="656"/>
        <w:gridCol w:w="651"/>
        <w:gridCol w:w="665"/>
        <w:gridCol w:w="676"/>
        <w:gridCol w:w="1212"/>
        <w:gridCol w:w="1212"/>
        <w:gridCol w:w="1212"/>
        <w:gridCol w:w="1289"/>
      </w:tblGrid>
      <w:tr w:rsidR="00043B4D" w:rsidRPr="00043B4D" w:rsidTr="00043B4D">
        <w:trPr>
          <w:trHeight w:val="300"/>
        </w:trPr>
        <w:tc>
          <w:tcPr>
            <w:tcW w:w="5798" w:type="dxa"/>
            <w:gridSpan w:val="6"/>
            <w:tcBorders>
              <w:top w:val="nil"/>
              <w:left w:val="nil"/>
              <w:bottom w:val="single" w:sz="4" w:space="0" w:color="auto"/>
              <w:right w:val="nil"/>
            </w:tcBorders>
            <w:shd w:val="clear" w:color="000000" w:fill="FFFFFF"/>
            <w:noWrap/>
            <w:vAlign w:val="bottom"/>
            <w:hideMark/>
          </w:tcPr>
          <w:p w:rsidR="00043B4D" w:rsidRPr="00043B4D" w:rsidRDefault="00043B4D" w:rsidP="00043B4D">
            <w:pPr>
              <w:rPr>
                <w:rFonts w:ascii="Lucida Bright" w:hAnsi="Lucida Bright" w:cs="Calibri"/>
                <w:b/>
                <w:bCs/>
                <w:sz w:val="18"/>
                <w:szCs w:val="18"/>
                <w:lang w:val="es-ES"/>
              </w:rPr>
            </w:pPr>
            <w:r w:rsidRPr="00043B4D">
              <w:rPr>
                <w:rFonts w:ascii="Lucida Bright" w:hAnsi="Lucida Bright" w:cs="Calibri"/>
                <w:b/>
                <w:bCs/>
                <w:sz w:val="18"/>
                <w:szCs w:val="18"/>
                <w:lang w:val="es-ES"/>
              </w:rPr>
              <w:t>CUADRO: CATEGORÍAS DE ACTIVOS FINANCIEROS 2024</w:t>
            </w:r>
          </w:p>
        </w:tc>
        <w:tc>
          <w:tcPr>
            <w:tcW w:w="1018" w:type="dxa"/>
            <w:tcBorders>
              <w:top w:val="nil"/>
              <w:left w:val="nil"/>
              <w:bottom w:val="nil"/>
              <w:right w:val="nil"/>
            </w:tcBorders>
            <w:shd w:val="clear" w:color="000000" w:fill="FFFFFF"/>
            <w:noWrap/>
            <w:vAlign w:val="bottom"/>
            <w:hideMark/>
          </w:tcPr>
          <w:p w:rsidR="00043B4D" w:rsidRPr="00043B4D" w:rsidRDefault="00043B4D" w:rsidP="00043B4D">
            <w:pPr>
              <w:rPr>
                <w:rFonts w:ascii="Lucida Bright" w:hAnsi="Lucida Bright" w:cs="Calibri"/>
                <w:sz w:val="14"/>
                <w:szCs w:val="14"/>
                <w:lang w:val="es-ES"/>
              </w:rPr>
            </w:pPr>
            <w:r w:rsidRPr="00043B4D">
              <w:rPr>
                <w:rFonts w:ascii="Lucida Bright" w:hAnsi="Lucida Bright" w:cs="Calibri"/>
                <w:sz w:val="14"/>
                <w:szCs w:val="14"/>
                <w:lang w:val="es-ES"/>
              </w:rPr>
              <w:t> </w:t>
            </w:r>
          </w:p>
        </w:tc>
        <w:tc>
          <w:tcPr>
            <w:tcW w:w="656" w:type="dxa"/>
            <w:tcBorders>
              <w:top w:val="nil"/>
              <w:left w:val="nil"/>
              <w:bottom w:val="nil"/>
              <w:right w:val="nil"/>
            </w:tcBorders>
            <w:shd w:val="clear" w:color="auto" w:fill="auto"/>
            <w:noWrap/>
            <w:vAlign w:val="bottom"/>
            <w:hideMark/>
          </w:tcPr>
          <w:p w:rsidR="00043B4D" w:rsidRPr="00043B4D" w:rsidRDefault="00043B4D" w:rsidP="00043B4D">
            <w:pPr>
              <w:rPr>
                <w:rFonts w:ascii="Calibri" w:hAnsi="Calibri" w:cs="Calibri"/>
                <w:color w:val="000000"/>
                <w:sz w:val="22"/>
                <w:szCs w:val="22"/>
                <w:lang w:val="es-ES"/>
              </w:rPr>
            </w:pPr>
          </w:p>
        </w:tc>
        <w:tc>
          <w:tcPr>
            <w:tcW w:w="1316" w:type="dxa"/>
            <w:gridSpan w:val="2"/>
            <w:tcBorders>
              <w:top w:val="nil"/>
              <w:left w:val="nil"/>
              <w:bottom w:val="single" w:sz="4" w:space="0" w:color="auto"/>
              <w:right w:val="nil"/>
            </w:tcBorders>
            <w:shd w:val="clear" w:color="000000" w:fill="FFFFFF"/>
            <w:noWrap/>
            <w:vAlign w:val="bottom"/>
            <w:hideMark/>
          </w:tcPr>
          <w:p w:rsidR="00043B4D" w:rsidRPr="00043B4D" w:rsidRDefault="00043B4D" w:rsidP="00043B4D">
            <w:pPr>
              <w:jc w:val="center"/>
              <w:rPr>
                <w:rFonts w:ascii="Lucida Bright" w:hAnsi="Lucida Bright" w:cs="Calibri"/>
                <w:sz w:val="14"/>
                <w:szCs w:val="14"/>
                <w:lang w:val="es-ES"/>
              </w:rPr>
            </w:pPr>
            <w:r w:rsidRPr="00043B4D">
              <w:rPr>
                <w:rFonts w:ascii="Lucida Bright" w:hAnsi="Lucida Bright" w:cs="Calibri"/>
                <w:sz w:val="14"/>
                <w:szCs w:val="14"/>
                <w:lang w:val="es-ES"/>
              </w:rPr>
              <w:t>(en euros)</w:t>
            </w:r>
          </w:p>
        </w:tc>
        <w:tc>
          <w:tcPr>
            <w:tcW w:w="676" w:type="dxa"/>
            <w:tcBorders>
              <w:top w:val="nil"/>
              <w:left w:val="nil"/>
              <w:bottom w:val="nil"/>
              <w:right w:val="nil"/>
            </w:tcBorders>
            <w:shd w:val="clear" w:color="auto" w:fill="auto"/>
            <w:noWrap/>
            <w:vAlign w:val="bottom"/>
            <w:hideMark/>
          </w:tcPr>
          <w:p w:rsidR="00043B4D" w:rsidRPr="00043B4D" w:rsidRDefault="00043B4D" w:rsidP="00043B4D">
            <w:pPr>
              <w:rPr>
                <w:rFonts w:ascii="Calibri" w:hAnsi="Calibri" w:cs="Calibri"/>
                <w:color w:val="000000"/>
                <w:sz w:val="22"/>
                <w:szCs w:val="22"/>
                <w:lang w:val="es-ES"/>
              </w:rPr>
            </w:pPr>
          </w:p>
        </w:tc>
        <w:tc>
          <w:tcPr>
            <w:tcW w:w="1188" w:type="dxa"/>
            <w:tcBorders>
              <w:top w:val="nil"/>
              <w:left w:val="nil"/>
              <w:bottom w:val="nil"/>
              <w:right w:val="nil"/>
            </w:tcBorders>
            <w:shd w:val="clear" w:color="auto" w:fill="auto"/>
            <w:noWrap/>
            <w:vAlign w:val="bottom"/>
            <w:hideMark/>
          </w:tcPr>
          <w:p w:rsidR="00043B4D" w:rsidRPr="00043B4D" w:rsidRDefault="00043B4D" w:rsidP="00043B4D">
            <w:pPr>
              <w:rPr>
                <w:rFonts w:ascii="Calibri" w:hAnsi="Calibri" w:cs="Calibri"/>
                <w:color w:val="000000"/>
                <w:sz w:val="22"/>
                <w:szCs w:val="22"/>
                <w:lang w:val="es-ES"/>
              </w:rPr>
            </w:pPr>
          </w:p>
        </w:tc>
        <w:tc>
          <w:tcPr>
            <w:tcW w:w="1188" w:type="dxa"/>
            <w:tcBorders>
              <w:top w:val="nil"/>
              <w:left w:val="nil"/>
              <w:bottom w:val="nil"/>
              <w:right w:val="nil"/>
            </w:tcBorders>
            <w:shd w:val="clear" w:color="auto" w:fill="auto"/>
            <w:noWrap/>
            <w:vAlign w:val="bottom"/>
            <w:hideMark/>
          </w:tcPr>
          <w:p w:rsidR="00043B4D" w:rsidRPr="00043B4D" w:rsidRDefault="00043B4D" w:rsidP="00043B4D">
            <w:pPr>
              <w:rPr>
                <w:rFonts w:ascii="Calibri" w:hAnsi="Calibri" w:cs="Calibri"/>
                <w:color w:val="000000"/>
                <w:sz w:val="22"/>
                <w:szCs w:val="22"/>
                <w:lang w:val="es-ES"/>
              </w:rPr>
            </w:pPr>
          </w:p>
        </w:tc>
        <w:tc>
          <w:tcPr>
            <w:tcW w:w="1188" w:type="dxa"/>
            <w:tcBorders>
              <w:top w:val="nil"/>
              <w:left w:val="nil"/>
              <w:bottom w:val="nil"/>
              <w:right w:val="nil"/>
            </w:tcBorders>
            <w:shd w:val="clear" w:color="auto" w:fill="auto"/>
            <w:noWrap/>
            <w:vAlign w:val="bottom"/>
            <w:hideMark/>
          </w:tcPr>
          <w:p w:rsidR="00043B4D" w:rsidRPr="00043B4D" w:rsidRDefault="00043B4D" w:rsidP="00043B4D">
            <w:pPr>
              <w:rPr>
                <w:rFonts w:ascii="Calibri" w:hAnsi="Calibri" w:cs="Calibri"/>
                <w:color w:val="000000"/>
                <w:sz w:val="22"/>
                <w:szCs w:val="22"/>
                <w:lang w:val="es-ES"/>
              </w:rPr>
            </w:pPr>
          </w:p>
        </w:tc>
        <w:tc>
          <w:tcPr>
            <w:tcW w:w="1289" w:type="dxa"/>
            <w:tcBorders>
              <w:top w:val="nil"/>
              <w:left w:val="nil"/>
              <w:bottom w:val="nil"/>
              <w:right w:val="nil"/>
            </w:tcBorders>
            <w:shd w:val="clear" w:color="auto" w:fill="auto"/>
            <w:noWrap/>
            <w:vAlign w:val="bottom"/>
            <w:hideMark/>
          </w:tcPr>
          <w:p w:rsidR="00043B4D" w:rsidRPr="00043B4D" w:rsidRDefault="00043B4D" w:rsidP="00043B4D">
            <w:pPr>
              <w:rPr>
                <w:rFonts w:ascii="Calibri" w:hAnsi="Calibri" w:cs="Calibri"/>
                <w:color w:val="000000"/>
                <w:sz w:val="22"/>
                <w:szCs w:val="22"/>
                <w:lang w:val="es-ES"/>
              </w:rPr>
            </w:pPr>
          </w:p>
        </w:tc>
      </w:tr>
      <w:tr w:rsidR="00043B4D" w:rsidRPr="00043B4D" w:rsidTr="00043B4D">
        <w:trPr>
          <w:trHeight w:val="240"/>
        </w:trPr>
        <w:tc>
          <w:tcPr>
            <w:tcW w:w="2335" w:type="dxa"/>
            <w:tcBorders>
              <w:top w:val="nil"/>
              <w:left w:val="single" w:sz="4" w:space="0" w:color="auto"/>
              <w:bottom w:val="nil"/>
              <w:right w:val="single" w:sz="4" w:space="0" w:color="auto"/>
            </w:tcBorders>
            <w:shd w:val="clear" w:color="000000" w:fill="CCFFCC"/>
            <w:noWrap/>
            <w:vAlign w:val="center"/>
            <w:hideMark/>
          </w:tcPr>
          <w:p w:rsidR="00043B4D" w:rsidRPr="00043B4D" w:rsidRDefault="00043B4D" w:rsidP="00043B4D">
            <w:pPr>
              <w:rPr>
                <w:rFonts w:ascii="Lucida Bright" w:hAnsi="Lucida Bright" w:cs="Calibri"/>
                <w:b/>
                <w:bCs/>
                <w:color w:val="000000"/>
                <w:sz w:val="14"/>
                <w:szCs w:val="14"/>
                <w:lang w:val="es-ES"/>
              </w:rPr>
            </w:pPr>
            <w:r w:rsidRPr="00043B4D">
              <w:rPr>
                <w:rFonts w:ascii="Lucida Bright" w:hAnsi="Lucida Bright" w:cs="Calibri"/>
                <w:b/>
                <w:bCs/>
                <w:color w:val="000000"/>
                <w:sz w:val="14"/>
                <w:szCs w:val="14"/>
                <w:lang w:val="es-ES"/>
              </w:rPr>
              <w:t xml:space="preserve">                          Clases                                                                        </w:t>
            </w:r>
          </w:p>
        </w:tc>
        <w:tc>
          <w:tcPr>
            <w:tcW w:w="4481" w:type="dxa"/>
            <w:gridSpan w:val="6"/>
            <w:tcBorders>
              <w:top w:val="single" w:sz="4" w:space="0" w:color="auto"/>
              <w:left w:val="nil"/>
              <w:bottom w:val="single" w:sz="4" w:space="0" w:color="auto"/>
              <w:right w:val="single" w:sz="4" w:space="0" w:color="auto"/>
            </w:tcBorders>
            <w:shd w:val="clear" w:color="000000" w:fill="CCFFCC"/>
            <w:noWrap/>
            <w:vAlign w:val="bottom"/>
            <w:hideMark/>
          </w:tcPr>
          <w:p w:rsidR="00043B4D" w:rsidRPr="00043B4D" w:rsidRDefault="00043B4D" w:rsidP="00043B4D">
            <w:pPr>
              <w:jc w:val="center"/>
              <w:rPr>
                <w:rFonts w:ascii="Lucida Bright" w:hAnsi="Lucida Bright" w:cs="Calibri"/>
                <w:b/>
                <w:bCs/>
                <w:color w:val="000000"/>
                <w:sz w:val="14"/>
                <w:szCs w:val="14"/>
                <w:lang w:val="es-ES"/>
              </w:rPr>
            </w:pPr>
            <w:r w:rsidRPr="00043B4D">
              <w:rPr>
                <w:rFonts w:ascii="Lucida Bright" w:hAnsi="Lucida Bright" w:cs="Calibri"/>
                <w:b/>
                <w:bCs/>
                <w:color w:val="000000"/>
                <w:sz w:val="14"/>
                <w:szCs w:val="14"/>
                <w:lang w:val="es-ES"/>
              </w:rPr>
              <w:t>Instrumentos financieros a largo plazo</w:t>
            </w:r>
          </w:p>
        </w:tc>
        <w:tc>
          <w:tcPr>
            <w:tcW w:w="5024" w:type="dxa"/>
            <w:gridSpan w:val="6"/>
            <w:tcBorders>
              <w:top w:val="single" w:sz="4" w:space="0" w:color="auto"/>
              <w:left w:val="nil"/>
              <w:bottom w:val="single" w:sz="4" w:space="0" w:color="auto"/>
              <w:right w:val="single" w:sz="4" w:space="0" w:color="auto"/>
            </w:tcBorders>
            <w:shd w:val="clear" w:color="000000" w:fill="CCFFCC"/>
            <w:noWrap/>
            <w:vAlign w:val="bottom"/>
            <w:hideMark/>
          </w:tcPr>
          <w:p w:rsidR="00043B4D" w:rsidRPr="00043B4D" w:rsidRDefault="00043B4D" w:rsidP="00043B4D">
            <w:pPr>
              <w:jc w:val="center"/>
              <w:rPr>
                <w:rFonts w:ascii="Lucida Bright" w:hAnsi="Lucida Bright" w:cs="Calibri"/>
                <w:b/>
                <w:bCs/>
                <w:color w:val="000000"/>
                <w:sz w:val="14"/>
                <w:szCs w:val="14"/>
                <w:lang w:val="es-ES"/>
              </w:rPr>
            </w:pPr>
            <w:r w:rsidRPr="00043B4D">
              <w:rPr>
                <w:rFonts w:ascii="Lucida Bright" w:hAnsi="Lucida Bright" w:cs="Calibri"/>
                <w:b/>
                <w:bCs/>
                <w:color w:val="000000"/>
                <w:sz w:val="14"/>
                <w:szCs w:val="14"/>
                <w:lang w:val="es-ES"/>
              </w:rPr>
              <w:t>Instrumentos financieros a corto plazo</w:t>
            </w:r>
          </w:p>
        </w:tc>
        <w:tc>
          <w:tcPr>
            <w:tcW w:w="2477" w:type="dxa"/>
            <w:gridSpan w:val="2"/>
            <w:vMerge w:val="restart"/>
            <w:tcBorders>
              <w:top w:val="single" w:sz="4" w:space="0" w:color="auto"/>
              <w:left w:val="single" w:sz="4" w:space="0" w:color="auto"/>
              <w:bottom w:val="single" w:sz="4" w:space="0" w:color="000000"/>
              <w:right w:val="single" w:sz="4" w:space="0" w:color="000000"/>
            </w:tcBorders>
            <w:shd w:val="clear" w:color="000000" w:fill="CCFFCC"/>
            <w:vAlign w:val="center"/>
            <w:hideMark/>
          </w:tcPr>
          <w:p w:rsidR="00043B4D" w:rsidRPr="00043B4D" w:rsidRDefault="00043B4D" w:rsidP="00043B4D">
            <w:pPr>
              <w:jc w:val="center"/>
              <w:rPr>
                <w:rFonts w:ascii="Lucida Bright" w:hAnsi="Lucida Bright" w:cs="Calibri"/>
                <w:b/>
                <w:bCs/>
                <w:color w:val="000000"/>
                <w:sz w:val="14"/>
                <w:szCs w:val="14"/>
                <w:lang w:val="es-ES"/>
              </w:rPr>
            </w:pPr>
            <w:r w:rsidRPr="00043B4D">
              <w:rPr>
                <w:rFonts w:ascii="Lucida Bright" w:hAnsi="Lucida Bright" w:cs="Calibri"/>
                <w:b/>
                <w:bCs/>
                <w:color w:val="000000"/>
                <w:sz w:val="14"/>
                <w:szCs w:val="14"/>
                <w:lang w:val="es-ES"/>
              </w:rPr>
              <w:t>Total</w:t>
            </w:r>
          </w:p>
        </w:tc>
      </w:tr>
      <w:tr w:rsidR="00043B4D" w:rsidRPr="00043B4D" w:rsidTr="00043B4D">
        <w:trPr>
          <w:trHeight w:val="570"/>
        </w:trPr>
        <w:tc>
          <w:tcPr>
            <w:tcW w:w="2335" w:type="dxa"/>
            <w:tcBorders>
              <w:top w:val="nil"/>
              <w:left w:val="single" w:sz="4" w:space="0" w:color="auto"/>
              <w:bottom w:val="nil"/>
              <w:right w:val="single" w:sz="4" w:space="0" w:color="auto"/>
              <w:tl2br w:val="single" w:sz="4" w:space="0" w:color="auto"/>
            </w:tcBorders>
            <w:shd w:val="clear" w:color="000000" w:fill="CCFFCC"/>
            <w:noWrap/>
            <w:hideMark/>
          </w:tcPr>
          <w:p w:rsidR="00043B4D" w:rsidRPr="00043B4D" w:rsidRDefault="00043B4D" w:rsidP="00043B4D">
            <w:pPr>
              <w:rPr>
                <w:rFonts w:ascii="Lucida Bright" w:hAnsi="Lucida Bright" w:cs="Calibri"/>
                <w:b/>
                <w:bCs/>
                <w:color w:val="000000"/>
                <w:sz w:val="14"/>
                <w:szCs w:val="14"/>
                <w:lang w:val="es-ES"/>
              </w:rPr>
            </w:pPr>
            <w:r w:rsidRPr="00043B4D">
              <w:rPr>
                <w:rFonts w:ascii="Lucida Bright" w:hAnsi="Lucida Bright" w:cs="Calibri"/>
                <w:b/>
                <w:bCs/>
                <w:color w:val="000000"/>
                <w:sz w:val="14"/>
                <w:szCs w:val="14"/>
                <w:lang w:val="es-ES"/>
              </w:rPr>
              <w:t> </w:t>
            </w:r>
          </w:p>
        </w:tc>
        <w:tc>
          <w:tcPr>
            <w:tcW w:w="1086" w:type="dxa"/>
            <w:gridSpan w:val="2"/>
            <w:tcBorders>
              <w:top w:val="single" w:sz="4" w:space="0" w:color="auto"/>
              <w:left w:val="nil"/>
              <w:bottom w:val="single" w:sz="4" w:space="0" w:color="auto"/>
              <w:right w:val="single" w:sz="4" w:space="0" w:color="000000"/>
            </w:tcBorders>
            <w:shd w:val="clear" w:color="000000" w:fill="CCFFCC"/>
            <w:vAlign w:val="center"/>
            <w:hideMark/>
          </w:tcPr>
          <w:p w:rsidR="00043B4D" w:rsidRPr="00043B4D" w:rsidRDefault="00043B4D" w:rsidP="00043B4D">
            <w:pPr>
              <w:jc w:val="center"/>
              <w:rPr>
                <w:rFonts w:ascii="Lucida Bright" w:hAnsi="Lucida Bright" w:cs="Calibri"/>
                <w:b/>
                <w:bCs/>
                <w:color w:val="000000"/>
                <w:sz w:val="14"/>
                <w:szCs w:val="14"/>
                <w:lang w:val="es-ES"/>
              </w:rPr>
            </w:pPr>
            <w:r w:rsidRPr="00043B4D">
              <w:rPr>
                <w:rFonts w:ascii="Lucida Bright" w:hAnsi="Lucida Bright" w:cs="Calibri"/>
                <w:b/>
                <w:bCs/>
                <w:color w:val="000000"/>
                <w:sz w:val="14"/>
                <w:szCs w:val="14"/>
                <w:lang w:val="es-ES"/>
              </w:rPr>
              <w:t>Instrumentos de patrimonio</w:t>
            </w:r>
          </w:p>
        </w:tc>
        <w:tc>
          <w:tcPr>
            <w:tcW w:w="1246" w:type="dxa"/>
            <w:gridSpan w:val="2"/>
            <w:tcBorders>
              <w:top w:val="single" w:sz="4" w:space="0" w:color="auto"/>
              <w:left w:val="nil"/>
              <w:bottom w:val="single" w:sz="4" w:space="0" w:color="auto"/>
              <w:right w:val="single" w:sz="4" w:space="0" w:color="auto"/>
            </w:tcBorders>
            <w:shd w:val="clear" w:color="000000" w:fill="CCFFCC"/>
            <w:vAlign w:val="center"/>
            <w:hideMark/>
          </w:tcPr>
          <w:p w:rsidR="00043B4D" w:rsidRPr="00043B4D" w:rsidRDefault="00043B4D" w:rsidP="00043B4D">
            <w:pPr>
              <w:jc w:val="center"/>
              <w:rPr>
                <w:rFonts w:ascii="Lucida Bright" w:hAnsi="Lucida Bright" w:cs="Calibri"/>
                <w:b/>
                <w:bCs/>
                <w:color w:val="000000"/>
                <w:sz w:val="14"/>
                <w:szCs w:val="14"/>
                <w:lang w:val="es-ES"/>
              </w:rPr>
            </w:pPr>
            <w:r w:rsidRPr="00043B4D">
              <w:rPr>
                <w:rFonts w:ascii="Lucida Bright" w:hAnsi="Lucida Bright" w:cs="Calibri"/>
                <w:b/>
                <w:bCs/>
                <w:color w:val="000000"/>
                <w:sz w:val="14"/>
                <w:szCs w:val="14"/>
                <w:lang w:val="es-ES"/>
              </w:rPr>
              <w:t>Valores representativos de deuda</w:t>
            </w:r>
          </w:p>
        </w:tc>
        <w:tc>
          <w:tcPr>
            <w:tcW w:w="2149" w:type="dxa"/>
            <w:gridSpan w:val="2"/>
            <w:tcBorders>
              <w:top w:val="single" w:sz="4" w:space="0" w:color="auto"/>
              <w:left w:val="nil"/>
              <w:bottom w:val="single" w:sz="4" w:space="0" w:color="auto"/>
              <w:right w:val="single" w:sz="4" w:space="0" w:color="auto"/>
            </w:tcBorders>
            <w:shd w:val="clear" w:color="000000" w:fill="CCFFCC"/>
            <w:vAlign w:val="center"/>
            <w:hideMark/>
          </w:tcPr>
          <w:p w:rsidR="00043B4D" w:rsidRPr="00043B4D" w:rsidRDefault="00043B4D" w:rsidP="00043B4D">
            <w:pPr>
              <w:jc w:val="center"/>
              <w:rPr>
                <w:rFonts w:ascii="Lucida Bright" w:hAnsi="Lucida Bright" w:cs="Calibri"/>
                <w:b/>
                <w:bCs/>
                <w:color w:val="000000"/>
                <w:sz w:val="14"/>
                <w:szCs w:val="14"/>
                <w:lang w:val="es-ES"/>
              </w:rPr>
            </w:pPr>
            <w:r w:rsidRPr="00043B4D">
              <w:rPr>
                <w:rFonts w:ascii="Lucida Bright" w:hAnsi="Lucida Bright" w:cs="Calibri"/>
                <w:b/>
                <w:bCs/>
                <w:color w:val="000000"/>
                <w:sz w:val="14"/>
                <w:szCs w:val="14"/>
                <w:lang w:val="es-ES"/>
              </w:rPr>
              <w:t>Créditos Derivados y otros</w:t>
            </w:r>
          </w:p>
        </w:tc>
        <w:tc>
          <w:tcPr>
            <w:tcW w:w="1307" w:type="dxa"/>
            <w:gridSpan w:val="2"/>
            <w:tcBorders>
              <w:top w:val="single" w:sz="4" w:space="0" w:color="auto"/>
              <w:left w:val="nil"/>
              <w:bottom w:val="single" w:sz="4" w:space="0" w:color="auto"/>
              <w:right w:val="single" w:sz="4" w:space="0" w:color="000000"/>
            </w:tcBorders>
            <w:shd w:val="clear" w:color="000000" w:fill="CCFFCC"/>
            <w:vAlign w:val="center"/>
            <w:hideMark/>
          </w:tcPr>
          <w:p w:rsidR="00043B4D" w:rsidRPr="00043B4D" w:rsidRDefault="00043B4D" w:rsidP="00043B4D">
            <w:pPr>
              <w:jc w:val="center"/>
              <w:rPr>
                <w:rFonts w:ascii="Lucida Bright" w:hAnsi="Lucida Bright" w:cs="Calibri"/>
                <w:b/>
                <w:bCs/>
                <w:color w:val="000000"/>
                <w:sz w:val="14"/>
                <w:szCs w:val="14"/>
                <w:lang w:val="es-ES"/>
              </w:rPr>
            </w:pPr>
            <w:r w:rsidRPr="00043B4D">
              <w:rPr>
                <w:rFonts w:ascii="Lucida Bright" w:hAnsi="Lucida Bright" w:cs="Calibri"/>
                <w:b/>
                <w:bCs/>
                <w:color w:val="000000"/>
                <w:sz w:val="14"/>
                <w:szCs w:val="14"/>
                <w:lang w:val="es-ES"/>
              </w:rPr>
              <w:t>Instrumentos de patrimonio</w:t>
            </w:r>
          </w:p>
        </w:tc>
        <w:tc>
          <w:tcPr>
            <w:tcW w:w="1341" w:type="dxa"/>
            <w:gridSpan w:val="2"/>
            <w:tcBorders>
              <w:top w:val="single" w:sz="4" w:space="0" w:color="auto"/>
              <w:left w:val="nil"/>
              <w:bottom w:val="single" w:sz="4" w:space="0" w:color="auto"/>
              <w:right w:val="single" w:sz="4" w:space="0" w:color="auto"/>
            </w:tcBorders>
            <w:shd w:val="clear" w:color="000000" w:fill="CCFFCC"/>
            <w:vAlign w:val="center"/>
            <w:hideMark/>
          </w:tcPr>
          <w:p w:rsidR="00043B4D" w:rsidRPr="00043B4D" w:rsidRDefault="00043B4D" w:rsidP="00043B4D">
            <w:pPr>
              <w:jc w:val="center"/>
              <w:rPr>
                <w:rFonts w:ascii="Lucida Bright" w:hAnsi="Lucida Bright" w:cs="Calibri"/>
                <w:b/>
                <w:bCs/>
                <w:color w:val="000000"/>
                <w:sz w:val="14"/>
                <w:szCs w:val="14"/>
                <w:lang w:val="es-ES"/>
              </w:rPr>
            </w:pPr>
            <w:r w:rsidRPr="00043B4D">
              <w:rPr>
                <w:rFonts w:ascii="Lucida Bright" w:hAnsi="Lucida Bright" w:cs="Calibri"/>
                <w:b/>
                <w:bCs/>
                <w:color w:val="000000"/>
                <w:sz w:val="14"/>
                <w:szCs w:val="14"/>
                <w:lang w:val="es-ES"/>
              </w:rPr>
              <w:t>Valores representativos de deuda</w:t>
            </w:r>
          </w:p>
        </w:tc>
        <w:tc>
          <w:tcPr>
            <w:tcW w:w="2376" w:type="dxa"/>
            <w:gridSpan w:val="2"/>
            <w:tcBorders>
              <w:top w:val="single" w:sz="4" w:space="0" w:color="auto"/>
              <w:left w:val="nil"/>
              <w:bottom w:val="single" w:sz="4" w:space="0" w:color="auto"/>
              <w:right w:val="single" w:sz="4" w:space="0" w:color="auto"/>
            </w:tcBorders>
            <w:shd w:val="clear" w:color="000000" w:fill="CCFFCC"/>
            <w:vAlign w:val="center"/>
            <w:hideMark/>
          </w:tcPr>
          <w:p w:rsidR="00043B4D" w:rsidRPr="00043B4D" w:rsidRDefault="00043B4D" w:rsidP="00043B4D">
            <w:pPr>
              <w:jc w:val="center"/>
              <w:rPr>
                <w:rFonts w:ascii="Lucida Bright" w:hAnsi="Lucida Bright" w:cs="Calibri"/>
                <w:b/>
                <w:bCs/>
                <w:color w:val="000000"/>
                <w:sz w:val="14"/>
                <w:szCs w:val="14"/>
                <w:lang w:val="es-ES"/>
              </w:rPr>
            </w:pPr>
            <w:r w:rsidRPr="00043B4D">
              <w:rPr>
                <w:rFonts w:ascii="Lucida Bright" w:hAnsi="Lucida Bright" w:cs="Calibri"/>
                <w:b/>
                <w:bCs/>
                <w:color w:val="000000"/>
                <w:sz w:val="14"/>
                <w:szCs w:val="14"/>
                <w:lang w:val="es-ES"/>
              </w:rPr>
              <w:t>Créditos Derivados y otros</w:t>
            </w:r>
          </w:p>
        </w:tc>
        <w:tc>
          <w:tcPr>
            <w:tcW w:w="2477" w:type="dxa"/>
            <w:gridSpan w:val="2"/>
            <w:vMerge/>
            <w:tcBorders>
              <w:top w:val="single" w:sz="4" w:space="0" w:color="auto"/>
              <w:left w:val="single" w:sz="4" w:space="0" w:color="auto"/>
              <w:bottom w:val="single" w:sz="4" w:space="0" w:color="000000"/>
              <w:right w:val="single" w:sz="4" w:space="0" w:color="000000"/>
            </w:tcBorders>
            <w:vAlign w:val="center"/>
            <w:hideMark/>
          </w:tcPr>
          <w:p w:rsidR="00043B4D" w:rsidRPr="00043B4D" w:rsidRDefault="00043B4D" w:rsidP="00043B4D">
            <w:pPr>
              <w:rPr>
                <w:rFonts w:ascii="Lucida Bright" w:hAnsi="Lucida Bright" w:cs="Calibri"/>
                <w:b/>
                <w:bCs/>
                <w:color w:val="000000"/>
                <w:sz w:val="14"/>
                <w:szCs w:val="14"/>
                <w:lang w:val="es-ES"/>
              </w:rPr>
            </w:pPr>
          </w:p>
        </w:tc>
      </w:tr>
      <w:tr w:rsidR="00043B4D" w:rsidRPr="00043B4D" w:rsidTr="00043B4D">
        <w:trPr>
          <w:trHeight w:val="240"/>
        </w:trPr>
        <w:tc>
          <w:tcPr>
            <w:tcW w:w="2335" w:type="dxa"/>
            <w:tcBorders>
              <w:top w:val="nil"/>
              <w:left w:val="single" w:sz="4" w:space="0" w:color="auto"/>
              <w:bottom w:val="single" w:sz="4" w:space="0" w:color="auto"/>
              <w:right w:val="single" w:sz="4" w:space="0" w:color="auto"/>
            </w:tcBorders>
            <w:shd w:val="clear" w:color="000000" w:fill="CCFFCC"/>
            <w:noWrap/>
            <w:hideMark/>
          </w:tcPr>
          <w:p w:rsidR="00043B4D" w:rsidRPr="00043B4D" w:rsidRDefault="00043B4D" w:rsidP="00043B4D">
            <w:pPr>
              <w:rPr>
                <w:rFonts w:ascii="Lucida Bright" w:hAnsi="Lucida Bright" w:cs="Calibri"/>
                <w:b/>
                <w:bCs/>
                <w:color w:val="000000"/>
                <w:sz w:val="14"/>
                <w:szCs w:val="14"/>
                <w:lang w:val="es-ES"/>
              </w:rPr>
            </w:pPr>
            <w:r w:rsidRPr="00043B4D">
              <w:rPr>
                <w:rFonts w:ascii="Lucida Bright" w:hAnsi="Lucida Bright" w:cs="Calibri"/>
                <w:b/>
                <w:bCs/>
                <w:color w:val="000000"/>
                <w:sz w:val="14"/>
                <w:szCs w:val="14"/>
                <w:lang w:val="es-ES"/>
              </w:rPr>
              <w:t>Categorías</w:t>
            </w:r>
          </w:p>
        </w:tc>
        <w:tc>
          <w:tcPr>
            <w:tcW w:w="543" w:type="dxa"/>
            <w:tcBorders>
              <w:top w:val="nil"/>
              <w:left w:val="nil"/>
              <w:bottom w:val="single" w:sz="4" w:space="0" w:color="auto"/>
              <w:right w:val="single" w:sz="4" w:space="0" w:color="auto"/>
            </w:tcBorders>
            <w:shd w:val="clear" w:color="000000" w:fill="CCFFCC"/>
            <w:noWrap/>
            <w:vAlign w:val="bottom"/>
            <w:hideMark/>
          </w:tcPr>
          <w:p w:rsidR="00043B4D" w:rsidRPr="00043B4D" w:rsidRDefault="00043B4D" w:rsidP="00043B4D">
            <w:pPr>
              <w:jc w:val="cente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2024</w:t>
            </w:r>
          </w:p>
        </w:tc>
        <w:tc>
          <w:tcPr>
            <w:tcW w:w="543" w:type="dxa"/>
            <w:tcBorders>
              <w:top w:val="nil"/>
              <w:left w:val="nil"/>
              <w:bottom w:val="single" w:sz="4" w:space="0" w:color="auto"/>
              <w:right w:val="single" w:sz="4" w:space="0" w:color="auto"/>
            </w:tcBorders>
            <w:shd w:val="clear" w:color="000000" w:fill="CCFFCC"/>
            <w:noWrap/>
            <w:vAlign w:val="bottom"/>
            <w:hideMark/>
          </w:tcPr>
          <w:p w:rsidR="00043B4D" w:rsidRPr="00043B4D" w:rsidRDefault="00043B4D" w:rsidP="00043B4D">
            <w:pPr>
              <w:jc w:val="cente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2023</w:t>
            </w:r>
          </w:p>
        </w:tc>
        <w:tc>
          <w:tcPr>
            <w:tcW w:w="623" w:type="dxa"/>
            <w:tcBorders>
              <w:top w:val="nil"/>
              <w:left w:val="nil"/>
              <w:bottom w:val="single" w:sz="4" w:space="0" w:color="auto"/>
              <w:right w:val="single" w:sz="4" w:space="0" w:color="auto"/>
            </w:tcBorders>
            <w:shd w:val="clear" w:color="000000" w:fill="CCFFCC"/>
            <w:noWrap/>
            <w:vAlign w:val="bottom"/>
            <w:hideMark/>
          </w:tcPr>
          <w:p w:rsidR="00043B4D" w:rsidRPr="00043B4D" w:rsidRDefault="00043B4D" w:rsidP="00043B4D">
            <w:pPr>
              <w:jc w:val="cente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2024</w:t>
            </w:r>
          </w:p>
        </w:tc>
        <w:tc>
          <w:tcPr>
            <w:tcW w:w="623" w:type="dxa"/>
            <w:tcBorders>
              <w:top w:val="nil"/>
              <w:left w:val="nil"/>
              <w:bottom w:val="single" w:sz="4" w:space="0" w:color="auto"/>
              <w:right w:val="single" w:sz="4" w:space="0" w:color="auto"/>
            </w:tcBorders>
            <w:shd w:val="clear" w:color="000000" w:fill="CCFFCC"/>
            <w:noWrap/>
            <w:vAlign w:val="bottom"/>
            <w:hideMark/>
          </w:tcPr>
          <w:p w:rsidR="00043B4D" w:rsidRPr="00043B4D" w:rsidRDefault="00043B4D" w:rsidP="00043B4D">
            <w:pPr>
              <w:jc w:val="cente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2023</w:t>
            </w:r>
          </w:p>
        </w:tc>
        <w:tc>
          <w:tcPr>
            <w:tcW w:w="1131" w:type="dxa"/>
            <w:tcBorders>
              <w:top w:val="nil"/>
              <w:left w:val="nil"/>
              <w:bottom w:val="single" w:sz="4" w:space="0" w:color="auto"/>
              <w:right w:val="single" w:sz="4" w:space="0" w:color="auto"/>
            </w:tcBorders>
            <w:shd w:val="clear" w:color="000000" w:fill="CCFFCC"/>
            <w:noWrap/>
            <w:vAlign w:val="bottom"/>
            <w:hideMark/>
          </w:tcPr>
          <w:p w:rsidR="00043B4D" w:rsidRPr="00043B4D" w:rsidRDefault="00043B4D" w:rsidP="00043B4D">
            <w:pPr>
              <w:jc w:val="cente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2024</w:t>
            </w:r>
          </w:p>
        </w:tc>
        <w:tc>
          <w:tcPr>
            <w:tcW w:w="1018" w:type="dxa"/>
            <w:tcBorders>
              <w:top w:val="nil"/>
              <w:left w:val="nil"/>
              <w:bottom w:val="single" w:sz="4" w:space="0" w:color="auto"/>
              <w:right w:val="single" w:sz="4" w:space="0" w:color="auto"/>
            </w:tcBorders>
            <w:shd w:val="clear" w:color="000000" w:fill="CCFFCC"/>
            <w:noWrap/>
            <w:vAlign w:val="bottom"/>
            <w:hideMark/>
          </w:tcPr>
          <w:p w:rsidR="00043B4D" w:rsidRPr="00043B4D" w:rsidRDefault="00043B4D" w:rsidP="00043B4D">
            <w:pPr>
              <w:jc w:val="cente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2023</w:t>
            </w:r>
          </w:p>
        </w:tc>
        <w:tc>
          <w:tcPr>
            <w:tcW w:w="656" w:type="dxa"/>
            <w:tcBorders>
              <w:top w:val="nil"/>
              <w:left w:val="nil"/>
              <w:bottom w:val="single" w:sz="4" w:space="0" w:color="auto"/>
              <w:right w:val="single" w:sz="4" w:space="0" w:color="auto"/>
            </w:tcBorders>
            <w:shd w:val="clear" w:color="000000" w:fill="CCFFCC"/>
            <w:noWrap/>
            <w:vAlign w:val="bottom"/>
            <w:hideMark/>
          </w:tcPr>
          <w:p w:rsidR="00043B4D" w:rsidRPr="00043B4D" w:rsidRDefault="00043B4D" w:rsidP="00043B4D">
            <w:pPr>
              <w:jc w:val="cente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2024</w:t>
            </w:r>
          </w:p>
        </w:tc>
        <w:tc>
          <w:tcPr>
            <w:tcW w:w="651" w:type="dxa"/>
            <w:tcBorders>
              <w:top w:val="nil"/>
              <w:left w:val="nil"/>
              <w:bottom w:val="single" w:sz="4" w:space="0" w:color="auto"/>
              <w:right w:val="single" w:sz="4" w:space="0" w:color="auto"/>
            </w:tcBorders>
            <w:shd w:val="clear" w:color="000000" w:fill="CCFFCC"/>
            <w:noWrap/>
            <w:vAlign w:val="bottom"/>
            <w:hideMark/>
          </w:tcPr>
          <w:p w:rsidR="00043B4D" w:rsidRPr="00043B4D" w:rsidRDefault="00043B4D" w:rsidP="00043B4D">
            <w:pPr>
              <w:jc w:val="cente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2023</w:t>
            </w:r>
          </w:p>
        </w:tc>
        <w:tc>
          <w:tcPr>
            <w:tcW w:w="665" w:type="dxa"/>
            <w:tcBorders>
              <w:top w:val="nil"/>
              <w:left w:val="nil"/>
              <w:bottom w:val="single" w:sz="4" w:space="0" w:color="auto"/>
              <w:right w:val="single" w:sz="4" w:space="0" w:color="auto"/>
            </w:tcBorders>
            <w:shd w:val="clear" w:color="000000" w:fill="CCFFCC"/>
            <w:noWrap/>
            <w:vAlign w:val="bottom"/>
            <w:hideMark/>
          </w:tcPr>
          <w:p w:rsidR="00043B4D" w:rsidRPr="00043B4D" w:rsidRDefault="00043B4D" w:rsidP="00043B4D">
            <w:pPr>
              <w:jc w:val="cente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2024</w:t>
            </w:r>
          </w:p>
        </w:tc>
        <w:tc>
          <w:tcPr>
            <w:tcW w:w="676" w:type="dxa"/>
            <w:tcBorders>
              <w:top w:val="nil"/>
              <w:left w:val="nil"/>
              <w:bottom w:val="single" w:sz="4" w:space="0" w:color="auto"/>
              <w:right w:val="single" w:sz="4" w:space="0" w:color="auto"/>
            </w:tcBorders>
            <w:shd w:val="clear" w:color="000000" w:fill="CCFFCC"/>
            <w:noWrap/>
            <w:vAlign w:val="bottom"/>
            <w:hideMark/>
          </w:tcPr>
          <w:p w:rsidR="00043B4D" w:rsidRPr="00043B4D" w:rsidRDefault="00043B4D" w:rsidP="00043B4D">
            <w:pPr>
              <w:jc w:val="cente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2023</w:t>
            </w:r>
          </w:p>
        </w:tc>
        <w:tc>
          <w:tcPr>
            <w:tcW w:w="1188" w:type="dxa"/>
            <w:tcBorders>
              <w:top w:val="nil"/>
              <w:left w:val="nil"/>
              <w:bottom w:val="single" w:sz="4" w:space="0" w:color="auto"/>
              <w:right w:val="single" w:sz="4" w:space="0" w:color="auto"/>
            </w:tcBorders>
            <w:shd w:val="clear" w:color="000000" w:fill="CCFFCC"/>
            <w:noWrap/>
            <w:vAlign w:val="bottom"/>
            <w:hideMark/>
          </w:tcPr>
          <w:p w:rsidR="00043B4D" w:rsidRPr="00043B4D" w:rsidRDefault="00043B4D" w:rsidP="00043B4D">
            <w:pPr>
              <w:jc w:val="cente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2024</w:t>
            </w:r>
          </w:p>
        </w:tc>
        <w:tc>
          <w:tcPr>
            <w:tcW w:w="1188" w:type="dxa"/>
            <w:tcBorders>
              <w:top w:val="nil"/>
              <w:left w:val="nil"/>
              <w:bottom w:val="single" w:sz="4" w:space="0" w:color="auto"/>
              <w:right w:val="single" w:sz="4" w:space="0" w:color="auto"/>
            </w:tcBorders>
            <w:shd w:val="clear" w:color="000000" w:fill="CCFFCC"/>
            <w:noWrap/>
            <w:vAlign w:val="bottom"/>
            <w:hideMark/>
          </w:tcPr>
          <w:p w:rsidR="00043B4D" w:rsidRPr="00043B4D" w:rsidRDefault="00043B4D" w:rsidP="00043B4D">
            <w:pPr>
              <w:jc w:val="cente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2023</w:t>
            </w:r>
          </w:p>
        </w:tc>
        <w:tc>
          <w:tcPr>
            <w:tcW w:w="1188" w:type="dxa"/>
            <w:tcBorders>
              <w:top w:val="nil"/>
              <w:left w:val="nil"/>
              <w:bottom w:val="single" w:sz="4" w:space="0" w:color="auto"/>
              <w:right w:val="single" w:sz="4" w:space="0" w:color="auto"/>
            </w:tcBorders>
            <w:shd w:val="clear" w:color="000000" w:fill="CCFFCC"/>
            <w:noWrap/>
            <w:vAlign w:val="bottom"/>
            <w:hideMark/>
          </w:tcPr>
          <w:p w:rsidR="00043B4D" w:rsidRPr="00043B4D" w:rsidRDefault="00043B4D" w:rsidP="00043B4D">
            <w:pPr>
              <w:jc w:val="cente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2024</w:t>
            </w:r>
          </w:p>
        </w:tc>
        <w:tc>
          <w:tcPr>
            <w:tcW w:w="1289" w:type="dxa"/>
            <w:tcBorders>
              <w:top w:val="nil"/>
              <w:left w:val="nil"/>
              <w:bottom w:val="single" w:sz="4" w:space="0" w:color="auto"/>
              <w:right w:val="single" w:sz="4" w:space="0" w:color="auto"/>
            </w:tcBorders>
            <w:shd w:val="clear" w:color="000000" w:fill="CCFFCC"/>
            <w:noWrap/>
            <w:vAlign w:val="bottom"/>
            <w:hideMark/>
          </w:tcPr>
          <w:p w:rsidR="00043B4D" w:rsidRPr="00043B4D" w:rsidRDefault="00043B4D" w:rsidP="00043B4D">
            <w:pPr>
              <w:jc w:val="cente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2023</w:t>
            </w:r>
          </w:p>
        </w:tc>
      </w:tr>
      <w:tr w:rsidR="00043B4D" w:rsidRPr="00043B4D" w:rsidTr="00043B4D">
        <w:trPr>
          <w:trHeight w:val="615"/>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Activos a valor razonable con cambios en pérdidas y ganancias</w:t>
            </w:r>
          </w:p>
        </w:tc>
        <w:tc>
          <w:tcPr>
            <w:tcW w:w="54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54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2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2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131"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01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56"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65"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76"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18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18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18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289"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r>
      <w:tr w:rsidR="00043B4D" w:rsidRPr="00043B4D" w:rsidTr="00043B4D">
        <w:trPr>
          <w:trHeight w:val="615"/>
        </w:trPr>
        <w:tc>
          <w:tcPr>
            <w:tcW w:w="2335" w:type="dxa"/>
            <w:tcBorders>
              <w:top w:val="nil"/>
              <w:left w:val="single" w:sz="4" w:space="0" w:color="auto"/>
              <w:bottom w:val="single" w:sz="4" w:space="0" w:color="auto"/>
              <w:right w:val="single" w:sz="4" w:space="0" w:color="auto"/>
            </w:tcBorders>
            <w:shd w:val="clear" w:color="auto" w:fill="auto"/>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Activos financieros a coste amortizado</w:t>
            </w:r>
          </w:p>
        </w:tc>
        <w:tc>
          <w:tcPr>
            <w:tcW w:w="54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54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2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2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131"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jc w:val="right"/>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5.873.236,94</w:t>
            </w:r>
          </w:p>
        </w:tc>
        <w:tc>
          <w:tcPr>
            <w:tcW w:w="101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jc w:val="right"/>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7.255.378,61</w:t>
            </w:r>
          </w:p>
        </w:tc>
        <w:tc>
          <w:tcPr>
            <w:tcW w:w="656"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65"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76"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18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jc w:val="right"/>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140.572.076,04</w:t>
            </w:r>
          </w:p>
        </w:tc>
        <w:tc>
          <w:tcPr>
            <w:tcW w:w="118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jc w:val="right"/>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147.841.995,73</w:t>
            </w:r>
          </w:p>
        </w:tc>
        <w:tc>
          <w:tcPr>
            <w:tcW w:w="118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jc w:val="right"/>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146.445.312,98</w:t>
            </w:r>
          </w:p>
        </w:tc>
        <w:tc>
          <w:tcPr>
            <w:tcW w:w="1289"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jc w:val="right"/>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155.097.374,34</w:t>
            </w:r>
          </w:p>
        </w:tc>
      </w:tr>
      <w:tr w:rsidR="00043B4D" w:rsidRPr="00043B4D" w:rsidTr="00043B4D">
        <w:trPr>
          <w:trHeight w:val="615"/>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Activos financieros a coste</w:t>
            </w:r>
          </w:p>
        </w:tc>
        <w:tc>
          <w:tcPr>
            <w:tcW w:w="54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54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2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2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131"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01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56"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65"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76"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18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18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18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289"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r>
      <w:tr w:rsidR="00043B4D" w:rsidRPr="00043B4D" w:rsidTr="00043B4D">
        <w:trPr>
          <w:trHeight w:val="615"/>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Activos a valor razonable con cambios en el patrimonio neto</w:t>
            </w:r>
          </w:p>
        </w:tc>
        <w:tc>
          <w:tcPr>
            <w:tcW w:w="54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54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2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2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131"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01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56"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65"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76"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18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18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18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289"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r>
      <w:tr w:rsidR="00043B4D" w:rsidRPr="00043B4D" w:rsidTr="00043B4D">
        <w:trPr>
          <w:trHeight w:val="615"/>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Derivados de cobertura</w:t>
            </w:r>
          </w:p>
        </w:tc>
        <w:tc>
          <w:tcPr>
            <w:tcW w:w="54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54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2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23"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131"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01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56"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65"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676"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18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18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188"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c>
          <w:tcPr>
            <w:tcW w:w="1289" w:type="dxa"/>
            <w:tcBorders>
              <w:top w:val="nil"/>
              <w:left w:val="nil"/>
              <w:bottom w:val="single" w:sz="4" w:space="0" w:color="auto"/>
              <w:right w:val="single" w:sz="4" w:space="0" w:color="auto"/>
            </w:tcBorders>
            <w:shd w:val="clear" w:color="auto" w:fill="auto"/>
            <w:noWrap/>
            <w:vAlign w:val="bottom"/>
            <w:hideMark/>
          </w:tcPr>
          <w:p w:rsidR="00043B4D" w:rsidRPr="00043B4D" w:rsidRDefault="00043B4D" w:rsidP="00043B4D">
            <w:pPr>
              <w:rPr>
                <w:rFonts w:ascii="Lucida Bright" w:hAnsi="Lucida Bright" w:cs="Calibri"/>
                <w:color w:val="000000"/>
                <w:sz w:val="14"/>
                <w:szCs w:val="14"/>
                <w:lang w:val="es-ES"/>
              </w:rPr>
            </w:pPr>
            <w:r w:rsidRPr="00043B4D">
              <w:rPr>
                <w:rFonts w:ascii="Lucida Bright" w:hAnsi="Lucida Bright" w:cs="Calibri"/>
                <w:color w:val="000000"/>
                <w:sz w:val="14"/>
                <w:szCs w:val="14"/>
                <w:lang w:val="es-ES"/>
              </w:rPr>
              <w:t> </w:t>
            </w:r>
          </w:p>
        </w:tc>
      </w:tr>
      <w:tr w:rsidR="00043B4D" w:rsidRPr="008E2E5A" w:rsidTr="00043B4D">
        <w:trPr>
          <w:trHeight w:val="255"/>
        </w:trPr>
        <w:tc>
          <w:tcPr>
            <w:tcW w:w="2335" w:type="dxa"/>
            <w:tcBorders>
              <w:top w:val="nil"/>
              <w:left w:val="single" w:sz="4" w:space="0" w:color="auto"/>
              <w:bottom w:val="single" w:sz="4" w:space="0" w:color="auto"/>
              <w:right w:val="nil"/>
            </w:tcBorders>
            <w:shd w:val="clear" w:color="auto" w:fill="auto"/>
            <w:vAlign w:val="bottom"/>
            <w:hideMark/>
          </w:tcPr>
          <w:p w:rsidR="00043B4D" w:rsidRPr="008E2E5A" w:rsidRDefault="00043B4D" w:rsidP="00043B4D">
            <w:pPr>
              <w:rPr>
                <w:rFonts w:ascii="Lucida Bright" w:hAnsi="Lucida Bright" w:cs="Calibri"/>
                <w:b/>
                <w:bCs/>
                <w:color w:val="000000"/>
                <w:sz w:val="14"/>
                <w:szCs w:val="14"/>
                <w:lang w:val="es-ES"/>
              </w:rPr>
            </w:pPr>
            <w:r w:rsidRPr="008E2E5A">
              <w:rPr>
                <w:rFonts w:ascii="Lucida Bright" w:hAnsi="Lucida Bright" w:cs="Calibri"/>
                <w:b/>
                <w:bCs/>
                <w:color w:val="000000"/>
                <w:sz w:val="14"/>
                <w:szCs w:val="14"/>
                <w:lang w:val="es-ES"/>
              </w:rPr>
              <w:t>TOTAL</w:t>
            </w:r>
          </w:p>
        </w:tc>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043B4D" w:rsidRPr="008E2E5A" w:rsidRDefault="00043B4D" w:rsidP="00043B4D">
            <w:pPr>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 </w:t>
            </w:r>
          </w:p>
        </w:tc>
        <w:tc>
          <w:tcPr>
            <w:tcW w:w="543" w:type="dxa"/>
            <w:tcBorders>
              <w:top w:val="nil"/>
              <w:left w:val="nil"/>
              <w:bottom w:val="single" w:sz="4" w:space="0" w:color="auto"/>
              <w:right w:val="single" w:sz="4" w:space="0" w:color="auto"/>
            </w:tcBorders>
            <w:shd w:val="clear" w:color="auto" w:fill="auto"/>
            <w:noWrap/>
            <w:vAlign w:val="bottom"/>
            <w:hideMark/>
          </w:tcPr>
          <w:p w:rsidR="00043B4D" w:rsidRPr="008E2E5A" w:rsidRDefault="00043B4D" w:rsidP="00043B4D">
            <w:pPr>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 </w:t>
            </w:r>
          </w:p>
        </w:tc>
        <w:tc>
          <w:tcPr>
            <w:tcW w:w="623" w:type="dxa"/>
            <w:tcBorders>
              <w:top w:val="nil"/>
              <w:left w:val="nil"/>
              <w:bottom w:val="single" w:sz="4" w:space="0" w:color="auto"/>
              <w:right w:val="single" w:sz="4" w:space="0" w:color="auto"/>
            </w:tcBorders>
            <w:shd w:val="clear" w:color="auto" w:fill="auto"/>
            <w:noWrap/>
            <w:vAlign w:val="bottom"/>
            <w:hideMark/>
          </w:tcPr>
          <w:p w:rsidR="00043B4D" w:rsidRPr="008E2E5A" w:rsidRDefault="00043B4D" w:rsidP="00043B4D">
            <w:pPr>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 </w:t>
            </w:r>
          </w:p>
        </w:tc>
        <w:tc>
          <w:tcPr>
            <w:tcW w:w="623" w:type="dxa"/>
            <w:tcBorders>
              <w:top w:val="nil"/>
              <w:left w:val="nil"/>
              <w:bottom w:val="single" w:sz="4" w:space="0" w:color="auto"/>
              <w:right w:val="single" w:sz="4" w:space="0" w:color="auto"/>
            </w:tcBorders>
            <w:shd w:val="clear" w:color="auto" w:fill="auto"/>
            <w:noWrap/>
            <w:vAlign w:val="bottom"/>
            <w:hideMark/>
          </w:tcPr>
          <w:p w:rsidR="00043B4D" w:rsidRPr="008E2E5A" w:rsidRDefault="00043B4D" w:rsidP="00043B4D">
            <w:pPr>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 </w:t>
            </w:r>
          </w:p>
        </w:tc>
        <w:tc>
          <w:tcPr>
            <w:tcW w:w="1131" w:type="dxa"/>
            <w:tcBorders>
              <w:top w:val="nil"/>
              <w:left w:val="nil"/>
              <w:bottom w:val="single" w:sz="4" w:space="0" w:color="auto"/>
              <w:right w:val="single" w:sz="4" w:space="0" w:color="auto"/>
            </w:tcBorders>
            <w:shd w:val="clear" w:color="auto" w:fill="auto"/>
            <w:noWrap/>
            <w:vAlign w:val="bottom"/>
            <w:hideMark/>
          </w:tcPr>
          <w:p w:rsidR="00043B4D" w:rsidRPr="008E2E5A" w:rsidRDefault="00043B4D" w:rsidP="00043B4D">
            <w:pPr>
              <w:jc w:val="right"/>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5.873.236,94</w:t>
            </w:r>
          </w:p>
        </w:tc>
        <w:tc>
          <w:tcPr>
            <w:tcW w:w="1018" w:type="dxa"/>
            <w:tcBorders>
              <w:top w:val="nil"/>
              <w:left w:val="nil"/>
              <w:bottom w:val="single" w:sz="4" w:space="0" w:color="auto"/>
              <w:right w:val="single" w:sz="4" w:space="0" w:color="auto"/>
            </w:tcBorders>
            <w:shd w:val="clear" w:color="auto" w:fill="auto"/>
            <w:noWrap/>
            <w:vAlign w:val="bottom"/>
            <w:hideMark/>
          </w:tcPr>
          <w:p w:rsidR="00043B4D" w:rsidRPr="008E2E5A" w:rsidRDefault="00043B4D" w:rsidP="00043B4D">
            <w:pPr>
              <w:jc w:val="right"/>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7.255.378,61</w:t>
            </w:r>
          </w:p>
        </w:tc>
        <w:tc>
          <w:tcPr>
            <w:tcW w:w="656" w:type="dxa"/>
            <w:tcBorders>
              <w:top w:val="nil"/>
              <w:left w:val="nil"/>
              <w:bottom w:val="single" w:sz="4" w:space="0" w:color="auto"/>
              <w:right w:val="single" w:sz="4" w:space="0" w:color="auto"/>
            </w:tcBorders>
            <w:shd w:val="clear" w:color="auto" w:fill="auto"/>
            <w:noWrap/>
            <w:vAlign w:val="bottom"/>
            <w:hideMark/>
          </w:tcPr>
          <w:p w:rsidR="00043B4D" w:rsidRPr="008E2E5A" w:rsidRDefault="00043B4D" w:rsidP="00043B4D">
            <w:pPr>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043B4D" w:rsidRPr="008E2E5A" w:rsidRDefault="00043B4D" w:rsidP="00043B4D">
            <w:pPr>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 </w:t>
            </w:r>
          </w:p>
        </w:tc>
        <w:tc>
          <w:tcPr>
            <w:tcW w:w="665" w:type="dxa"/>
            <w:tcBorders>
              <w:top w:val="nil"/>
              <w:left w:val="nil"/>
              <w:bottom w:val="single" w:sz="4" w:space="0" w:color="auto"/>
              <w:right w:val="single" w:sz="4" w:space="0" w:color="auto"/>
            </w:tcBorders>
            <w:shd w:val="clear" w:color="auto" w:fill="auto"/>
            <w:noWrap/>
            <w:vAlign w:val="bottom"/>
            <w:hideMark/>
          </w:tcPr>
          <w:p w:rsidR="00043B4D" w:rsidRPr="008E2E5A" w:rsidRDefault="00043B4D" w:rsidP="00043B4D">
            <w:pPr>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 </w:t>
            </w:r>
          </w:p>
        </w:tc>
        <w:tc>
          <w:tcPr>
            <w:tcW w:w="676" w:type="dxa"/>
            <w:tcBorders>
              <w:top w:val="nil"/>
              <w:left w:val="nil"/>
              <w:bottom w:val="single" w:sz="4" w:space="0" w:color="auto"/>
              <w:right w:val="single" w:sz="4" w:space="0" w:color="auto"/>
            </w:tcBorders>
            <w:shd w:val="clear" w:color="auto" w:fill="auto"/>
            <w:noWrap/>
            <w:vAlign w:val="bottom"/>
            <w:hideMark/>
          </w:tcPr>
          <w:p w:rsidR="00043B4D" w:rsidRPr="008E2E5A" w:rsidRDefault="00043B4D" w:rsidP="00043B4D">
            <w:pPr>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 </w:t>
            </w:r>
          </w:p>
        </w:tc>
        <w:tc>
          <w:tcPr>
            <w:tcW w:w="1188" w:type="dxa"/>
            <w:tcBorders>
              <w:top w:val="nil"/>
              <w:left w:val="nil"/>
              <w:bottom w:val="single" w:sz="4" w:space="0" w:color="auto"/>
              <w:right w:val="single" w:sz="4" w:space="0" w:color="auto"/>
            </w:tcBorders>
            <w:shd w:val="clear" w:color="auto" w:fill="auto"/>
            <w:noWrap/>
            <w:vAlign w:val="bottom"/>
            <w:hideMark/>
          </w:tcPr>
          <w:p w:rsidR="00043B4D" w:rsidRPr="008E2E5A" w:rsidRDefault="00043B4D" w:rsidP="00043B4D">
            <w:pPr>
              <w:jc w:val="right"/>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140.572.076,04</w:t>
            </w:r>
          </w:p>
        </w:tc>
        <w:tc>
          <w:tcPr>
            <w:tcW w:w="1188" w:type="dxa"/>
            <w:tcBorders>
              <w:top w:val="nil"/>
              <w:left w:val="nil"/>
              <w:bottom w:val="single" w:sz="4" w:space="0" w:color="auto"/>
              <w:right w:val="single" w:sz="4" w:space="0" w:color="auto"/>
            </w:tcBorders>
            <w:shd w:val="clear" w:color="auto" w:fill="auto"/>
            <w:noWrap/>
            <w:vAlign w:val="bottom"/>
            <w:hideMark/>
          </w:tcPr>
          <w:p w:rsidR="00043B4D" w:rsidRPr="008E2E5A" w:rsidRDefault="00043B4D" w:rsidP="00043B4D">
            <w:pPr>
              <w:jc w:val="right"/>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147.841.995,73</w:t>
            </w:r>
          </w:p>
        </w:tc>
        <w:tc>
          <w:tcPr>
            <w:tcW w:w="1188" w:type="dxa"/>
            <w:tcBorders>
              <w:top w:val="nil"/>
              <w:left w:val="nil"/>
              <w:bottom w:val="single" w:sz="4" w:space="0" w:color="auto"/>
              <w:right w:val="single" w:sz="4" w:space="0" w:color="auto"/>
            </w:tcBorders>
            <w:shd w:val="clear" w:color="auto" w:fill="auto"/>
            <w:noWrap/>
            <w:vAlign w:val="bottom"/>
            <w:hideMark/>
          </w:tcPr>
          <w:p w:rsidR="00043B4D" w:rsidRPr="008E2E5A" w:rsidRDefault="00043B4D" w:rsidP="00043B4D">
            <w:pPr>
              <w:jc w:val="right"/>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146.445.312,98</w:t>
            </w:r>
          </w:p>
        </w:tc>
        <w:tc>
          <w:tcPr>
            <w:tcW w:w="1289" w:type="dxa"/>
            <w:tcBorders>
              <w:top w:val="nil"/>
              <w:left w:val="nil"/>
              <w:bottom w:val="single" w:sz="4" w:space="0" w:color="auto"/>
              <w:right w:val="single" w:sz="4" w:space="0" w:color="auto"/>
            </w:tcBorders>
            <w:shd w:val="clear" w:color="auto" w:fill="auto"/>
            <w:noWrap/>
            <w:vAlign w:val="bottom"/>
            <w:hideMark/>
          </w:tcPr>
          <w:p w:rsidR="00043B4D" w:rsidRPr="008E2E5A" w:rsidRDefault="00043B4D" w:rsidP="00043B4D">
            <w:pPr>
              <w:jc w:val="right"/>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155.097.374,34</w:t>
            </w:r>
          </w:p>
        </w:tc>
      </w:tr>
    </w:tbl>
    <w:p w:rsidR="00920A02" w:rsidRPr="008E2E5A" w:rsidRDefault="00920A02" w:rsidP="00920A02">
      <w:pPr>
        <w:ind w:firstLine="567"/>
        <w:rPr>
          <w:rFonts w:ascii="NewBaskerville" w:hAnsi="NewBaskerville"/>
          <w:b/>
        </w:rPr>
      </w:pPr>
    </w:p>
    <w:p w:rsidR="00920A02" w:rsidRPr="00920A02" w:rsidRDefault="00920A02" w:rsidP="00920A02">
      <w:pPr>
        <w:ind w:firstLine="567"/>
        <w:rPr>
          <w:rFonts w:ascii="NewBaskerville" w:hAnsi="NewBaskerville"/>
        </w:rPr>
      </w:pPr>
    </w:p>
    <w:p w:rsidR="00920A02" w:rsidRDefault="00920A02" w:rsidP="00187A36"/>
    <w:p w:rsidR="00273586" w:rsidRDefault="00273586" w:rsidP="00187A36">
      <w:pPr>
        <w:rPr>
          <w:lang w:val="es-ES"/>
        </w:rPr>
      </w:pPr>
    </w:p>
    <w:p w:rsidR="00920A02" w:rsidRDefault="00920A02" w:rsidP="00187A36">
      <w:pPr>
        <w:rPr>
          <w:lang w:val="es-ES"/>
        </w:rPr>
      </w:pPr>
    </w:p>
    <w:p w:rsidR="00920A02" w:rsidRDefault="00920A02" w:rsidP="00187A36">
      <w:pPr>
        <w:rPr>
          <w:lang w:val="es-ES"/>
        </w:rPr>
      </w:pPr>
    </w:p>
    <w:p w:rsidR="00920A02" w:rsidRDefault="00920A02" w:rsidP="00187A36">
      <w:pPr>
        <w:rPr>
          <w:lang w:val="es-ES"/>
        </w:rPr>
      </w:pPr>
    </w:p>
    <w:p w:rsidR="00920A02" w:rsidRDefault="00920A02" w:rsidP="00187A36">
      <w:pPr>
        <w:rPr>
          <w:lang w:val="es-ES"/>
        </w:rPr>
      </w:pPr>
    </w:p>
    <w:p w:rsidR="00920A02" w:rsidRDefault="00920A02" w:rsidP="00187A36">
      <w:pPr>
        <w:rPr>
          <w:lang w:val="es-ES"/>
        </w:rPr>
      </w:pPr>
    </w:p>
    <w:p w:rsidR="00920A02" w:rsidRDefault="00920A02" w:rsidP="00187A36">
      <w:pPr>
        <w:rPr>
          <w:lang w:val="es-ES"/>
        </w:rPr>
      </w:pPr>
    </w:p>
    <w:p w:rsidR="00920A02" w:rsidRDefault="00920A02" w:rsidP="00187A36">
      <w:pPr>
        <w:rPr>
          <w:lang w:val="es-ES"/>
        </w:rPr>
      </w:pPr>
    </w:p>
    <w:p w:rsidR="00920A02" w:rsidRDefault="00920A02" w:rsidP="00187A36">
      <w:pPr>
        <w:rPr>
          <w:lang w:val="es-ES"/>
        </w:rPr>
      </w:pPr>
    </w:p>
    <w:p w:rsidR="00920A02" w:rsidRDefault="00920A02" w:rsidP="00187A36">
      <w:pPr>
        <w:rPr>
          <w:lang w:val="es-ES"/>
        </w:rPr>
      </w:pPr>
    </w:p>
    <w:tbl>
      <w:tblPr>
        <w:tblW w:w="13008" w:type="dxa"/>
        <w:tblInd w:w="70" w:type="dxa"/>
        <w:tblCellMar>
          <w:left w:w="70" w:type="dxa"/>
          <w:right w:w="70" w:type="dxa"/>
        </w:tblCellMar>
        <w:tblLook w:val="04A0" w:firstRow="1" w:lastRow="0" w:firstColumn="1" w:lastColumn="0" w:noHBand="0" w:noVBand="1"/>
      </w:tblPr>
      <w:tblGrid>
        <w:gridCol w:w="2098"/>
        <w:gridCol w:w="481"/>
        <w:gridCol w:w="481"/>
        <w:gridCol w:w="524"/>
        <w:gridCol w:w="524"/>
        <w:gridCol w:w="1191"/>
        <w:gridCol w:w="1191"/>
        <w:gridCol w:w="648"/>
        <w:gridCol w:w="648"/>
        <w:gridCol w:w="676"/>
        <w:gridCol w:w="676"/>
        <w:gridCol w:w="1125"/>
        <w:gridCol w:w="1038"/>
        <w:gridCol w:w="1125"/>
        <w:gridCol w:w="1125"/>
      </w:tblGrid>
      <w:tr w:rsidR="00B91B1E" w:rsidRPr="00B91B1E" w:rsidTr="00B91B1E">
        <w:trPr>
          <w:trHeight w:val="300"/>
        </w:trPr>
        <w:tc>
          <w:tcPr>
            <w:tcW w:w="6256" w:type="dxa"/>
            <w:gridSpan w:val="7"/>
            <w:tcBorders>
              <w:top w:val="nil"/>
              <w:left w:val="nil"/>
              <w:bottom w:val="single" w:sz="4" w:space="0" w:color="auto"/>
              <w:right w:val="nil"/>
            </w:tcBorders>
            <w:shd w:val="clear" w:color="000000" w:fill="FFFFFF"/>
            <w:noWrap/>
            <w:vAlign w:val="bottom"/>
            <w:hideMark/>
          </w:tcPr>
          <w:p w:rsidR="00B91B1E" w:rsidRPr="00B91B1E" w:rsidRDefault="00B91B1E" w:rsidP="00B91B1E">
            <w:pPr>
              <w:rPr>
                <w:rFonts w:ascii="Lucida Bright" w:hAnsi="Lucida Bright" w:cs="Calibri"/>
                <w:b/>
                <w:bCs/>
                <w:sz w:val="18"/>
                <w:szCs w:val="18"/>
                <w:lang w:val="es-ES"/>
              </w:rPr>
            </w:pPr>
            <w:r w:rsidRPr="00B91B1E">
              <w:rPr>
                <w:rFonts w:ascii="Lucida Bright" w:hAnsi="Lucida Bright" w:cs="Calibri"/>
                <w:b/>
                <w:bCs/>
                <w:sz w:val="18"/>
                <w:szCs w:val="18"/>
                <w:lang w:val="es-ES"/>
              </w:rPr>
              <w:t>CUADRO: CATEGORÍAS DE PASIVOS FINANCIEROS 2024</w:t>
            </w:r>
          </w:p>
        </w:tc>
        <w:tc>
          <w:tcPr>
            <w:tcW w:w="1296" w:type="dxa"/>
            <w:gridSpan w:val="2"/>
            <w:tcBorders>
              <w:top w:val="nil"/>
              <w:left w:val="nil"/>
              <w:bottom w:val="single" w:sz="4" w:space="0" w:color="auto"/>
              <w:right w:val="nil"/>
            </w:tcBorders>
            <w:shd w:val="clear" w:color="000000" w:fill="FFFFFF"/>
            <w:noWrap/>
            <w:vAlign w:val="bottom"/>
            <w:hideMark/>
          </w:tcPr>
          <w:p w:rsidR="00B91B1E" w:rsidRPr="00B91B1E" w:rsidRDefault="00B91B1E" w:rsidP="00B91B1E">
            <w:pPr>
              <w:jc w:val="center"/>
              <w:rPr>
                <w:rFonts w:ascii="Lucida Bright" w:hAnsi="Lucida Bright" w:cs="Calibri"/>
                <w:sz w:val="14"/>
                <w:szCs w:val="14"/>
                <w:lang w:val="es-ES"/>
              </w:rPr>
            </w:pPr>
            <w:r w:rsidRPr="00B91B1E">
              <w:rPr>
                <w:rFonts w:ascii="Lucida Bright" w:hAnsi="Lucida Bright" w:cs="Calibri"/>
                <w:sz w:val="14"/>
                <w:szCs w:val="14"/>
                <w:lang w:val="es-ES"/>
              </w:rPr>
              <w:t>(en euros)</w:t>
            </w:r>
          </w:p>
        </w:tc>
        <w:tc>
          <w:tcPr>
            <w:tcW w:w="676" w:type="dxa"/>
            <w:tcBorders>
              <w:top w:val="nil"/>
              <w:left w:val="nil"/>
              <w:bottom w:val="nil"/>
              <w:right w:val="nil"/>
            </w:tcBorders>
            <w:shd w:val="clear" w:color="auto" w:fill="auto"/>
            <w:noWrap/>
            <w:vAlign w:val="bottom"/>
            <w:hideMark/>
          </w:tcPr>
          <w:p w:rsidR="00B91B1E" w:rsidRPr="00B91B1E" w:rsidRDefault="00B91B1E" w:rsidP="00B91B1E">
            <w:pPr>
              <w:rPr>
                <w:rFonts w:ascii="Calibri" w:hAnsi="Calibri" w:cs="Calibri"/>
                <w:color w:val="000000"/>
                <w:sz w:val="22"/>
                <w:szCs w:val="22"/>
                <w:lang w:val="es-ES"/>
              </w:rPr>
            </w:pPr>
          </w:p>
        </w:tc>
        <w:tc>
          <w:tcPr>
            <w:tcW w:w="676" w:type="dxa"/>
            <w:tcBorders>
              <w:top w:val="nil"/>
              <w:left w:val="nil"/>
              <w:bottom w:val="nil"/>
              <w:right w:val="nil"/>
            </w:tcBorders>
            <w:shd w:val="clear" w:color="auto" w:fill="auto"/>
            <w:noWrap/>
            <w:vAlign w:val="bottom"/>
            <w:hideMark/>
          </w:tcPr>
          <w:p w:rsidR="00B91B1E" w:rsidRPr="00B91B1E" w:rsidRDefault="00B91B1E" w:rsidP="00B91B1E">
            <w:pPr>
              <w:rPr>
                <w:rFonts w:ascii="Calibri" w:hAnsi="Calibri" w:cs="Calibri"/>
                <w:color w:val="000000"/>
                <w:sz w:val="22"/>
                <w:szCs w:val="22"/>
                <w:lang w:val="es-ES"/>
              </w:rPr>
            </w:pPr>
          </w:p>
        </w:tc>
        <w:tc>
          <w:tcPr>
            <w:tcW w:w="1016" w:type="dxa"/>
            <w:tcBorders>
              <w:top w:val="nil"/>
              <w:left w:val="nil"/>
              <w:bottom w:val="nil"/>
              <w:right w:val="nil"/>
            </w:tcBorders>
            <w:shd w:val="clear" w:color="auto" w:fill="auto"/>
            <w:noWrap/>
            <w:vAlign w:val="bottom"/>
            <w:hideMark/>
          </w:tcPr>
          <w:p w:rsidR="00B91B1E" w:rsidRPr="00B91B1E" w:rsidRDefault="00B91B1E" w:rsidP="00B91B1E">
            <w:pPr>
              <w:rPr>
                <w:rFonts w:ascii="Calibri" w:hAnsi="Calibri" w:cs="Calibri"/>
                <w:color w:val="000000"/>
                <w:sz w:val="22"/>
                <w:szCs w:val="22"/>
                <w:lang w:val="es-ES"/>
              </w:rPr>
            </w:pPr>
          </w:p>
        </w:tc>
        <w:tc>
          <w:tcPr>
            <w:tcW w:w="1016" w:type="dxa"/>
            <w:tcBorders>
              <w:top w:val="nil"/>
              <w:left w:val="nil"/>
              <w:bottom w:val="nil"/>
              <w:right w:val="nil"/>
            </w:tcBorders>
            <w:shd w:val="clear" w:color="auto" w:fill="auto"/>
            <w:noWrap/>
            <w:vAlign w:val="bottom"/>
            <w:hideMark/>
          </w:tcPr>
          <w:p w:rsidR="00B91B1E" w:rsidRPr="00B91B1E" w:rsidRDefault="00B91B1E" w:rsidP="00B91B1E">
            <w:pPr>
              <w:rPr>
                <w:rFonts w:ascii="Calibri" w:hAnsi="Calibri" w:cs="Calibri"/>
                <w:color w:val="000000"/>
                <w:sz w:val="22"/>
                <w:szCs w:val="22"/>
                <w:lang w:val="es-ES"/>
              </w:rPr>
            </w:pPr>
          </w:p>
        </w:tc>
        <w:tc>
          <w:tcPr>
            <w:tcW w:w="1036" w:type="dxa"/>
            <w:tcBorders>
              <w:top w:val="nil"/>
              <w:left w:val="nil"/>
              <w:bottom w:val="nil"/>
              <w:right w:val="nil"/>
            </w:tcBorders>
            <w:shd w:val="clear" w:color="auto" w:fill="auto"/>
            <w:noWrap/>
            <w:vAlign w:val="bottom"/>
            <w:hideMark/>
          </w:tcPr>
          <w:p w:rsidR="00B91B1E" w:rsidRPr="00B91B1E" w:rsidRDefault="00B91B1E" w:rsidP="00B91B1E">
            <w:pPr>
              <w:rPr>
                <w:rFonts w:ascii="Calibri" w:hAnsi="Calibri" w:cs="Calibri"/>
                <w:color w:val="000000"/>
                <w:sz w:val="22"/>
                <w:szCs w:val="22"/>
                <w:lang w:val="es-ES"/>
              </w:rPr>
            </w:pPr>
          </w:p>
        </w:tc>
        <w:tc>
          <w:tcPr>
            <w:tcW w:w="1036" w:type="dxa"/>
            <w:tcBorders>
              <w:top w:val="nil"/>
              <w:left w:val="nil"/>
              <w:bottom w:val="nil"/>
              <w:right w:val="nil"/>
            </w:tcBorders>
            <w:shd w:val="clear" w:color="auto" w:fill="auto"/>
            <w:noWrap/>
            <w:vAlign w:val="bottom"/>
            <w:hideMark/>
          </w:tcPr>
          <w:p w:rsidR="00B91B1E" w:rsidRPr="00B91B1E" w:rsidRDefault="00B91B1E" w:rsidP="00B91B1E">
            <w:pPr>
              <w:rPr>
                <w:rFonts w:ascii="Calibri" w:hAnsi="Calibri" w:cs="Calibri"/>
                <w:color w:val="000000"/>
                <w:sz w:val="22"/>
                <w:szCs w:val="22"/>
                <w:lang w:val="es-ES"/>
              </w:rPr>
            </w:pPr>
          </w:p>
        </w:tc>
      </w:tr>
      <w:tr w:rsidR="00B91B1E" w:rsidRPr="00B91B1E" w:rsidTr="00B91B1E">
        <w:trPr>
          <w:trHeight w:val="255"/>
        </w:trPr>
        <w:tc>
          <w:tcPr>
            <w:tcW w:w="2098" w:type="dxa"/>
            <w:tcBorders>
              <w:top w:val="nil"/>
              <w:left w:val="single" w:sz="4" w:space="0" w:color="auto"/>
              <w:bottom w:val="nil"/>
              <w:right w:val="single" w:sz="4" w:space="0" w:color="auto"/>
            </w:tcBorders>
            <w:shd w:val="clear" w:color="000000" w:fill="CCFFCC"/>
            <w:noWrap/>
            <w:vAlign w:val="center"/>
            <w:hideMark/>
          </w:tcPr>
          <w:p w:rsidR="00B91B1E" w:rsidRPr="00B91B1E" w:rsidRDefault="00B91B1E" w:rsidP="00B91B1E">
            <w:pPr>
              <w:rPr>
                <w:rFonts w:ascii="Lucida Bright" w:hAnsi="Lucida Bright" w:cs="Calibri"/>
                <w:b/>
                <w:bCs/>
                <w:color w:val="000000"/>
                <w:sz w:val="14"/>
                <w:szCs w:val="14"/>
                <w:lang w:val="es-ES"/>
              </w:rPr>
            </w:pPr>
            <w:r w:rsidRPr="00B91B1E">
              <w:rPr>
                <w:rFonts w:ascii="Lucida Bright" w:hAnsi="Lucida Bright" w:cs="Calibri"/>
                <w:b/>
                <w:bCs/>
                <w:color w:val="000000"/>
                <w:sz w:val="14"/>
                <w:szCs w:val="14"/>
                <w:lang w:val="es-ES"/>
              </w:rPr>
              <w:t xml:space="preserve">                          Clases                                                                        </w:t>
            </w:r>
          </w:p>
        </w:tc>
        <w:tc>
          <w:tcPr>
            <w:tcW w:w="4158" w:type="dxa"/>
            <w:gridSpan w:val="6"/>
            <w:tcBorders>
              <w:top w:val="single" w:sz="4" w:space="0" w:color="auto"/>
              <w:left w:val="nil"/>
              <w:bottom w:val="single" w:sz="4" w:space="0" w:color="auto"/>
              <w:right w:val="single" w:sz="4" w:space="0" w:color="auto"/>
            </w:tcBorders>
            <w:shd w:val="clear" w:color="000000" w:fill="CCFFCC"/>
            <w:noWrap/>
            <w:vAlign w:val="bottom"/>
            <w:hideMark/>
          </w:tcPr>
          <w:p w:rsidR="00B91B1E" w:rsidRPr="00B91B1E" w:rsidRDefault="00B91B1E" w:rsidP="00B91B1E">
            <w:pPr>
              <w:jc w:val="center"/>
              <w:rPr>
                <w:rFonts w:ascii="Lucida Bright" w:hAnsi="Lucida Bright" w:cs="Calibri"/>
                <w:b/>
                <w:bCs/>
                <w:color w:val="000000"/>
                <w:sz w:val="14"/>
                <w:szCs w:val="14"/>
                <w:lang w:val="es-ES"/>
              </w:rPr>
            </w:pPr>
            <w:r w:rsidRPr="00B91B1E">
              <w:rPr>
                <w:rFonts w:ascii="Lucida Bright" w:hAnsi="Lucida Bright" w:cs="Calibri"/>
                <w:b/>
                <w:bCs/>
                <w:color w:val="000000"/>
                <w:sz w:val="14"/>
                <w:szCs w:val="14"/>
                <w:lang w:val="es-ES"/>
              </w:rPr>
              <w:t>Instrumentos financieros a largo plazo</w:t>
            </w:r>
          </w:p>
        </w:tc>
        <w:tc>
          <w:tcPr>
            <w:tcW w:w="4680" w:type="dxa"/>
            <w:gridSpan w:val="6"/>
            <w:tcBorders>
              <w:top w:val="single" w:sz="4" w:space="0" w:color="auto"/>
              <w:left w:val="nil"/>
              <w:bottom w:val="single" w:sz="4" w:space="0" w:color="auto"/>
              <w:right w:val="single" w:sz="4" w:space="0" w:color="auto"/>
            </w:tcBorders>
            <w:shd w:val="clear" w:color="000000" w:fill="CCFFCC"/>
            <w:noWrap/>
            <w:vAlign w:val="bottom"/>
            <w:hideMark/>
          </w:tcPr>
          <w:p w:rsidR="00B91B1E" w:rsidRPr="00B91B1E" w:rsidRDefault="00B91B1E" w:rsidP="00B91B1E">
            <w:pPr>
              <w:jc w:val="center"/>
              <w:rPr>
                <w:rFonts w:ascii="Lucida Bright" w:hAnsi="Lucida Bright" w:cs="Calibri"/>
                <w:b/>
                <w:bCs/>
                <w:color w:val="000000"/>
                <w:sz w:val="14"/>
                <w:szCs w:val="14"/>
                <w:lang w:val="es-ES"/>
              </w:rPr>
            </w:pPr>
            <w:r w:rsidRPr="00B91B1E">
              <w:rPr>
                <w:rFonts w:ascii="Lucida Bright" w:hAnsi="Lucida Bright" w:cs="Calibri"/>
                <w:b/>
                <w:bCs/>
                <w:color w:val="000000"/>
                <w:sz w:val="14"/>
                <w:szCs w:val="14"/>
                <w:lang w:val="es-ES"/>
              </w:rPr>
              <w:t>Instrumentos financieros a corto plazo</w:t>
            </w:r>
          </w:p>
        </w:tc>
        <w:tc>
          <w:tcPr>
            <w:tcW w:w="2072" w:type="dxa"/>
            <w:gridSpan w:val="2"/>
            <w:vMerge w:val="restart"/>
            <w:tcBorders>
              <w:top w:val="single" w:sz="4" w:space="0" w:color="auto"/>
              <w:left w:val="single" w:sz="4" w:space="0" w:color="auto"/>
              <w:bottom w:val="single" w:sz="4" w:space="0" w:color="000000"/>
              <w:right w:val="single" w:sz="4" w:space="0" w:color="000000"/>
            </w:tcBorders>
            <w:shd w:val="clear" w:color="000000" w:fill="CCFFCC"/>
            <w:vAlign w:val="center"/>
            <w:hideMark/>
          </w:tcPr>
          <w:p w:rsidR="00B91B1E" w:rsidRPr="00B91B1E" w:rsidRDefault="00B91B1E" w:rsidP="00B91B1E">
            <w:pPr>
              <w:jc w:val="center"/>
              <w:rPr>
                <w:rFonts w:ascii="Lucida Bright" w:hAnsi="Lucida Bright" w:cs="Calibri"/>
                <w:b/>
                <w:bCs/>
                <w:color w:val="000000"/>
                <w:sz w:val="14"/>
                <w:szCs w:val="14"/>
                <w:lang w:val="es-ES"/>
              </w:rPr>
            </w:pPr>
            <w:r w:rsidRPr="00B91B1E">
              <w:rPr>
                <w:rFonts w:ascii="Lucida Bright" w:hAnsi="Lucida Bright" w:cs="Calibri"/>
                <w:b/>
                <w:bCs/>
                <w:color w:val="000000"/>
                <w:sz w:val="14"/>
                <w:szCs w:val="14"/>
                <w:lang w:val="es-ES"/>
              </w:rPr>
              <w:t>Total</w:t>
            </w:r>
          </w:p>
        </w:tc>
      </w:tr>
      <w:tr w:rsidR="00B91B1E" w:rsidRPr="00B91B1E" w:rsidTr="00B91B1E">
        <w:trPr>
          <w:trHeight w:val="540"/>
        </w:trPr>
        <w:tc>
          <w:tcPr>
            <w:tcW w:w="2098" w:type="dxa"/>
            <w:tcBorders>
              <w:top w:val="nil"/>
              <w:left w:val="single" w:sz="4" w:space="0" w:color="auto"/>
              <w:bottom w:val="nil"/>
              <w:right w:val="single" w:sz="4" w:space="0" w:color="auto"/>
              <w:tl2br w:val="single" w:sz="4" w:space="0" w:color="auto"/>
            </w:tcBorders>
            <w:shd w:val="clear" w:color="000000" w:fill="CCFFCC"/>
            <w:noWrap/>
            <w:hideMark/>
          </w:tcPr>
          <w:p w:rsidR="00B91B1E" w:rsidRPr="00B91B1E" w:rsidRDefault="00B91B1E" w:rsidP="00B91B1E">
            <w:pPr>
              <w:rPr>
                <w:rFonts w:ascii="Lucida Bright" w:hAnsi="Lucida Bright" w:cs="Calibri"/>
                <w:b/>
                <w:bCs/>
                <w:color w:val="000000"/>
                <w:sz w:val="14"/>
                <w:szCs w:val="14"/>
                <w:lang w:val="es-ES"/>
              </w:rPr>
            </w:pPr>
            <w:r w:rsidRPr="00B91B1E">
              <w:rPr>
                <w:rFonts w:ascii="Lucida Bright" w:hAnsi="Lucida Bright" w:cs="Calibri"/>
                <w:b/>
                <w:bCs/>
                <w:color w:val="000000"/>
                <w:sz w:val="14"/>
                <w:szCs w:val="14"/>
                <w:lang w:val="es-ES"/>
              </w:rPr>
              <w:t> </w:t>
            </w:r>
          </w:p>
        </w:tc>
        <w:tc>
          <w:tcPr>
            <w:tcW w:w="858" w:type="dxa"/>
            <w:gridSpan w:val="2"/>
            <w:tcBorders>
              <w:top w:val="single" w:sz="4" w:space="0" w:color="auto"/>
              <w:left w:val="nil"/>
              <w:bottom w:val="single" w:sz="4" w:space="0" w:color="auto"/>
              <w:right w:val="single" w:sz="4" w:space="0" w:color="000000"/>
            </w:tcBorders>
            <w:shd w:val="clear" w:color="000000" w:fill="CCFFCC"/>
            <w:vAlign w:val="center"/>
            <w:hideMark/>
          </w:tcPr>
          <w:p w:rsidR="00B91B1E" w:rsidRPr="00B91B1E" w:rsidRDefault="00B91B1E" w:rsidP="00B91B1E">
            <w:pPr>
              <w:jc w:val="center"/>
              <w:rPr>
                <w:rFonts w:ascii="Lucida Bright" w:hAnsi="Lucida Bright" w:cs="Calibri"/>
                <w:b/>
                <w:bCs/>
                <w:color w:val="000000"/>
                <w:sz w:val="14"/>
                <w:szCs w:val="14"/>
                <w:lang w:val="es-ES"/>
              </w:rPr>
            </w:pPr>
            <w:r w:rsidRPr="00B91B1E">
              <w:rPr>
                <w:rFonts w:ascii="Lucida Bright" w:hAnsi="Lucida Bright" w:cs="Calibri"/>
                <w:b/>
                <w:bCs/>
                <w:color w:val="000000"/>
                <w:sz w:val="14"/>
                <w:szCs w:val="14"/>
                <w:lang w:val="es-ES"/>
              </w:rPr>
              <w:t>Deudas con entidades de crédito</w:t>
            </w:r>
          </w:p>
        </w:tc>
        <w:tc>
          <w:tcPr>
            <w:tcW w:w="918" w:type="dxa"/>
            <w:gridSpan w:val="2"/>
            <w:tcBorders>
              <w:top w:val="single" w:sz="4" w:space="0" w:color="auto"/>
              <w:left w:val="nil"/>
              <w:bottom w:val="single" w:sz="4" w:space="0" w:color="auto"/>
              <w:right w:val="single" w:sz="4" w:space="0" w:color="auto"/>
            </w:tcBorders>
            <w:shd w:val="clear" w:color="000000" w:fill="CCFFCC"/>
            <w:vAlign w:val="center"/>
            <w:hideMark/>
          </w:tcPr>
          <w:p w:rsidR="00B91B1E" w:rsidRPr="00B91B1E" w:rsidRDefault="00B91B1E" w:rsidP="00B91B1E">
            <w:pPr>
              <w:jc w:val="center"/>
              <w:rPr>
                <w:rFonts w:ascii="Lucida Bright" w:hAnsi="Lucida Bright" w:cs="Calibri"/>
                <w:b/>
                <w:bCs/>
                <w:color w:val="000000"/>
                <w:sz w:val="14"/>
                <w:szCs w:val="14"/>
                <w:lang w:val="es-ES"/>
              </w:rPr>
            </w:pPr>
            <w:r w:rsidRPr="00B91B1E">
              <w:rPr>
                <w:rFonts w:ascii="Lucida Bright" w:hAnsi="Lucida Bright" w:cs="Calibri"/>
                <w:b/>
                <w:bCs/>
                <w:color w:val="000000"/>
                <w:sz w:val="14"/>
                <w:szCs w:val="14"/>
                <w:lang w:val="es-ES"/>
              </w:rPr>
              <w:t>Obligaciones y otros valores negociables</w:t>
            </w:r>
          </w:p>
        </w:tc>
        <w:tc>
          <w:tcPr>
            <w:tcW w:w="2382" w:type="dxa"/>
            <w:gridSpan w:val="2"/>
            <w:tcBorders>
              <w:top w:val="single" w:sz="4" w:space="0" w:color="auto"/>
              <w:left w:val="nil"/>
              <w:bottom w:val="single" w:sz="4" w:space="0" w:color="auto"/>
              <w:right w:val="single" w:sz="4" w:space="0" w:color="auto"/>
            </w:tcBorders>
            <w:shd w:val="clear" w:color="000000" w:fill="CCFFCC"/>
            <w:vAlign w:val="center"/>
            <w:hideMark/>
          </w:tcPr>
          <w:p w:rsidR="00B91B1E" w:rsidRPr="00B91B1E" w:rsidRDefault="00B91B1E" w:rsidP="00B91B1E">
            <w:pPr>
              <w:jc w:val="center"/>
              <w:rPr>
                <w:rFonts w:ascii="Lucida Bright" w:hAnsi="Lucida Bright" w:cs="Calibri"/>
                <w:b/>
                <w:bCs/>
                <w:color w:val="000000"/>
                <w:sz w:val="14"/>
                <w:szCs w:val="14"/>
                <w:lang w:val="es-ES"/>
              </w:rPr>
            </w:pPr>
            <w:r w:rsidRPr="00B91B1E">
              <w:rPr>
                <w:rFonts w:ascii="Lucida Bright" w:hAnsi="Lucida Bright" w:cs="Calibri"/>
                <w:b/>
                <w:bCs/>
                <w:color w:val="000000"/>
                <w:sz w:val="14"/>
                <w:szCs w:val="14"/>
                <w:lang w:val="es-ES"/>
              </w:rPr>
              <w:t>Derivados, Otros</w:t>
            </w:r>
          </w:p>
        </w:tc>
        <w:tc>
          <w:tcPr>
            <w:tcW w:w="1296" w:type="dxa"/>
            <w:gridSpan w:val="2"/>
            <w:tcBorders>
              <w:top w:val="single" w:sz="4" w:space="0" w:color="auto"/>
              <w:left w:val="nil"/>
              <w:bottom w:val="single" w:sz="4" w:space="0" w:color="auto"/>
              <w:right w:val="single" w:sz="4" w:space="0" w:color="000000"/>
            </w:tcBorders>
            <w:shd w:val="clear" w:color="000000" w:fill="CCFFCC"/>
            <w:vAlign w:val="center"/>
            <w:hideMark/>
          </w:tcPr>
          <w:p w:rsidR="00B91B1E" w:rsidRPr="00B91B1E" w:rsidRDefault="00B91B1E" w:rsidP="00B91B1E">
            <w:pPr>
              <w:jc w:val="center"/>
              <w:rPr>
                <w:rFonts w:ascii="Lucida Bright" w:hAnsi="Lucida Bright" w:cs="Calibri"/>
                <w:b/>
                <w:bCs/>
                <w:color w:val="000000"/>
                <w:sz w:val="14"/>
                <w:szCs w:val="14"/>
                <w:lang w:val="es-ES"/>
              </w:rPr>
            </w:pPr>
            <w:r w:rsidRPr="00B91B1E">
              <w:rPr>
                <w:rFonts w:ascii="Lucida Bright" w:hAnsi="Lucida Bright" w:cs="Calibri"/>
                <w:b/>
                <w:bCs/>
                <w:color w:val="000000"/>
                <w:sz w:val="14"/>
                <w:szCs w:val="14"/>
                <w:lang w:val="es-ES"/>
              </w:rPr>
              <w:t>Deudas con entidades de crédito</w:t>
            </w:r>
          </w:p>
        </w:tc>
        <w:tc>
          <w:tcPr>
            <w:tcW w:w="1352" w:type="dxa"/>
            <w:gridSpan w:val="2"/>
            <w:tcBorders>
              <w:top w:val="single" w:sz="4" w:space="0" w:color="auto"/>
              <w:left w:val="nil"/>
              <w:bottom w:val="single" w:sz="4" w:space="0" w:color="auto"/>
              <w:right w:val="single" w:sz="4" w:space="0" w:color="auto"/>
            </w:tcBorders>
            <w:shd w:val="clear" w:color="000000" w:fill="CCFFCC"/>
            <w:vAlign w:val="center"/>
            <w:hideMark/>
          </w:tcPr>
          <w:p w:rsidR="00B91B1E" w:rsidRPr="00B91B1E" w:rsidRDefault="00B91B1E" w:rsidP="00B91B1E">
            <w:pPr>
              <w:jc w:val="center"/>
              <w:rPr>
                <w:rFonts w:ascii="Lucida Bright" w:hAnsi="Lucida Bright" w:cs="Calibri"/>
                <w:b/>
                <w:bCs/>
                <w:color w:val="000000"/>
                <w:sz w:val="14"/>
                <w:szCs w:val="14"/>
                <w:lang w:val="es-ES"/>
              </w:rPr>
            </w:pPr>
            <w:r w:rsidRPr="00B91B1E">
              <w:rPr>
                <w:rFonts w:ascii="Lucida Bright" w:hAnsi="Lucida Bright" w:cs="Calibri"/>
                <w:b/>
                <w:bCs/>
                <w:color w:val="000000"/>
                <w:sz w:val="14"/>
                <w:szCs w:val="14"/>
                <w:lang w:val="es-ES"/>
              </w:rPr>
              <w:t>Obligaciones y otros valores negociables</w:t>
            </w:r>
          </w:p>
        </w:tc>
        <w:tc>
          <w:tcPr>
            <w:tcW w:w="2032" w:type="dxa"/>
            <w:gridSpan w:val="2"/>
            <w:tcBorders>
              <w:top w:val="single" w:sz="4" w:space="0" w:color="auto"/>
              <w:left w:val="nil"/>
              <w:bottom w:val="single" w:sz="4" w:space="0" w:color="auto"/>
              <w:right w:val="single" w:sz="4" w:space="0" w:color="auto"/>
            </w:tcBorders>
            <w:shd w:val="clear" w:color="000000" w:fill="CCFFCC"/>
            <w:vAlign w:val="center"/>
            <w:hideMark/>
          </w:tcPr>
          <w:p w:rsidR="00B91B1E" w:rsidRPr="00B91B1E" w:rsidRDefault="00B91B1E" w:rsidP="00B91B1E">
            <w:pPr>
              <w:jc w:val="center"/>
              <w:rPr>
                <w:rFonts w:ascii="Lucida Bright" w:hAnsi="Lucida Bright" w:cs="Calibri"/>
                <w:b/>
                <w:bCs/>
                <w:color w:val="000000"/>
                <w:sz w:val="14"/>
                <w:szCs w:val="14"/>
                <w:lang w:val="es-ES"/>
              </w:rPr>
            </w:pPr>
            <w:r w:rsidRPr="00B91B1E">
              <w:rPr>
                <w:rFonts w:ascii="Lucida Bright" w:hAnsi="Lucida Bright" w:cs="Calibri"/>
                <w:b/>
                <w:bCs/>
                <w:color w:val="000000"/>
                <w:sz w:val="14"/>
                <w:szCs w:val="14"/>
                <w:lang w:val="es-ES"/>
              </w:rPr>
              <w:t>Derivados Otros</w:t>
            </w:r>
          </w:p>
        </w:tc>
        <w:tc>
          <w:tcPr>
            <w:tcW w:w="2072" w:type="dxa"/>
            <w:gridSpan w:val="2"/>
            <w:vMerge/>
            <w:tcBorders>
              <w:top w:val="single" w:sz="4" w:space="0" w:color="auto"/>
              <w:left w:val="single" w:sz="4" w:space="0" w:color="auto"/>
              <w:bottom w:val="single" w:sz="4" w:space="0" w:color="000000"/>
              <w:right w:val="single" w:sz="4" w:space="0" w:color="000000"/>
            </w:tcBorders>
            <w:vAlign w:val="center"/>
            <w:hideMark/>
          </w:tcPr>
          <w:p w:rsidR="00B91B1E" w:rsidRPr="00B91B1E" w:rsidRDefault="00B91B1E" w:rsidP="00B91B1E">
            <w:pPr>
              <w:rPr>
                <w:rFonts w:ascii="Lucida Bright" w:hAnsi="Lucida Bright" w:cs="Calibri"/>
                <w:b/>
                <w:bCs/>
                <w:color w:val="000000"/>
                <w:sz w:val="14"/>
                <w:szCs w:val="14"/>
                <w:lang w:val="es-ES"/>
              </w:rPr>
            </w:pPr>
          </w:p>
        </w:tc>
      </w:tr>
      <w:tr w:rsidR="00B91B1E" w:rsidRPr="00B91B1E" w:rsidTr="00B91B1E">
        <w:trPr>
          <w:trHeight w:val="225"/>
        </w:trPr>
        <w:tc>
          <w:tcPr>
            <w:tcW w:w="2098" w:type="dxa"/>
            <w:tcBorders>
              <w:top w:val="nil"/>
              <w:left w:val="single" w:sz="4" w:space="0" w:color="auto"/>
              <w:bottom w:val="single" w:sz="4" w:space="0" w:color="auto"/>
              <w:right w:val="single" w:sz="4" w:space="0" w:color="auto"/>
            </w:tcBorders>
            <w:shd w:val="clear" w:color="000000" w:fill="CCFFCC"/>
            <w:noWrap/>
            <w:hideMark/>
          </w:tcPr>
          <w:p w:rsidR="00B91B1E" w:rsidRPr="00B91B1E" w:rsidRDefault="00B91B1E" w:rsidP="00B91B1E">
            <w:pPr>
              <w:rPr>
                <w:rFonts w:ascii="Lucida Bright" w:hAnsi="Lucida Bright" w:cs="Calibri"/>
                <w:b/>
                <w:bCs/>
                <w:color w:val="000000"/>
                <w:sz w:val="14"/>
                <w:szCs w:val="14"/>
                <w:lang w:val="es-ES"/>
              </w:rPr>
            </w:pPr>
            <w:r w:rsidRPr="00B91B1E">
              <w:rPr>
                <w:rFonts w:ascii="Lucida Bright" w:hAnsi="Lucida Bright" w:cs="Calibri"/>
                <w:b/>
                <w:bCs/>
                <w:color w:val="000000"/>
                <w:sz w:val="14"/>
                <w:szCs w:val="14"/>
                <w:lang w:val="es-ES"/>
              </w:rPr>
              <w:t>Categorías</w:t>
            </w:r>
          </w:p>
        </w:tc>
        <w:tc>
          <w:tcPr>
            <w:tcW w:w="429" w:type="dxa"/>
            <w:tcBorders>
              <w:top w:val="nil"/>
              <w:left w:val="nil"/>
              <w:bottom w:val="single" w:sz="4" w:space="0" w:color="auto"/>
              <w:right w:val="single" w:sz="4" w:space="0" w:color="auto"/>
            </w:tcBorders>
            <w:shd w:val="clear" w:color="000000" w:fill="CCFFCC"/>
            <w:noWrap/>
            <w:vAlign w:val="bottom"/>
            <w:hideMark/>
          </w:tcPr>
          <w:p w:rsidR="00B91B1E" w:rsidRPr="00B91B1E" w:rsidRDefault="00B91B1E" w:rsidP="00B91B1E">
            <w:pPr>
              <w:jc w:val="cente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2024</w:t>
            </w:r>
          </w:p>
        </w:tc>
        <w:tc>
          <w:tcPr>
            <w:tcW w:w="429" w:type="dxa"/>
            <w:tcBorders>
              <w:top w:val="nil"/>
              <w:left w:val="nil"/>
              <w:bottom w:val="single" w:sz="4" w:space="0" w:color="auto"/>
              <w:right w:val="single" w:sz="4" w:space="0" w:color="auto"/>
            </w:tcBorders>
            <w:shd w:val="clear" w:color="000000" w:fill="CCFFCC"/>
            <w:noWrap/>
            <w:vAlign w:val="bottom"/>
            <w:hideMark/>
          </w:tcPr>
          <w:p w:rsidR="00B91B1E" w:rsidRPr="00B91B1E" w:rsidRDefault="00B91B1E" w:rsidP="00B91B1E">
            <w:pPr>
              <w:jc w:val="cente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2023</w:t>
            </w:r>
          </w:p>
        </w:tc>
        <w:tc>
          <w:tcPr>
            <w:tcW w:w="459" w:type="dxa"/>
            <w:tcBorders>
              <w:top w:val="nil"/>
              <w:left w:val="nil"/>
              <w:bottom w:val="single" w:sz="4" w:space="0" w:color="auto"/>
              <w:right w:val="single" w:sz="4" w:space="0" w:color="auto"/>
            </w:tcBorders>
            <w:shd w:val="clear" w:color="000000" w:fill="CCFFCC"/>
            <w:noWrap/>
            <w:vAlign w:val="bottom"/>
            <w:hideMark/>
          </w:tcPr>
          <w:p w:rsidR="00B91B1E" w:rsidRPr="00B91B1E" w:rsidRDefault="00B91B1E" w:rsidP="00B91B1E">
            <w:pPr>
              <w:jc w:val="cente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2024</w:t>
            </w:r>
          </w:p>
        </w:tc>
        <w:tc>
          <w:tcPr>
            <w:tcW w:w="459" w:type="dxa"/>
            <w:tcBorders>
              <w:top w:val="nil"/>
              <w:left w:val="nil"/>
              <w:bottom w:val="single" w:sz="4" w:space="0" w:color="auto"/>
              <w:right w:val="single" w:sz="4" w:space="0" w:color="auto"/>
            </w:tcBorders>
            <w:shd w:val="clear" w:color="000000" w:fill="CCFFCC"/>
            <w:noWrap/>
            <w:vAlign w:val="bottom"/>
            <w:hideMark/>
          </w:tcPr>
          <w:p w:rsidR="00B91B1E" w:rsidRPr="00B91B1E" w:rsidRDefault="00B91B1E" w:rsidP="00B91B1E">
            <w:pPr>
              <w:jc w:val="cente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2023</w:t>
            </w:r>
          </w:p>
        </w:tc>
        <w:tc>
          <w:tcPr>
            <w:tcW w:w="1191" w:type="dxa"/>
            <w:tcBorders>
              <w:top w:val="nil"/>
              <w:left w:val="nil"/>
              <w:bottom w:val="single" w:sz="4" w:space="0" w:color="auto"/>
              <w:right w:val="single" w:sz="4" w:space="0" w:color="auto"/>
            </w:tcBorders>
            <w:shd w:val="clear" w:color="000000" w:fill="CCFFCC"/>
            <w:noWrap/>
            <w:vAlign w:val="bottom"/>
            <w:hideMark/>
          </w:tcPr>
          <w:p w:rsidR="00B91B1E" w:rsidRPr="00B91B1E" w:rsidRDefault="00B91B1E" w:rsidP="00B91B1E">
            <w:pPr>
              <w:jc w:val="cente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2024</w:t>
            </w:r>
          </w:p>
        </w:tc>
        <w:tc>
          <w:tcPr>
            <w:tcW w:w="1191" w:type="dxa"/>
            <w:tcBorders>
              <w:top w:val="nil"/>
              <w:left w:val="nil"/>
              <w:bottom w:val="single" w:sz="4" w:space="0" w:color="auto"/>
              <w:right w:val="single" w:sz="4" w:space="0" w:color="auto"/>
            </w:tcBorders>
            <w:shd w:val="clear" w:color="000000" w:fill="CCFFCC"/>
            <w:noWrap/>
            <w:vAlign w:val="bottom"/>
            <w:hideMark/>
          </w:tcPr>
          <w:p w:rsidR="00B91B1E" w:rsidRPr="00B91B1E" w:rsidRDefault="00B91B1E" w:rsidP="00B91B1E">
            <w:pPr>
              <w:jc w:val="cente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2023</w:t>
            </w:r>
          </w:p>
        </w:tc>
        <w:tc>
          <w:tcPr>
            <w:tcW w:w="648" w:type="dxa"/>
            <w:tcBorders>
              <w:top w:val="nil"/>
              <w:left w:val="nil"/>
              <w:bottom w:val="single" w:sz="4" w:space="0" w:color="auto"/>
              <w:right w:val="single" w:sz="4" w:space="0" w:color="auto"/>
            </w:tcBorders>
            <w:shd w:val="clear" w:color="000000" w:fill="CCFFCC"/>
            <w:noWrap/>
            <w:vAlign w:val="bottom"/>
            <w:hideMark/>
          </w:tcPr>
          <w:p w:rsidR="00B91B1E" w:rsidRPr="00B91B1E" w:rsidRDefault="00B91B1E" w:rsidP="00B91B1E">
            <w:pPr>
              <w:jc w:val="cente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2024</w:t>
            </w:r>
          </w:p>
        </w:tc>
        <w:tc>
          <w:tcPr>
            <w:tcW w:w="648" w:type="dxa"/>
            <w:tcBorders>
              <w:top w:val="nil"/>
              <w:left w:val="nil"/>
              <w:bottom w:val="single" w:sz="4" w:space="0" w:color="auto"/>
              <w:right w:val="single" w:sz="4" w:space="0" w:color="auto"/>
            </w:tcBorders>
            <w:shd w:val="clear" w:color="000000" w:fill="CCFFCC"/>
            <w:noWrap/>
            <w:vAlign w:val="bottom"/>
            <w:hideMark/>
          </w:tcPr>
          <w:p w:rsidR="00B91B1E" w:rsidRPr="00B91B1E" w:rsidRDefault="00B91B1E" w:rsidP="00B91B1E">
            <w:pPr>
              <w:jc w:val="cente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2023</w:t>
            </w:r>
          </w:p>
        </w:tc>
        <w:tc>
          <w:tcPr>
            <w:tcW w:w="676" w:type="dxa"/>
            <w:tcBorders>
              <w:top w:val="nil"/>
              <w:left w:val="nil"/>
              <w:bottom w:val="single" w:sz="4" w:space="0" w:color="auto"/>
              <w:right w:val="single" w:sz="4" w:space="0" w:color="auto"/>
            </w:tcBorders>
            <w:shd w:val="clear" w:color="000000" w:fill="CCFFCC"/>
            <w:noWrap/>
            <w:vAlign w:val="bottom"/>
            <w:hideMark/>
          </w:tcPr>
          <w:p w:rsidR="00B91B1E" w:rsidRPr="00B91B1E" w:rsidRDefault="00B91B1E" w:rsidP="00B91B1E">
            <w:pPr>
              <w:jc w:val="cente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2024</w:t>
            </w:r>
          </w:p>
        </w:tc>
        <w:tc>
          <w:tcPr>
            <w:tcW w:w="676" w:type="dxa"/>
            <w:tcBorders>
              <w:top w:val="nil"/>
              <w:left w:val="nil"/>
              <w:bottom w:val="single" w:sz="4" w:space="0" w:color="auto"/>
              <w:right w:val="single" w:sz="4" w:space="0" w:color="auto"/>
            </w:tcBorders>
            <w:shd w:val="clear" w:color="000000" w:fill="CCFFCC"/>
            <w:noWrap/>
            <w:vAlign w:val="bottom"/>
            <w:hideMark/>
          </w:tcPr>
          <w:p w:rsidR="00B91B1E" w:rsidRPr="00B91B1E" w:rsidRDefault="00B91B1E" w:rsidP="00B91B1E">
            <w:pPr>
              <w:jc w:val="cente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2023</w:t>
            </w:r>
          </w:p>
        </w:tc>
        <w:tc>
          <w:tcPr>
            <w:tcW w:w="1016" w:type="dxa"/>
            <w:tcBorders>
              <w:top w:val="nil"/>
              <w:left w:val="nil"/>
              <w:bottom w:val="single" w:sz="4" w:space="0" w:color="auto"/>
              <w:right w:val="single" w:sz="4" w:space="0" w:color="auto"/>
            </w:tcBorders>
            <w:shd w:val="clear" w:color="000000" w:fill="CCFFCC"/>
            <w:noWrap/>
            <w:vAlign w:val="bottom"/>
            <w:hideMark/>
          </w:tcPr>
          <w:p w:rsidR="00B91B1E" w:rsidRPr="00B91B1E" w:rsidRDefault="00B91B1E" w:rsidP="00B91B1E">
            <w:pPr>
              <w:jc w:val="cente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2024</w:t>
            </w:r>
          </w:p>
        </w:tc>
        <w:tc>
          <w:tcPr>
            <w:tcW w:w="1016" w:type="dxa"/>
            <w:tcBorders>
              <w:top w:val="nil"/>
              <w:left w:val="nil"/>
              <w:bottom w:val="single" w:sz="4" w:space="0" w:color="auto"/>
              <w:right w:val="single" w:sz="4" w:space="0" w:color="auto"/>
            </w:tcBorders>
            <w:shd w:val="clear" w:color="000000" w:fill="CCFFCC"/>
            <w:noWrap/>
            <w:vAlign w:val="bottom"/>
            <w:hideMark/>
          </w:tcPr>
          <w:p w:rsidR="00B91B1E" w:rsidRPr="00B91B1E" w:rsidRDefault="00B91B1E" w:rsidP="00B91B1E">
            <w:pPr>
              <w:jc w:val="cente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2023</w:t>
            </w:r>
          </w:p>
        </w:tc>
        <w:tc>
          <w:tcPr>
            <w:tcW w:w="1036" w:type="dxa"/>
            <w:tcBorders>
              <w:top w:val="nil"/>
              <w:left w:val="nil"/>
              <w:bottom w:val="single" w:sz="4" w:space="0" w:color="auto"/>
              <w:right w:val="single" w:sz="4" w:space="0" w:color="auto"/>
            </w:tcBorders>
            <w:shd w:val="clear" w:color="000000" w:fill="CCFFCC"/>
            <w:noWrap/>
            <w:vAlign w:val="bottom"/>
            <w:hideMark/>
          </w:tcPr>
          <w:p w:rsidR="00B91B1E" w:rsidRPr="00B91B1E" w:rsidRDefault="00B91B1E" w:rsidP="00B91B1E">
            <w:pPr>
              <w:jc w:val="cente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2024</w:t>
            </w:r>
          </w:p>
        </w:tc>
        <w:tc>
          <w:tcPr>
            <w:tcW w:w="1036" w:type="dxa"/>
            <w:tcBorders>
              <w:top w:val="nil"/>
              <w:left w:val="nil"/>
              <w:bottom w:val="single" w:sz="4" w:space="0" w:color="auto"/>
              <w:right w:val="single" w:sz="4" w:space="0" w:color="auto"/>
            </w:tcBorders>
            <w:shd w:val="clear" w:color="000000" w:fill="CCFFCC"/>
            <w:noWrap/>
            <w:vAlign w:val="bottom"/>
            <w:hideMark/>
          </w:tcPr>
          <w:p w:rsidR="00B91B1E" w:rsidRPr="00B91B1E" w:rsidRDefault="00B91B1E" w:rsidP="00B91B1E">
            <w:pPr>
              <w:jc w:val="cente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2023</w:t>
            </w:r>
          </w:p>
        </w:tc>
      </w:tr>
      <w:tr w:rsidR="00B91B1E" w:rsidRPr="00B91B1E" w:rsidTr="00B91B1E">
        <w:trPr>
          <w:trHeight w:val="435"/>
        </w:trPr>
        <w:tc>
          <w:tcPr>
            <w:tcW w:w="2098" w:type="dxa"/>
            <w:tcBorders>
              <w:top w:val="nil"/>
              <w:left w:val="single" w:sz="4" w:space="0" w:color="auto"/>
              <w:bottom w:val="single" w:sz="4" w:space="0" w:color="auto"/>
              <w:right w:val="single" w:sz="4" w:space="0" w:color="auto"/>
            </w:tcBorders>
            <w:shd w:val="clear" w:color="auto" w:fill="auto"/>
            <w:vAlign w:val="center"/>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Pasivos financieros a coste amortizado</w:t>
            </w:r>
          </w:p>
        </w:tc>
        <w:tc>
          <w:tcPr>
            <w:tcW w:w="429"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429"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459"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459"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1191"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jc w:val="right"/>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14.028.017,95</w:t>
            </w:r>
          </w:p>
        </w:tc>
        <w:tc>
          <w:tcPr>
            <w:tcW w:w="1191"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jc w:val="right"/>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15.674.119,15</w:t>
            </w:r>
          </w:p>
        </w:tc>
        <w:tc>
          <w:tcPr>
            <w:tcW w:w="648"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648"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676"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676"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1016"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jc w:val="right"/>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10.382.644,29</w:t>
            </w:r>
          </w:p>
        </w:tc>
        <w:tc>
          <w:tcPr>
            <w:tcW w:w="1016"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jc w:val="right"/>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8.850.174,76</w:t>
            </w:r>
          </w:p>
        </w:tc>
        <w:tc>
          <w:tcPr>
            <w:tcW w:w="1036"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jc w:val="right"/>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24.410.662,24</w:t>
            </w:r>
          </w:p>
        </w:tc>
        <w:tc>
          <w:tcPr>
            <w:tcW w:w="1036"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jc w:val="right"/>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24.524.293,91</w:t>
            </w:r>
          </w:p>
        </w:tc>
      </w:tr>
      <w:tr w:rsidR="00B91B1E" w:rsidRPr="00B91B1E" w:rsidTr="00B91B1E">
        <w:trPr>
          <w:trHeight w:val="540"/>
        </w:trPr>
        <w:tc>
          <w:tcPr>
            <w:tcW w:w="2098" w:type="dxa"/>
            <w:tcBorders>
              <w:top w:val="nil"/>
              <w:left w:val="single" w:sz="4" w:space="0" w:color="auto"/>
              <w:bottom w:val="single" w:sz="4" w:space="0" w:color="auto"/>
              <w:right w:val="single" w:sz="4" w:space="0" w:color="auto"/>
            </w:tcBorders>
            <w:shd w:val="clear" w:color="auto" w:fill="auto"/>
            <w:vAlign w:val="center"/>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Pasivos a valor razonable con cambios en pérdidas y ganancias</w:t>
            </w:r>
          </w:p>
        </w:tc>
        <w:tc>
          <w:tcPr>
            <w:tcW w:w="429"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429"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459"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459"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1191"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1191"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648"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648"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676"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676"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1016"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1016"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1036"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1036"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r>
      <w:tr w:rsidR="00B91B1E" w:rsidRPr="00B91B1E" w:rsidTr="00B91B1E">
        <w:trPr>
          <w:trHeight w:val="435"/>
        </w:trPr>
        <w:tc>
          <w:tcPr>
            <w:tcW w:w="2098" w:type="dxa"/>
            <w:tcBorders>
              <w:top w:val="nil"/>
              <w:left w:val="single" w:sz="4" w:space="0" w:color="auto"/>
              <w:bottom w:val="single" w:sz="4" w:space="0" w:color="auto"/>
              <w:right w:val="single" w:sz="4" w:space="0" w:color="auto"/>
            </w:tcBorders>
            <w:shd w:val="clear" w:color="auto" w:fill="auto"/>
            <w:vAlign w:val="center"/>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Derivados de cobertura</w:t>
            </w:r>
          </w:p>
        </w:tc>
        <w:tc>
          <w:tcPr>
            <w:tcW w:w="429"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429"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459"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459"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1191"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1191"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648"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648"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676"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676"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1016"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1016"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1036"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c>
          <w:tcPr>
            <w:tcW w:w="1036" w:type="dxa"/>
            <w:tcBorders>
              <w:top w:val="nil"/>
              <w:left w:val="nil"/>
              <w:bottom w:val="single" w:sz="4" w:space="0" w:color="auto"/>
              <w:right w:val="single" w:sz="4" w:space="0" w:color="auto"/>
            </w:tcBorders>
            <w:shd w:val="clear" w:color="auto" w:fill="auto"/>
            <w:noWrap/>
            <w:vAlign w:val="bottom"/>
            <w:hideMark/>
          </w:tcPr>
          <w:p w:rsidR="00B91B1E" w:rsidRPr="00B91B1E" w:rsidRDefault="00B91B1E" w:rsidP="00B91B1E">
            <w:pPr>
              <w:rPr>
                <w:rFonts w:ascii="Lucida Bright" w:hAnsi="Lucida Bright" w:cs="Calibri"/>
                <w:color w:val="000000"/>
                <w:sz w:val="14"/>
                <w:szCs w:val="14"/>
                <w:lang w:val="es-ES"/>
              </w:rPr>
            </w:pPr>
            <w:r w:rsidRPr="00B91B1E">
              <w:rPr>
                <w:rFonts w:ascii="Lucida Bright" w:hAnsi="Lucida Bright" w:cs="Calibri"/>
                <w:color w:val="000000"/>
                <w:sz w:val="14"/>
                <w:szCs w:val="14"/>
                <w:lang w:val="es-ES"/>
              </w:rPr>
              <w:t> </w:t>
            </w:r>
          </w:p>
        </w:tc>
      </w:tr>
      <w:tr w:rsidR="00B91B1E" w:rsidRPr="008E2E5A" w:rsidTr="00B91B1E">
        <w:trPr>
          <w:trHeight w:val="300"/>
        </w:trPr>
        <w:tc>
          <w:tcPr>
            <w:tcW w:w="2098" w:type="dxa"/>
            <w:tcBorders>
              <w:top w:val="nil"/>
              <w:left w:val="single" w:sz="4" w:space="0" w:color="auto"/>
              <w:bottom w:val="single" w:sz="4" w:space="0" w:color="auto"/>
              <w:right w:val="nil"/>
            </w:tcBorders>
            <w:shd w:val="clear" w:color="auto" w:fill="auto"/>
            <w:vAlign w:val="bottom"/>
            <w:hideMark/>
          </w:tcPr>
          <w:p w:rsidR="00B91B1E" w:rsidRPr="008E2E5A" w:rsidRDefault="00B91B1E" w:rsidP="00B91B1E">
            <w:pPr>
              <w:rPr>
                <w:rFonts w:ascii="Lucida Bright" w:hAnsi="Lucida Bright" w:cs="Calibri"/>
                <w:b/>
                <w:bCs/>
                <w:color w:val="000000"/>
                <w:sz w:val="14"/>
                <w:szCs w:val="14"/>
                <w:lang w:val="es-ES"/>
              </w:rPr>
            </w:pPr>
            <w:r w:rsidRPr="008E2E5A">
              <w:rPr>
                <w:rFonts w:ascii="Lucida Bright" w:hAnsi="Lucida Bright" w:cs="Calibri"/>
                <w:b/>
                <w:bCs/>
                <w:color w:val="000000"/>
                <w:sz w:val="14"/>
                <w:szCs w:val="14"/>
                <w:lang w:val="es-ES"/>
              </w:rPr>
              <w:t>TOTAL</w:t>
            </w:r>
          </w:p>
        </w:tc>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B91B1E" w:rsidRPr="008E2E5A" w:rsidRDefault="00B91B1E" w:rsidP="00B91B1E">
            <w:pPr>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 </w:t>
            </w:r>
          </w:p>
        </w:tc>
        <w:tc>
          <w:tcPr>
            <w:tcW w:w="429" w:type="dxa"/>
            <w:tcBorders>
              <w:top w:val="nil"/>
              <w:left w:val="nil"/>
              <w:bottom w:val="single" w:sz="4" w:space="0" w:color="auto"/>
              <w:right w:val="single" w:sz="4" w:space="0" w:color="auto"/>
            </w:tcBorders>
            <w:shd w:val="clear" w:color="auto" w:fill="auto"/>
            <w:noWrap/>
            <w:vAlign w:val="bottom"/>
            <w:hideMark/>
          </w:tcPr>
          <w:p w:rsidR="00B91B1E" w:rsidRPr="008E2E5A" w:rsidRDefault="00B91B1E" w:rsidP="00B91B1E">
            <w:pPr>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 </w:t>
            </w:r>
          </w:p>
        </w:tc>
        <w:tc>
          <w:tcPr>
            <w:tcW w:w="459" w:type="dxa"/>
            <w:tcBorders>
              <w:top w:val="nil"/>
              <w:left w:val="nil"/>
              <w:bottom w:val="single" w:sz="4" w:space="0" w:color="auto"/>
              <w:right w:val="single" w:sz="4" w:space="0" w:color="auto"/>
            </w:tcBorders>
            <w:shd w:val="clear" w:color="auto" w:fill="auto"/>
            <w:noWrap/>
            <w:vAlign w:val="bottom"/>
            <w:hideMark/>
          </w:tcPr>
          <w:p w:rsidR="00B91B1E" w:rsidRPr="008E2E5A" w:rsidRDefault="00B91B1E" w:rsidP="00B91B1E">
            <w:pPr>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 </w:t>
            </w:r>
          </w:p>
        </w:tc>
        <w:tc>
          <w:tcPr>
            <w:tcW w:w="459" w:type="dxa"/>
            <w:tcBorders>
              <w:top w:val="nil"/>
              <w:left w:val="nil"/>
              <w:bottom w:val="single" w:sz="4" w:space="0" w:color="auto"/>
              <w:right w:val="single" w:sz="4" w:space="0" w:color="auto"/>
            </w:tcBorders>
            <w:shd w:val="clear" w:color="auto" w:fill="auto"/>
            <w:noWrap/>
            <w:vAlign w:val="bottom"/>
            <w:hideMark/>
          </w:tcPr>
          <w:p w:rsidR="00B91B1E" w:rsidRPr="008E2E5A" w:rsidRDefault="00B91B1E" w:rsidP="00B91B1E">
            <w:pPr>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 </w:t>
            </w:r>
          </w:p>
        </w:tc>
        <w:tc>
          <w:tcPr>
            <w:tcW w:w="1191" w:type="dxa"/>
            <w:tcBorders>
              <w:top w:val="nil"/>
              <w:left w:val="nil"/>
              <w:bottom w:val="single" w:sz="4" w:space="0" w:color="auto"/>
              <w:right w:val="single" w:sz="4" w:space="0" w:color="auto"/>
            </w:tcBorders>
            <w:shd w:val="clear" w:color="auto" w:fill="auto"/>
            <w:noWrap/>
            <w:vAlign w:val="bottom"/>
            <w:hideMark/>
          </w:tcPr>
          <w:p w:rsidR="00B91B1E" w:rsidRPr="008E2E5A" w:rsidRDefault="00B91B1E" w:rsidP="00B91B1E">
            <w:pPr>
              <w:jc w:val="right"/>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14.028.017,95</w:t>
            </w:r>
          </w:p>
        </w:tc>
        <w:tc>
          <w:tcPr>
            <w:tcW w:w="1191" w:type="dxa"/>
            <w:tcBorders>
              <w:top w:val="nil"/>
              <w:left w:val="nil"/>
              <w:bottom w:val="single" w:sz="4" w:space="0" w:color="auto"/>
              <w:right w:val="single" w:sz="4" w:space="0" w:color="auto"/>
            </w:tcBorders>
            <w:shd w:val="clear" w:color="auto" w:fill="auto"/>
            <w:noWrap/>
            <w:vAlign w:val="bottom"/>
            <w:hideMark/>
          </w:tcPr>
          <w:p w:rsidR="00B91B1E" w:rsidRPr="008E2E5A" w:rsidRDefault="00B91B1E" w:rsidP="00B91B1E">
            <w:pPr>
              <w:jc w:val="right"/>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15.674.119,15</w:t>
            </w:r>
          </w:p>
        </w:tc>
        <w:tc>
          <w:tcPr>
            <w:tcW w:w="648" w:type="dxa"/>
            <w:tcBorders>
              <w:top w:val="nil"/>
              <w:left w:val="nil"/>
              <w:bottom w:val="single" w:sz="4" w:space="0" w:color="auto"/>
              <w:right w:val="single" w:sz="4" w:space="0" w:color="auto"/>
            </w:tcBorders>
            <w:shd w:val="clear" w:color="auto" w:fill="auto"/>
            <w:noWrap/>
            <w:vAlign w:val="bottom"/>
            <w:hideMark/>
          </w:tcPr>
          <w:p w:rsidR="00B91B1E" w:rsidRPr="008E2E5A" w:rsidRDefault="00B91B1E" w:rsidP="00B91B1E">
            <w:pPr>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 </w:t>
            </w:r>
          </w:p>
        </w:tc>
        <w:tc>
          <w:tcPr>
            <w:tcW w:w="648" w:type="dxa"/>
            <w:tcBorders>
              <w:top w:val="nil"/>
              <w:left w:val="nil"/>
              <w:bottom w:val="single" w:sz="4" w:space="0" w:color="auto"/>
              <w:right w:val="single" w:sz="4" w:space="0" w:color="auto"/>
            </w:tcBorders>
            <w:shd w:val="clear" w:color="auto" w:fill="auto"/>
            <w:noWrap/>
            <w:vAlign w:val="bottom"/>
            <w:hideMark/>
          </w:tcPr>
          <w:p w:rsidR="00B91B1E" w:rsidRPr="008E2E5A" w:rsidRDefault="00B91B1E" w:rsidP="00B91B1E">
            <w:pPr>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 </w:t>
            </w:r>
          </w:p>
        </w:tc>
        <w:tc>
          <w:tcPr>
            <w:tcW w:w="676" w:type="dxa"/>
            <w:tcBorders>
              <w:top w:val="nil"/>
              <w:left w:val="nil"/>
              <w:bottom w:val="single" w:sz="4" w:space="0" w:color="auto"/>
              <w:right w:val="single" w:sz="4" w:space="0" w:color="auto"/>
            </w:tcBorders>
            <w:shd w:val="clear" w:color="auto" w:fill="auto"/>
            <w:noWrap/>
            <w:vAlign w:val="bottom"/>
            <w:hideMark/>
          </w:tcPr>
          <w:p w:rsidR="00B91B1E" w:rsidRPr="008E2E5A" w:rsidRDefault="00B91B1E" w:rsidP="00B91B1E">
            <w:pPr>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 </w:t>
            </w:r>
          </w:p>
        </w:tc>
        <w:tc>
          <w:tcPr>
            <w:tcW w:w="676" w:type="dxa"/>
            <w:tcBorders>
              <w:top w:val="nil"/>
              <w:left w:val="nil"/>
              <w:bottom w:val="single" w:sz="4" w:space="0" w:color="auto"/>
              <w:right w:val="single" w:sz="4" w:space="0" w:color="auto"/>
            </w:tcBorders>
            <w:shd w:val="clear" w:color="auto" w:fill="auto"/>
            <w:noWrap/>
            <w:vAlign w:val="bottom"/>
            <w:hideMark/>
          </w:tcPr>
          <w:p w:rsidR="00B91B1E" w:rsidRPr="008E2E5A" w:rsidRDefault="00B91B1E" w:rsidP="00B91B1E">
            <w:pPr>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 </w:t>
            </w:r>
          </w:p>
        </w:tc>
        <w:tc>
          <w:tcPr>
            <w:tcW w:w="1016" w:type="dxa"/>
            <w:tcBorders>
              <w:top w:val="nil"/>
              <w:left w:val="nil"/>
              <w:bottom w:val="single" w:sz="4" w:space="0" w:color="auto"/>
              <w:right w:val="single" w:sz="4" w:space="0" w:color="auto"/>
            </w:tcBorders>
            <w:shd w:val="clear" w:color="auto" w:fill="auto"/>
            <w:noWrap/>
            <w:vAlign w:val="bottom"/>
            <w:hideMark/>
          </w:tcPr>
          <w:p w:rsidR="00B91B1E" w:rsidRPr="008E2E5A" w:rsidRDefault="00B91B1E" w:rsidP="00B91B1E">
            <w:pPr>
              <w:jc w:val="right"/>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10.382.644,29</w:t>
            </w:r>
          </w:p>
        </w:tc>
        <w:tc>
          <w:tcPr>
            <w:tcW w:w="1016" w:type="dxa"/>
            <w:tcBorders>
              <w:top w:val="nil"/>
              <w:left w:val="nil"/>
              <w:bottom w:val="single" w:sz="4" w:space="0" w:color="auto"/>
              <w:right w:val="single" w:sz="4" w:space="0" w:color="auto"/>
            </w:tcBorders>
            <w:shd w:val="clear" w:color="auto" w:fill="auto"/>
            <w:noWrap/>
            <w:vAlign w:val="bottom"/>
            <w:hideMark/>
          </w:tcPr>
          <w:p w:rsidR="00B91B1E" w:rsidRPr="008E2E5A" w:rsidRDefault="00B91B1E" w:rsidP="00B91B1E">
            <w:pPr>
              <w:jc w:val="right"/>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8.850.174,76</w:t>
            </w:r>
          </w:p>
        </w:tc>
        <w:tc>
          <w:tcPr>
            <w:tcW w:w="1036" w:type="dxa"/>
            <w:tcBorders>
              <w:top w:val="nil"/>
              <w:left w:val="nil"/>
              <w:bottom w:val="single" w:sz="4" w:space="0" w:color="auto"/>
              <w:right w:val="single" w:sz="4" w:space="0" w:color="auto"/>
            </w:tcBorders>
            <w:shd w:val="clear" w:color="auto" w:fill="auto"/>
            <w:noWrap/>
            <w:vAlign w:val="bottom"/>
            <w:hideMark/>
          </w:tcPr>
          <w:p w:rsidR="00B91B1E" w:rsidRPr="008E2E5A" w:rsidRDefault="00B91B1E" w:rsidP="00B91B1E">
            <w:pPr>
              <w:jc w:val="right"/>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24.410.662,24</w:t>
            </w:r>
          </w:p>
        </w:tc>
        <w:tc>
          <w:tcPr>
            <w:tcW w:w="1036" w:type="dxa"/>
            <w:tcBorders>
              <w:top w:val="nil"/>
              <w:left w:val="nil"/>
              <w:bottom w:val="single" w:sz="4" w:space="0" w:color="auto"/>
              <w:right w:val="single" w:sz="4" w:space="0" w:color="auto"/>
            </w:tcBorders>
            <w:shd w:val="clear" w:color="auto" w:fill="auto"/>
            <w:noWrap/>
            <w:vAlign w:val="bottom"/>
            <w:hideMark/>
          </w:tcPr>
          <w:p w:rsidR="00B91B1E" w:rsidRPr="008E2E5A" w:rsidRDefault="00B91B1E" w:rsidP="00B91B1E">
            <w:pPr>
              <w:jc w:val="right"/>
              <w:rPr>
                <w:rFonts w:ascii="Lucida Bright" w:hAnsi="Lucida Bright" w:cs="Calibri"/>
                <w:b/>
                <w:color w:val="000000"/>
                <w:sz w:val="14"/>
                <w:szCs w:val="14"/>
                <w:lang w:val="es-ES"/>
              </w:rPr>
            </w:pPr>
            <w:r w:rsidRPr="008E2E5A">
              <w:rPr>
                <w:rFonts w:ascii="Lucida Bright" w:hAnsi="Lucida Bright" w:cs="Calibri"/>
                <w:b/>
                <w:color w:val="000000"/>
                <w:sz w:val="14"/>
                <w:szCs w:val="14"/>
                <w:lang w:val="es-ES"/>
              </w:rPr>
              <w:t>24.524.293,91</w:t>
            </w:r>
          </w:p>
        </w:tc>
      </w:tr>
    </w:tbl>
    <w:p w:rsidR="00920A02" w:rsidRPr="008E2E5A" w:rsidRDefault="00920A02" w:rsidP="00187A36">
      <w:pPr>
        <w:rPr>
          <w:b/>
          <w:lang w:val="es-ES"/>
        </w:rPr>
      </w:pPr>
    </w:p>
    <w:p w:rsidR="00920A02" w:rsidRPr="00177858" w:rsidRDefault="00920A02" w:rsidP="00187A36">
      <w:pPr>
        <w:rPr>
          <w:lang w:val="es-ES"/>
        </w:rPr>
      </w:pPr>
    </w:p>
    <w:p w:rsidR="00187A36" w:rsidRDefault="00187A36" w:rsidP="00187A36">
      <w:pPr>
        <w:rPr>
          <w:rFonts w:ascii="NewBaskerville" w:hAnsi="NewBaskerville"/>
        </w:rPr>
      </w:pPr>
    </w:p>
    <w:p w:rsidR="00273586" w:rsidRDefault="00273586" w:rsidP="00187A36">
      <w:pPr>
        <w:rPr>
          <w:rFonts w:ascii="NewBaskerville" w:hAnsi="NewBaskerville"/>
        </w:rPr>
      </w:pPr>
    </w:p>
    <w:p w:rsidR="00273586" w:rsidRDefault="00273586" w:rsidP="00187A36">
      <w:pPr>
        <w:rPr>
          <w:rFonts w:ascii="NewBaskerville" w:hAnsi="NewBaskerville"/>
        </w:rPr>
      </w:pPr>
    </w:p>
    <w:p w:rsidR="00273586" w:rsidRDefault="00273586" w:rsidP="00187A36">
      <w:pPr>
        <w:rPr>
          <w:rFonts w:ascii="NewBaskerville" w:hAnsi="NewBaskerville"/>
        </w:rPr>
      </w:pPr>
    </w:p>
    <w:p w:rsidR="00273586" w:rsidRDefault="00273586" w:rsidP="00187A36">
      <w:pPr>
        <w:rPr>
          <w:rFonts w:ascii="NewBaskerville" w:hAnsi="NewBaskerville"/>
        </w:rPr>
      </w:pPr>
    </w:p>
    <w:p w:rsidR="00273586" w:rsidRDefault="00273586" w:rsidP="00187A36">
      <w:pPr>
        <w:rPr>
          <w:rFonts w:ascii="NewBaskerville" w:hAnsi="NewBaskerville"/>
        </w:rPr>
      </w:pPr>
    </w:p>
    <w:p w:rsidR="00273586" w:rsidRDefault="00273586" w:rsidP="00187A36">
      <w:pPr>
        <w:rPr>
          <w:rFonts w:ascii="NewBaskerville" w:hAnsi="NewBaskerville"/>
        </w:rPr>
      </w:pPr>
    </w:p>
    <w:p w:rsidR="00273586" w:rsidRDefault="00273586" w:rsidP="00187A36">
      <w:pPr>
        <w:rPr>
          <w:rFonts w:ascii="NewBaskerville" w:hAnsi="NewBaskerville"/>
        </w:rPr>
      </w:pPr>
    </w:p>
    <w:p w:rsidR="00273586" w:rsidRDefault="00273586" w:rsidP="00187A36">
      <w:pPr>
        <w:rPr>
          <w:rFonts w:ascii="NewBaskerville" w:hAnsi="NewBaskerville"/>
        </w:rPr>
      </w:pPr>
    </w:p>
    <w:p w:rsidR="00273586" w:rsidRDefault="00273586" w:rsidP="00187A36">
      <w:pPr>
        <w:rPr>
          <w:rFonts w:ascii="NewBaskerville" w:hAnsi="NewBaskerville"/>
        </w:rPr>
      </w:pPr>
    </w:p>
    <w:p w:rsidR="00273586" w:rsidRDefault="00273586" w:rsidP="00187A36">
      <w:pPr>
        <w:rPr>
          <w:rFonts w:ascii="NewBaskerville" w:hAnsi="NewBaskerville"/>
        </w:rPr>
      </w:pPr>
    </w:p>
    <w:p w:rsidR="00920A02" w:rsidRDefault="00920A02" w:rsidP="00187A36">
      <w:pPr>
        <w:rPr>
          <w:rFonts w:ascii="NewBaskerville" w:hAnsi="NewBaskerville"/>
        </w:rPr>
      </w:pPr>
    </w:p>
    <w:p w:rsidR="00920A02" w:rsidRDefault="00920A02" w:rsidP="00187A36">
      <w:pPr>
        <w:rPr>
          <w:rFonts w:ascii="NewBaskerville" w:hAnsi="NewBaskerville"/>
        </w:rPr>
        <w:sectPr w:rsidR="00920A02" w:rsidSect="00043B4D">
          <w:pgSz w:w="16840" w:h="11907" w:orient="landscape" w:code="9"/>
          <w:pgMar w:top="1276" w:right="1701" w:bottom="1418" w:left="993" w:header="567" w:footer="720" w:gutter="0"/>
          <w:cols w:space="720"/>
          <w:docGrid w:linePitch="272"/>
        </w:sectPr>
      </w:pPr>
    </w:p>
    <w:p w:rsidR="00187A36" w:rsidRDefault="00F706A9" w:rsidP="00187A36">
      <w:pPr>
        <w:rPr>
          <w:rFonts w:ascii="NewBaskerville" w:hAnsi="NewBaskerville"/>
        </w:rPr>
      </w:pPr>
      <w:r w:rsidRPr="007F67C2">
        <w:rPr>
          <w:rFonts w:ascii="NewBaskerville" w:hAnsi="NewBaskerville"/>
        </w:rPr>
        <w:lastRenderedPageBreak/>
        <w:t>9</w:t>
      </w:r>
      <w:r w:rsidR="00187A36" w:rsidRPr="007F67C2">
        <w:rPr>
          <w:rFonts w:ascii="NewBaskerville" w:hAnsi="NewBaskerville"/>
        </w:rPr>
        <w:t>.1 Activos financieros</w:t>
      </w:r>
    </w:p>
    <w:p w:rsidR="000A40BF" w:rsidRDefault="000A40BF" w:rsidP="00187A36">
      <w:pPr>
        <w:rPr>
          <w:rFonts w:ascii="NewBaskerville" w:hAnsi="NewBaskerville"/>
        </w:rPr>
      </w:pPr>
    </w:p>
    <w:p w:rsidR="000A40BF" w:rsidRDefault="000A40BF" w:rsidP="00187A36">
      <w:pPr>
        <w:rPr>
          <w:rFonts w:ascii="NewBaskerville" w:hAnsi="NewBaskerville"/>
        </w:rPr>
      </w:pPr>
    </w:p>
    <w:p w:rsidR="000A40BF" w:rsidRDefault="000A40BF" w:rsidP="00187A36">
      <w:pPr>
        <w:rPr>
          <w:rFonts w:ascii="NewBaskerville" w:hAnsi="NewBaskerville"/>
        </w:rPr>
      </w:pPr>
    </w:p>
    <w:tbl>
      <w:tblPr>
        <w:tblW w:w="4975" w:type="pct"/>
        <w:tblCellMar>
          <w:left w:w="70" w:type="dxa"/>
          <w:right w:w="70" w:type="dxa"/>
        </w:tblCellMar>
        <w:tblLook w:val="04A0" w:firstRow="1" w:lastRow="0" w:firstColumn="1" w:lastColumn="0" w:noHBand="0" w:noVBand="1"/>
      </w:tblPr>
      <w:tblGrid>
        <w:gridCol w:w="4306"/>
        <w:gridCol w:w="643"/>
        <w:gridCol w:w="643"/>
        <w:gridCol w:w="645"/>
        <w:gridCol w:w="645"/>
        <w:gridCol w:w="1212"/>
        <w:gridCol w:w="1212"/>
      </w:tblGrid>
      <w:tr w:rsidR="000A40BF" w:rsidRPr="000A40BF" w:rsidTr="000A40BF">
        <w:trPr>
          <w:trHeight w:val="178"/>
        </w:trPr>
        <w:tc>
          <w:tcPr>
            <w:tcW w:w="3704" w:type="pct"/>
            <w:gridSpan w:val="5"/>
            <w:tcBorders>
              <w:top w:val="nil"/>
              <w:left w:val="nil"/>
              <w:bottom w:val="single" w:sz="4" w:space="0" w:color="auto"/>
              <w:right w:val="nil"/>
            </w:tcBorders>
            <w:shd w:val="clear" w:color="000000" w:fill="FFFFFF"/>
            <w:noWrap/>
            <w:vAlign w:val="bottom"/>
            <w:hideMark/>
          </w:tcPr>
          <w:p w:rsidR="000A40BF" w:rsidRPr="000A40BF" w:rsidRDefault="000A40BF" w:rsidP="000A40BF">
            <w:pPr>
              <w:rPr>
                <w:rFonts w:ascii="Lucida Bright" w:hAnsi="Lucida Bright" w:cs="Calibri"/>
                <w:b/>
                <w:bCs/>
                <w:sz w:val="18"/>
                <w:szCs w:val="18"/>
                <w:lang w:val="es-ES"/>
              </w:rPr>
            </w:pPr>
            <w:r w:rsidRPr="000A40BF">
              <w:rPr>
                <w:rFonts w:ascii="Lucida Bright" w:hAnsi="Lucida Bright" w:cs="Calibri"/>
                <w:b/>
                <w:bCs/>
                <w:sz w:val="18"/>
                <w:szCs w:val="18"/>
                <w:lang w:val="es-ES"/>
              </w:rPr>
              <w:t xml:space="preserve">CUADRO: CATEGORÍAS DE ACTIVOS FINANCIEROS 2024 </w:t>
            </w:r>
            <w:r w:rsidRPr="000A40BF">
              <w:rPr>
                <w:rFonts w:ascii="Lucida Bright" w:hAnsi="Lucida Bright" w:cs="Calibri"/>
                <w:sz w:val="18"/>
                <w:szCs w:val="18"/>
                <w:lang w:val="es-ES"/>
              </w:rPr>
              <w:t xml:space="preserve"> </w:t>
            </w:r>
            <w:r w:rsidRPr="000A40BF">
              <w:rPr>
                <w:rFonts w:ascii="Lucida Bright" w:hAnsi="Lucida Bright" w:cs="Calibri"/>
                <w:sz w:val="14"/>
                <w:szCs w:val="14"/>
                <w:lang w:val="es-ES"/>
              </w:rPr>
              <w:t>(en euros)</w:t>
            </w:r>
          </w:p>
        </w:tc>
        <w:tc>
          <w:tcPr>
            <w:tcW w:w="648" w:type="pct"/>
            <w:tcBorders>
              <w:top w:val="nil"/>
              <w:left w:val="nil"/>
              <w:bottom w:val="single" w:sz="4" w:space="0" w:color="auto"/>
              <w:right w:val="nil"/>
            </w:tcBorders>
            <w:shd w:val="clear" w:color="000000" w:fill="FFFFFF"/>
            <w:noWrap/>
            <w:vAlign w:val="bottom"/>
            <w:hideMark/>
          </w:tcPr>
          <w:p w:rsidR="000A40BF" w:rsidRPr="000A40BF" w:rsidRDefault="000A40BF" w:rsidP="000A40BF">
            <w:pPr>
              <w:rPr>
                <w:rFonts w:ascii="Lucida Bright" w:hAnsi="Lucida Bright" w:cs="Calibri"/>
                <w:b/>
                <w:bCs/>
                <w:sz w:val="18"/>
                <w:szCs w:val="18"/>
                <w:lang w:val="es-ES"/>
              </w:rPr>
            </w:pPr>
            <w:r w:rsidRPr="000A40BF">
              <w:rPr>
                <w:rFonts w:ascii="Lucida Bright" w:hAnsi="Lucida Bright" w:cs="Calibri"/>
                <w:b/>
                <w:bCs/>
                <w:sz w:val="18"/>
                <w:szCs w:val="18"/>
                <w:lang w:val="es-ES"/>
              </w:rPr>
              <w:t> </w:t>
            </w:r>
          </w:p>
        </w:tc>
        <w:tc>
          <w:tcPr>
            <w:tcW w:w="648" w:type="pct"/>
            <w:tcBorders>
              <w:top w:val="nil"/>
              <w:left w:val="nil"/>
              <w:bottom w:val="nil"/>
              <w:right w:val="nil"/>
            </w:tcBorders>
            <w:shd w:val="clear" w:color="000000" w:fill="FFFFFF"/>
            <w:noWrap/>
            <w:vAlign w:val="bottom"/>
            <w:hideMark/>
          </w:tcPr>
          <w:p w:rsidR="000A40BF" w:rsidRPr="000A40BF" w:rsidRDefault="000A40BF" w:rsidP="000A40BF">
            <w:pPr>
              <w:rPr>
                <w:rFonts w:ascii="Lucida Bright" w:hAnsi="Lucida Bright" w:cs="Calibri"/>
                <w:sz w:val="14"/>
                <w:szCs w:val="14"/>
                <w:lang w:val="es-ES"/>
              </w:rPr>
            </w:pPr>
            <w:r w:rsidRPr="000A40BF">
              <w:rPr>
                <w:rFonts w:ascii="Lucida Bright" w:hAnsi="Lucida Bright" w:cs="Calibri"/>
                <w:sz w:val="14"/>
                <w:szCs w:val="14"/>
                <w:lang w:val="es-ES"/>
              </w:rPr>
              <w:t> </w:t>
            </w:r>
          </w:p>
        </w:tc>
      </w:tr>
      <w:tr w:rsidR="000A40BF" w:rsidRPr="000A40BF" w:rsidTr="000A40BF">
        <w:trPr>
          <w:trHeight w:val="178"/>
        </w:trPr>
        <w:tc>
          <w:tcPr>
            <w:tcW w:w="2315" w:type="pct"/>
            <w:tcBorders>
              <w:top w:val="nil"/>
              <w:left w:val="single" w:sz="4" w:space="0" w:color="auto"/>
              <w:bottom w:val="nil"/>
              <w:right w:val="single" w:sz="4" w:space="0" w:color="auto"/>
            </w:tcBorders>
            <w:shd w:val="clear" w:color="000000" w:fill="CCFFCC"/>
            <w:noWrap/>
            <w:vAlign w:val="center"/>
            <w:hideMark/>
          </w:tcPr>
          <w:p w:rsidR="000A40BF" w:rsidRPr="000A40BF" w:rsidRDefault="000A40BF" w:rsidP="000A40BF">
            <w:pP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 xml:space="preserve">                          Clases                                                                        </w:t>
            </w:r>
          </w:p>
        </w:tc>
        <w:tc>
          <w:tcPr>
            <w:tcW w:w="2685" w:type="pct"/>
            <w:gridSpan w:val="6"/>
            <w:tcBorders>
              <w:top w:val="single" w:sz="4" w:space="0" w:color="auto"/>
              <w:left w:val="nil"/>
              <w:bottom w:val="single" w:sz="4" w:space="0" w:color="auto"/>
              <w:right w:val="single" w:sz="4" w:space="0" w:color="auto"/>
            </w:tcBorders>
            <w:shd w:val="clear" w:color="000000" w:fill="CCFFCC"/>
            <w:noWrap/>
            <w:vAlign w:val="bottom"/>
            <w:hideMark/>
          </w:tcPr>
          <w:p w:rsidR="000A40BF" w:rsidRPr="000A40BF" w:rsidRDefault="000A40BF" w:rsidP="000A40BF">
            <w:pPr>
              <w:jc w:val="cente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Instrumentos financieros a largo plazo</w:t>
            </w:r>
          </w:p>
        </w:tc>
      </w:tr>
      <w:tr w:rsidR="000A40BF" w:rsidRPr="000A40BF" w:rsidTr="000A40BF">
        <w:trPr>
          <w:trHeight w:val="178"/>
        </w:trPr>
        <w:tc>
          <w:tcPr>
            <w:tcW w:w="2315" w:type="pct"/>
            <w:tcBorders>
              <w:top w:val="nil"/>
              <w:left w:val="single" w:sz="4" w:space="0" w:color="auto"/>
              <w:bottom w:val="nil"/>
              <w:right w:val="single" w:sz="4" w:space="0" w:color="auto"/>
              <w:tl2br w:val="single" w:sz="4" w:space="0" w:color="auto"/>
            </w:tcBorders>
            <w:shd w:val="clear" w:color="000000" w:fill="CCFFCC"/>
            <w:noWrap/>
            <w:hideMark/>
          </w:tcPr>
          <w:p w:rsidR="000A40BF" w:rsidRPr="000A40BF" w:rsidRDefault="000A40BF" w:rsidP="000A40BF">
            <w:pP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 </w:t>
            </w:r>
          </w:p>
        </w:tc>
        <w:tc>
          <w:tcPr>
            <w:tcW w:w="694" w:type="pct"/>
            <w:gridSpan w:val="2"/>
            <w:tcBorders>
              <w:top w:val="single" w:sz="4" w:space="0" w:color="auto"/>
              <w:left w:val="nil"/>
              <w:bottom w:val="single" w:sz="4" w:space="0" w:color="auto"/>
              <w:right w:val="single" w:sz="4" w:space="0" w:color="000000"/>
            </w:tcBorders>
            <w:shd w:val="clear" w:color="000000" w:fill="CCFFCC"/>
            <w:vAlign w:val="center"/>
            <w:hideMark/>
          </w:tcPr>
          <w:p w:rsidR="000A40BF" w:rsidRPr="000A40BF" w:rsidRDefault="000A40BF" w:rsidP="000A40BF">
            <w:pPr>
              <w:jc w:val="cente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Instrumentos de patrimonio</w:t>
            </w:r>
          </w:p>
        </w:tc>
        <w:tc>
          <w:tcPr>
            <w:tcW w:w="695" w:type="pct"/>
            <w:gridSpan w:val="2"/>
            <w:tcBorders>
              <w:top w:val="single" w:sz="4" w:space="0" w:color="auto"/>
              <w:left w:val="nil"/>
              <w:bottom w:val="single" w:sz="4" w:space="0" w:color="auto"/>
              <w:right w:val="single" w:sz="4" w:space="0" w:color="auto"/>
            </w:tcBorders>
            <w:shd w:val="clear" w:color="000000" w:fill="CCFFCC"/>
            <w:vAlign w:val="center"/>
            <w:hideMark/>
          </w:tcPr>
          <w:p w:rsidR="000A40BF" w:rsidRPr="000A40BF" w:rsidRDefault="000A40BF" w:rsidP="000A40BF">
            <w:pPr>
              <w:jc w:val="cente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Valores representativos de deuda</w:t>
            </w:r>
          </w:p>
        </w:tc>
        <w:tc>
          <w:tcPr>
            <w:tcW w:w="1296" w:type="pct"/>
            <w:gridSpan w:val="2"/>
            <w:tcBorders>
              <w:top w:val="single" w:sz="4" w:space="0" w:color="auto"/>
              <w:left w:val="nil"/>
              <w:bottom w:val="single" w:sz="4" w:space="0" w:color="auto"/>
              <w:right w:val="single" w:sz="4" w:space="0" w:color="auto"/>
            </w:tcBorders>
            <w:shd w:val="clear" w:color="000000" w:fill="CCFFCC"/>
            <w:vAlign w:val="center"/>
            <w:hideMark/>
          </w:tcPr>
          <w:p w:rsidR="000A40BF" w:rsidRPr="000A40BF" w:rsidRDefault="000A40BF" w:rsidP="000A40BF">
            <w:pPr>
              <w:jc w:val="cente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Créditos Derivados y otros</w:t>
            </w:r>
          </w:p>
        </w:tc>
      </w:tr>
      <w:tr w:rsidR="000A40BF" w:rsidRPr="000A40BF" w:rsidTr="000A40BF">
        <w:trPr>
          <w:trHeight w:val="178"/>
        </w:trPr>
        <w:tc>
          <w:tcPr>
            <w:tcW w:w="2315" w:type="pct"/>
            <w:tcBorders>
              <w:top w:val="nil"/>
              <w:left w:val="single" w:sz="4" w:space="0" w:color="auto"/>
              <w:bottom w:val="single" w:sz="4" w:space="0" w:color="auto"/>
              <w:right w:val="single" w:sz="4" w:space="0" w:color="auto"/>
            </w:tcBorders>
            <w:shd w:val="clear" w:color="000000" w:fill="CCFFCC"/>
            <w:noWrap/>
            <w:hideMark/>
          </w:tcPr>
          <w:p w:rsidR="000A40BF" w:rsidRPr="000A40BF" w:rsidRDefault="000A40BF" w:rsidP="000A40BF">
            <w:pP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Categorías</w:t>
            </w:r>
          </w:p>
        </w:tc>
        <w:tc>
          <w:tcPr>
            <w:tcW w:w="347" w:type="pct"/>
            <w:tcBorders>
              <w:top w:val="nil"/>
              <w:left w:val="nil"/>
              <w:bottom w:val="single" w:sz="4" w:space="0" w:color="auto"/>
              <w:right w:val="single" w:sz="4" w:space="0" w:color="auto"/>
            </w:tcBorders>
            <w:shd w:val="clear" w:color="000000" w:fill="CCFFCC"/>
            <w:noWrap/>
            <w:vAlign w:val="bottom"/>
            <w:hideMark/>
          </w:tcPr>
          <w:p w:rsidR="000A40BF" w:rsidRPr="000A40BF" w:rsidRDefault="000A40BF" w:rsidP="000A40BF">
            <w:pPr>
              <w:jc w:val="cente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2024</w:t>
            </w:r>
          </w:p>
        </w:tc>
        <w:tc>
          <w:tcPr>
            <w:tcW w:w="347" w:type="pct"/>
            <w:tcBorders>
              <w:top w:val="nil"/>
              <w:left w:val="nil"/>
              <w:bottom w:val="single" w:sz="4" w:space="0" w:color="auto"/>
              <w:right w:val="single" w:sz="4" w:space="0" w:color="auto"/>
            </w:tcBorders>
            <w:shd w:val="clear" w:color="000000" w:fill="CCFFCC"/>
            <w:noWrap/>
            <w:vAlign w:val="bottom"/>
            <w:hideMark/>
          </w:tcPr>
          <w:p w:rsidR="000A40BF" w:rsidRPr="000A40BF" w:rsidRDefault="000A40BF" w:rsidP="000A40BF">
            <w:pPr>
              <w:jc w:val="cente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2023</w:t>
            </w:r>
          </w:p>
        </w:tc>
        <w:tc>
          <w:tcPr>
            <w:tcW w:w="348" w:type="pct"/>
            <w:tcBorders>
              <w:top w:val="nil"/>
              <w:left w:val="nil"/>
              <w:bottom w:val="single" w:sz="4" w:space="0" w:color="auto"/>
              <w:right w:val="single" w:sz="4" w:space="0" w:color="auto"/>
            </w:tcBorders>
            <w:shd w:val="clear" w:color="000000" w:fill="CCFFCC"/>
            <w:noWrap/>
            <w:vAlign w:val="bottom"/>
            <w:hideMark/>
          </w:tcPr>
          <w:p w:rsidR="000A40BF" w:rsidRPr="000A40BF" w:rsidRDefault="000A40BF" w:rsidP="000A40BF">
            <w:pPr>
              <w:jc w:val="cente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2024</w:t>
            </w:r>
          </w:p>
        </w:tc>
        <w:tc>
          <w:tcPr>
            <w:tcW w:w="348" w:type="pct"/>
            <w:tcBorders>
              <w:top w:val="nil"/>
              <w:left w:val="nil"/>
              <w:bottom w:val="single" w:sz="4" w:space="0" w:color="auto"/>
              <w:right w:val="single" w:sz="4" w:space="0" w:color="auto"/>
            </w:tcBorders>
            <w:shd w:val="clear" w:color="000000" w:fill="CCFFCC"/>
            <w:noWrap/>
            <w:vAlign w:val="bottom"/>
            <w:hideMark/>
          </w:tcPr>
          <w:p w:rsidR="000A40BF" w:rsidRPr="000A40BF" w:rsidRDefault="000A40BF" w:rsidP="000A40BF">
            <w:pPr>
              <w:jc w:val="cente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2023</w:t>
            </w:r>
          </w:p>
        </w:tc>
        <w:tc>
          <w:tcPr>
            <w:tcW w:w="648" w:type="pct"/>
            <w:tcBorders>
              <w:top w:val="nil"/>
              <w:left w:val="nil"/>
              <w:bottom w:val="single" w:sz="4" w:space="0" w:color="auto"/>
              <w:right w:val="single" w:sz="4" w:space="0" w:color="auto"/>
            </w:tcBorders>
            <w:shd w:val="clear" w:color="000000" w:fill="CCFFCC"/>
            <w:noWrap/>
            <w:vAlign w:val="bottom"/>
            <w:hideMark/>
          </w:tcPr>
          <w:p w:rsidR="000A40BF" w:rsidRPr="000A40BF" w:rsidRDefault="000A40BF" w:rsidP="000A40BF">
            <w:pPr>
              <w:jc w:val="cente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2024</w:t>
            </w:r>
          </w:p>
        </w:tc>
        <w:tc>
          <w:tcPr>
            <w:tcW w:w="648" w:type="pct"/>
            <w:tcBorders>
              <w:top w:val="nil"/>
              <w:left w:val="nil"/>
              <w:bottom w:val="single" w:sz="4" w:space="0" w:color="auto"/>
              <w:right w:val="single" w:sz="4" w:space="0" w:color="auto"/>
            </w:tcBorders>
            <w:shd w:val="clear" w:color="000000" w:fill="CCFFCC"/>
            <w:noWrap/>
            <w:vAlign w:val="bottom"/>
            <w:hideMark/>
          </w:tcPr>
          <w:p w:rsidR="000A40BF" w:rsidRPr="000A40BF" w:rsidRDefault="000A40BF" w:rsidP="000A40BF">
            <w:pPr>
              <w:jc w:val="cente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2023</w:t>
            </w:r>
          </w:p>
        </w:tc>
      </w:tr>
      <w:tr w:rsidR="000A40BF" w:rsidRPr="000A40BF" w:rsidTr="000A40BF">
        <w:trPr>
          <w:trHeight w:val="276"/>
        </w:trPr>
        <w:tc>
          <w:tcPr>
            <w:tcW w:w="2315" w:type="pct"/>
            <w:tcBorders>
              <w:top w:val="nil"/>
              <w:left w:val="single" w:sz="4" w:space="0" w:color="auto"/>
              <w:bottom w:val="single" w:sz="4" w:space="0" w:color="auto"/>
              <w:right w:val="single" w:sz="4" w:space="0" w:color="auto"/>
            </w:tcBorders>
            <w:shd w:val="clear" w:color="auto" w:fill="auto"/>
            <w:vAlign w:val="center"/>
            <w:hideMark/>
          </w:tcPr>
          <w:p w:rsidR="000A40BF" w:rsidRPr="000A40BF" w:rsidRDefault="000A40BF" w:rsidP="000A40BF">
            <w:pP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Activos financieros a coste amortizado</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5.873.236,94</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7.255.378,61</w:t>
            </w:r>
          </w:p>
        </w:tc>
      </w:tr>
      <w:tr w:rsidR="000A40BF" w:rsidRPr="000A40BF" w:rsidTr="000A40BF">
        <w:trPr>
          <w:trHeight w:val="276"/>
        </w:trPr>
        <w:tc>
          <w:tcPr>
            <w:tcW w:w="2315" w:type="pct"/>
            <w:tcBorders>
              <w:top w:val="nil"/>
              <w:left w:val="single" w:sz="4" w:space="0" w:color="auto"/>
              <w:bottom w:val="single" w:sz="4" w:space="0" w:color="auto"/>
              <w:right w:val="single" w:sz="4" w:space="0" w:color="auto"/>
            </w:tcBorders>
            <w:shd w:val="clear" w:color="auto" w:fill="auto"/>
            <w:vAlign w:val="center"/>
            <w:hideMark/>
          </w:tcPr>
          <w:p w:rsidR="000A40BF" w:rsidRPr="000A40BF" w:rsidRDefault="000A40BF" w:rsidP="000A40BF">
            <w:pPr>
              <w:ind w:firstLineChars="100" w:firstLine="140"/>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Inversiones en empresas del grupo y asociadas</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5.091.999,97</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5.419.176,45</w:t>
            </w:r>
          </w:p>
        </w:tc>
      </w:tr>
      <w:tr w:rsidR="000A40BF" w:rsidRPr="000A40BF" w:rsidTr="000A40BF">
        <w:trPr>
          <w:trHeight w:val="276"/>
        </w:trPr>
        <w:tc>
          <w:tcPr>
            <w:tcW w:w="2315" w:type="pct"/>
            <w:tcBorders>
              <w:top w:val="nil"/>
              <w:left w:val="single" w:sz="4" w:space="0" w:color="auto"/>
              <w:bottom w:val="single" w:sz="4" w:space="0" w:color="auto"/>
              <w:right w:val="nil"/>
            </w:tcBorders>
            <w:shd w:val="clear" w:color="000000" w:fill="FFFFFF"/>
            <w:noWrap/>
            <w:vAlign w:val="center"/>
            <w:hideMark/>
          </w:tcPr>
          <w:p w:rsidR="000A40BF" w:rsidRPr="000A40BF" w:rsidRDefault="000A40BF" w:rsidP="000A40BF">
            <w:pPr>
              <w:ind w:firstLineChars="200" w:firstLine="280"/>
              <w:rPr>
                <w:rFonts w:ascii="Lucida Bright" w:hAnsi="Lucida Bright" w:cs="Calibri"/>
                <w:i/>
                <w:iCs/>
                <w:sz w:val="14"/>
                <w:szCs w:val="14"/>
                <w:lang w:val="es-ES"/>
              </w:rPr>
            </w:pPr>
            <w:r w:rsidRPr="000A40BF">
              <w:rPr>
                <w:rFonts w:ascii="Lucida Bright" w:hAnsi="Lucida Bright" w:cs="Calibri"/>
                <w:i/>
                <w:iCs/>
                <w:sz w:val="14"/>
                <w:szCs w:val="14"/>
                <w:lang w:val="es-ES"/>
              </w:rPr>
              <w:t xml:space="preserve">  Instrumentos de patrimonio</w:t>
            </w:r>
          </w:p>
        </w:tc>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0A40BF" w:rsidRPr="000A40BF" w:rsidRDefault="000A40BF" w:rsidP="000A40BF">
            <w:pPr>
              <w:rPr>
                <w:rFonts w:ascii="Lucida Bright" w:hAnsi="Lucida Bright" w:cs="Calibri"/>
                <w:sz w:val="14"/>
                <w:szCs w:val="14"/>
                <w:lang w:val="es-ES"/>
              </w:rPr>
            </w:pPr>
            <w:r w:rsidRPr="000A40BF">
              <w:rPr>
                <w:rFonts w:ascii="Lucida Bright" w:hAnsi="Lucida Bright" w:cs="Calibri"/>
                <w:sz w:val="14"/>
                <w:szCs w:val="14"/>
                <w:lang w:val="es-ES"/>
              </w:rPr>
              <w:t> </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r>
      <w:tr w:rsidR="000A40BF" w:rsidRPr="000A40BF" w:rsidTr="000A40BF">
        <w:trPr>
          <w:trHeight w:val="276"/>
        </w:trPr>
        <w:tc>
          <w:tcPr>
            <w:tcW w:w="2315" w:type="pct"/>
            <w:tcBorders>
              <w:top w:val="nil"/>
              <w:left w:val="single" w:sz="4" w:space="0" w:color="auto"/>
              <w:bottom w:val="single" w:sz="4" w:space="0" w:color="auto"/>
              <w:right w:val="nil"/>
            </w:tcBorders>
            <w:shd w:val="clear" w:color="000000" w:fill="FFFFFF"/>
            <w:noWrap/>
            <w:vAlign w:val="center"/>
            <w:hideMark/>
          </w:tcPr>
          <w:p w:rsidR="000A40BF" w:rsidRPr="000A40BF" w:rsidRDefault="000A40BF" w:rsidP="000A40BF">
            <w:pPr>
              <w:ind w:firstLineChars="200" w:firstLine="280"/>
              <w:rPr>
                <w:rFonts w:ascii="Lucida Bright" w:hAnsi="Lucida Bright" w:cs="Calibri"/>
                <w:i/>
                <w:iCs/>
                <w:sz w:val="14"/>
                <w:szCs w:val="14"/>
                <w:lang w:val="es-ES"/>
              </w:rPr>
            </w:pPr>
            <w:r w:rsidRPr="000A40BF">
              <w:rPr>
                <w:rFonts w:ascii="Lucida Bright" w:hAnsi="Lucida Bright" w:cs="Calibri"/>
                <w:i/>
                <w:iCs/>
                <w:sz w:val="14"/>
                <w:szCs w:val="14"/>
                <w:lang w:val="es-ES"/>
              </w:rPr>
              <w:t xml:space="preserve">  Créditos a empresas</w:t>
            </w:r>
          </w:p>
        </w:tc>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0A40BF" w:rsidRPr="000A40BF" w:rsidRDefault="000A40BF" w:rsidP="000A40BF">
            <w:pPr>
              <w:rPr>
                <w:rFonts w:ascii="Lucida Bright" w:hAnsi="Lucida Bright" w:cs="Calibri"/>
                <w:sz w:val="14"/>
                <w:szCs w:val="14"/>
                <w:lang w:val="es-ES"/>
              </w:rPr>
            </w:pPr>
            <w:r w:rsidRPr="000A40BF">
              <w:rPr>
                <w:rFonts w:ascii="Lucida Bright" w:hAnsi="Lucida Bright" w:cs="Calibri"/>
                <w:sz w:val="14"/>
                <w:szCs w:val="14"/>
                <w:lang w:val="es-ES"/>
              </w:rPr>
              <w:t> </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5.091.999,97</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5.419.176,45</w:t>
            </w:r>
          </w:p>
        </w:tc>
      </w:tr>
      <w:tr w:rsidR="000A40BF" w:rsidRPr="000A40BF" w:rsidTr="000A40BF">
        <w:trPr>
          <w:trHeight w:val="276"/>
        </w:trPr>
        <w:tc>
          <w:tcPr>
            <w:tcW w:w="2315" w:type="pct"/>
            <w:tcBorders>
              <w:top w:val="nil"/>
              <w:left w:val="single" w:sz="4" w:space="0" w:color="auto"/>
              <w:bottom w:val="single" w:sz="4" w:space="0" w:color="auto"/>
              <w:right w:val="single" w:sz="4" w:space="0" w:color="auto"/>
            </w:tcBorders>
            <w:shd w:val="clear" w:color="auto" w:fill="auto"/>
            <w:vAlign w:val="center"/>
            <w:hideMark/>
          </w:tcPr>
          <w:p w:rsidR="000A40BF" w:rsidRPr="000A40BF" w:rsidRDefault="000A40BF" w:rsidP="000A40BF">
            <w:pPr>
              <w:ind w:firstLineChars="100" w:firstLine="140"/>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Inversiones financieras a largo plazo</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781.236,97</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1.836.202,16</w:t>
            </w:r>
          </w:p>
        </w:tc>
      </w:tr>
      <w:tr w:rsidR="000A40BF" w:rsidRPr="000A40BF" w:rsidTr="000A40BF">
        <w:trPr>
          <w:trHeight w:val="276"/>
        </w:trPr>
        <w:tc>
          <w:tcPr>
            <w:tcW w:w="2315" w:type="pct"/>
            <w:tcBorders>
              <w:top w:val="nil"/>
              <w:left w:val="single" w:sz="4" w:space="0" w:color="auto"/>
              <w:bottom w:val="single" w:sz="4" w:space="0" w:color="auto"/>
              <w:right w:val="nil"/>
            </w:tcBorders>
            <w:shd w:val="clear" w:color="000000" w:fill="FFFFFF"/>
            <w:noWrap/>
            <w:vAlign w:val="center"/>
            <w:hideMark/>
          </w:tcPr>
          <w:p w:rsidR="000A40BF" w:rsidRPr="000A40BF" w:rsidRDefault="000A40BF" w:rsidP="000A40BF">
            <w:pPr>
              <w:ind w:firstLineChars="200" w:firstLine="280"/>
              <w:rPr>
                <w:rFonts w:ascii="Lucida Bright" w:hAnsi="Lucida Bright" w:cs="Calibri"/>
                <w:i/>
                <w:iCs/>
                <w:sz w:val="14"/>
                <w:szCs w:val="14"/>
                <w:lang w:val="es-ES"/>
              </w:rPr>
            </w:pPr>
            <w:r w:rsidRPr="000A40BF">
              <w:rPr>
                <w:rFonts w:ascii="Lucida Bright" w:hAnsi="Lucida Bright" w:cs="Calibri"/>
                <w:i/>
                <w:iCs/>
                <w:sz w:val="14"/>
                <w:szCs w:val="14"/>
                <w:lang w:val="es-ES"/>
              </w:rPr>
              <w:t xml:space="preserve">  Instrumentos de patrimonio</w:t>
            </w:r>
          </w:p>
        </w:tc>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0A40BF" w:rsidRPr="000A40BF" w:rsidRDefault="000A40BF" w:rsidP="000A40BF">
            <w:pPr>
              <w:rPr>
                <w:rFonts w:ascii="Lucida Bright" w:hAnsi="Lucida Bright" w:cs="Calibri"/>
                <w:sz w:val="14"/>
                <w:szCs w:val="14"/>
                <w:lang w:val="es-ES"/>
              </w:rPr>
            </w:pPr>
            <w:r w:rsidRPr="000A40BF">
              <w:rPr>
                <w:rFonts w:ascii="Lucida Bright" w:hAnsi="Lucida Bright" w:cs="Calibri"/>
                <w:sz w:val="14"/>
                <w:szCs w:val="14"/>
                <w:lang w:val="es-ES"/>
              </w:rPr>
              <w:t> </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r>
      <w:tr w:rsidR="000A40BF" w:rsidRPr="000A40BF" w:rsidTr="000A40BF">
        <w:trPr>
          <w:trHeight w:val="276"/>
        </w:trPr>
        <w:tc>
          <w:tcPr>
            <w:tcW w:w="2315" w:type="pct"/>
            <w:tcBorders>
              <w:top w:val="nil"/>
              <w:left w:val="single" w:sz="4" w:space="0" w:color="auto"/>
              <w:bottom w:val="single" w:sz="4" w:space="0" w:color="auto"/>
              <w:right w:val="nil"/>
            </w:tcBorders>
            <w:shd w:val="clear" w:color="000000" w:fill="FFFFFF"/>
            <w:noWrap/>
            <w:vAlign w:val="center"/>
            <w:hideMark/>
          </w:tcPr>
          <w:p w:rsidR="000A40BF" w:rsidRPr="000A40BF" w:rsidRDefault="000A40BF" w:rsidP="000A40BF">
            <w:pPr>
              <w:ind w:firstLineChars="200" w:firstLine="280"/>
              <w:rPr>
                <w:rFonts w:ascii="Lucida Bright" w:hAnsi="Lucida Bright" w:cs="Calibri"/>
                <w:i/>
                <w:iCs/>
                <w:sz w:val="14"/>
                <w:szCs w:val="14"/>
                <w:lang w:val="es-ES"/>
              </w:rPr>
            </w:pPr>
            <w:r w:rsidRPr="000A40BF">
              <w:rPr>
                <w:rFonts w:ascii="Lucida Bright" w:hAnsi="Lucida Bright" w:cs="Calibri"/>
                <w:i/>
                <w:iCs/>
                <w:sz w:val="14"/>
                <w:szCs w:val="14"/>
                <w:lang w:val="es-ES"/>
              </w:rPr>
              <w:t xml:space="preserve">  Créditos a empresas</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781.236,97</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591.764,16</w:t>
            </w:r>
          </w:p>
        </w:tc>
      </w:tr>
      <w:tr w:rsidR="000A40BF" w:rsidRPr="000A40BF" w:rsidTr="000A40BF">
        <w:trPr>
          <w:trHeight w:val="347"/>
        </w:trPr>
        <w:tc>
          <w:tcPr>
            <w:tcW w:w="2315" w:type="pct"/>
            <w:tcBorders>
              <w:top w:val="nil"/>
              <w:left w:val="single" w:sz="4" w:space="0" w:color="auto"/>
              <w:bottom w:val="single" w:sz="4" w:space="0" w:color="auto"/>
              <w:right w:val="nil"/>
            </w:tcBorders>
            <w:shd w:val="clear" w:color="000000" w:fill="FFFFFF"/>
            <w:vAlign w:val="center"/>
            <w:hideMark/>
          </w:tcPr>
          <w:p w:rsidR="000A40BF" w:rsidRPr="000A40BF" w:rsidRDefault="000A40BF" w:rsidP="000A40BF">
            <w:pPr>
              <w:ind w:firstLineChars="200" w:firstLine="280"/>
              <w:rPr>
                <w:rFonts w:ascii="Lucida Bright" w:hAnsi="Lucida Bright" w:cs="Calibri"/>
                <w:i/>
                <w:iCs/>
                <w:sz w:val="14"/>
                <w:szCs w:val="14"/>
                <w:lang w:val="es-ES"/>
              </w:rPr>
            </w:pPr>
            <w:r w:rsidRPr="000A40BF">
              <w:rPr>
                <w:rFonts w:ascii="Lucida Bright" w:hAnsi="Lucida Bright" w:cs="Calibri"/>
                <w:i/>
                <w:iCs/>
                <w:sz w:val="14"/>
                <w:szCs w:val="14"/>
                <w:lang w:val="es-ES"/>
              </w:rPr>
              <w:t xml:space="preserve">  Adm. Públ., subvenciones oficiales pendientes de cobro a </w:t>
            </w:r>
            <w:r>
              <w:rPr>
                <w:rFonts w:ascii="Lucida Bright" w:hAnsi="Lucida Bright" w:cs="Calibri"/>
                <w:i/>
                <w:iCs/>
                <w:sz w:val="14"/>
                <w:szCs w:val="14"/>
                <w:lang w:val="es-ES"/>
              </w:rPr>
              <w:t xml:space="preserve">   </w:t>
            </w:r>
            <w:r w:rsidRPr="000A40BF">
              <w:rPr>
                <w:rFonts w:ascii="Lucida Bright" w:hAnsi="Lucida Bright" w:cs="Calibri"/>
                <w:i/>
                <w:iCs/>
                <w:sz w:val="14"/>
                <w:szCs w:val="14"/>
                <w:lang w:val="es-ES"/>
              </w:rPr>
              <w:t>l.p.</w:t>
            </w:r>
          </w:p>
        </w:tc>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0A40BF" w:rsidRPr="000A40BF" w:rsidRDefault="000A40BF" w:rsidP="000A40BF">
            <w:pPr>
              <w:rPr>
                <w:rFonts w:ascii="Lucida Bright" w:hAnsi="Lucida Bright" w:cs="Calibri"/>
                <w:sz w:val="14"/>
                <w:szCs w:val="14"/>
                <w:lang w:val="es-ES"/>
              </w:rPr>
            </w:pPr>
            <w:r w:rsidRPr="000A40BF">
              <w:rPr>
                <w:rFonts w:ascii="Lucida Bright" w:hAnsi="Lucida Bright" w:cs="Calibri"/>
                <w:sz w:val="14"/>
                <w:szCs w:val="14"/>
                <w:lang w:val="es-ES"/>
              </w:rPr>
              <w:t> </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r>
      <w:tr w:rsidR="000A40BF" w:rsidRPr="000A40BF" w:rsidTr="000A40BF">
        <w:trPr>
          <w:trHeight w:val="276"/>
        </w:trPr>
        <w:tc>
          <w:tcPr>
            <w:tcW w:w="2315" w:type="pct"/>
            <w:tcBorders>
              <w:top w:val="nil"/>
              <w:left w:val="single" w:sz="4" w:space="0" w:color="auto"/>
              <w:bottom w:val="single" w:sz="4" w:space="0" w:color="auto"/>
              <w:right w:val="single" w:sz="4" w:space="0" w:color="auto"/>
            </w:tcBorders>
            <w:shd w:val="clear" w:color="000000" w:fill="FFFFFF"/>
            <w:noWrap/>
            <w:vAlign w:val="center"/>
            <w:hideMark/>
          </w:tcPr>
          <w:p w:rsidR="000A40BF" w:rsidRPr="000A40BF" w:rsidRDefault="000A40BF" w:rsidP="000A40BF">
            <w:pPr>
              <w:ind w:firstLineChars="200" w:firstLine="280"/>
              <w:rPr>
                <w:rFonts w:ascii="Lucida Bright" w:hAnsi="Lucida Bright" w:cs="Calibri"/>
                <w:i/>
                <w:iCs/>
                <w:sz w:val="14"/>
                <w:szCs w:val="14"/>
                <w:lang w:val="es-ES"/>
              </w:rPr>
            </w:pPr>
            <w:r w:rsidRPr="000A40BF">
              <w:rPr>
                <w:rFonts w:ascii="Lucida Bright" w:hAnsi="Lucida Bright" w:cs="Calibri"/>
                <w:i/>
                <w:iCs/>
                <w:sz w:val="14"/>
                <w:szCs w:val="14"/>
                <w:lang w:val="es-ES"/>
              </w:rPr>
              <w:t xml:space="preserve">  Otros activos financieros</w:t>
            </w:r>
          </w:p>
        </w:tc>
        <w:tc>
          <w:tcPr>
            <w:tcW w:w="347" w:type="pct"/>
            <w:tcBorders>
              <w:top w:val="nil"/>
              <w:left w:val="nil"/>
              <w:bottom w:val="single" w:sz="4" w:space="0" w:color="auto"/>
              <w:right w:val="single" w:sz="4" w:space="0" w:color="auto"/>
            </w:tcBorders>
            <w:shd w:val="clear" w:color="000000" w:fill="FFFFFF"/>
            <w:noWrap/>
            <w:vAlign w:val="center"/>
            <w:hideMark/>
          </w:tcPr>
          <w:p w:rsidR="000A40BF" w:rsidRPr="000A40BF" w:rsidRDefault="000A40BF" w:rsidP="000A40BF">
            <w:pPr>
              <w:rPr>
                <w:rFonts w:ascii="Lucida Bright" w:hAnsi="Lucida Bright" w:cs="Calibri"/>
                <w:sz w:val="14"/>
                <w:szCs w:val="14"/>
                <w:lang w:val="es-ES"/>
              </w:rPr>
            </w:pPr>
            <w:r w:rsidRPr="000A40BF">
              <w:rPr>
                <w:rFonts w:ascii="Lucida Bright" w:hAnsi="Lucida Bright" w:cs="Calibri"/>
                <w:sz w:val="14"/>
                <w:szCs w:val="14"/>
                <w:lang w:val="es-ES"/>
              </w:rPr>
              <w:t> </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1.244.438,00</w:t>
            </w:r>
          </w:p>
        </w:tc>
      </w:tr>
      <w:tr w:rsidR="000A40BF" w:rsidRPr="000A40BF" w:rsidTr="000A40BF">
        <w:trPr>
          <w:trHeight w:val="391"/>
        </w:trPr>
        <w:tc>
          <w:tcPr>
            <w:tcW w:w="2315" w:type="pct"/>
            <w:tcBorders>
              <w:top w:val="nil"/>
              <w:left w:val="single" w:sz="4" w:space="0" w:color="auto"/>
              <w:bottom w:val="single" w:sz="4" w:space="0" w:color="auto"/>
              <w:right w:val="nil"/>
            </w:tcBorders>
            <w:shd w:val="clear" w:color="auto" w:fill="auto"/>
            <w:vAlign w:val="center"/>
            <w:hideMark/>
          </w:tcPr>
          <w:p w:rsidR="000A40BF" w:rsidRPr="000A40BF" w:rsidRDefault="000A40BF" w:rsidP="000A40BF">
            <w:pP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TOTAL ACTIVOS FINANCIEROS A LARGO PLAZO</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 </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5.873.236,94</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7.255.378,61</w:t>
            </w:r>
          </w:p>
        </w:tc>
      </w:tr>
      <w:tr w:rsidR="000A40BF" w:rsidRPr="000A40BF" w:rsidTr="000A40BF">
        <w:trPr>
          <w:trHeight w:val="178"/>
        </w:trPr>
        <w:tc>
          <w:tcPr>
            <w:tcW w:w="2315" w:type="pct"/>
            <w:tcBorders>
              <w:top w:val="nil"/>
              <w:left w:val="single" w:sz="4" w:space="0" w:color="auto"/>
              <w:bottom w:val="nil"/>
              <w:right w:val="single" w:sz="4" w:space="0" w:color="auto"/>
            </w:tcBorders>
            <w:shd w:val="clear" w:color="000000" w:fill="CCFFCC"/>
            <w:noWrap/>
            <w:vAlign w:val="center"/>
            <w:hideMark/>
          </w:tcPr>
          <w:p w:rsidR="000A40BF" w:rsidRPr="000A40BF" w:rsidRDefault="000A40BF" w:rsidP="000A40BF">
            <w:pP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 xml:space="preserve">                          Clases                                                                        </w:t>
            </w:r>
          </w:p>
        </w:tc>
        <w:tc>
          <w:tcPr>
            <w:tcW w:w="2685" w:type="pct"/>
            <w:gridSpan w:val="6"/>
            <w:tcBorders>
              <w:top w:val="single" w:sz="4" w:space="0" w:color="auto"/>
              <w:left w:val="nil"/>
              <w:bottom w:val="single" w:sz="4" w:space="0" w:color="auto"/>
              <w:right w:val="single" w:sz="4" w:space="0" w:color="auto"/>
            </w:tcBorders>
            <w:shd w:val="clear" w:color="000000" w:fill="CCFFCC"/>
            <w:noWrap/>
            <w:vAlign w:val="bottom"/>
            <w:hideMark/>
          </w:tcPr>
          <w:p w:rsidR="000A40BF" w:rsidRPr="000A40BF" w:rsidRDefault="000A40BF" w:rsidP="000A40BF">
            <w:pPr>
              <w:jc w:val="cente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Instrumentos financieros a corto plazo</w:t>
            </w:r>
          </w:p>
        </w:tc>
      </w:tr>
      <w:tr w:rsidR="000A40BF" w:rsidRPr="000A40BF" w:rsidTr="000A40BF">
        <w:trPr>
          <w:trHeight w:val="178"/>
        </w:trPr>
        <w:tc>
          <w:tcPr>
            <w:tcW w:w="2315" w:type="pct"/>
            <w:tcBorders>
              <w:top w:val="nil"/>
              <w:left w:val="single" w:sz="4" w:space="0" w:color="auto"/>
              <w:bottom w:val="nil"/>
              <w:right w:val="single" w:sz="4" w:space="0" w:color="auto"/>
              <w:tl2br w:val="single" w:sz="4" w:space="0" w:color="auto"/>
            </w:tcBorders>
            <w:shd w:val="clear" w:color="000000" w:fill="CCFFCC"/>
            <w:noWrap/>
            <w:hideMark/>
          </w:tcPr>
          <w:p w:rsidR="000A40BF" w:rsidRPr="000A40BF" w:rsidRDefault="000A40BF" w:rsidP="000A40BF">
            <w:pP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 </w:t>
            </w:r>
          </w:p>
        </w:tc>
        <w:tc>
          <w:tcPr>
            <w:tcW w:w="694" w:type="pct"/>
            <w:gridSpan w:val="2"/>
            <w:tcBorders>
              <w:top w:val="single" w:sz="4" w:space="0" w:color="auto"/>
              <w:left w:val="nil"/>
              <w:bottom w:val="single" w:sz="4" w:space="0" w:color="auto"/>
              <w:right w:val="single" w:sz="4" w:space="0" w:color="000000"/>
            </w:tcBorders>
            <w:shd w:val="clear" w:color="000000" w:fill="CCFFCC"/>
            <w:vAlign w:val="center"/>
            <w:hideMark/>
          </w:tcPr>
          <w:p w:rsidR="000A40BF" w:rsidRPr="000A40BF" w:rsidRDefault="000A40BF" w:rsidP="000A40BF">
            <w:pPr>
              <w:jc w:val="cente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Instrumentos de patrimonio</w:t>
            </w:r>
          </w:p>
        </w:tc>
        <w:tc>
          <w:tcPr>
            <w:tcW w:w="695" w:type="pct"/>
            <w:gridSpan w:val="2"/>
            <w:tcBorders>
              <w:top w:val="single" w:sz="4" w:space="0" w:color="auto"/>
              <w:left w:val="nil"/>
              <w:bottom w:val="single" w:sz="4" w:space="0" w:color="auto"/>
              <w:right w:val="single" w:sz="4" w:space="0" w:color="auto"/>
            </w:tcBorders>
            <w:shd w:val="clear" w:color="000000" w:fill="CCFFCC"/>
            <w:vAlign w:val="center"/>
            <w:hideMark/>
          </w:tcPr>
          <w:p w:rsidR="000A40BF" w:rsidRPr="000A40BF" w:rsidRDefault="000A40BF" w:rsidP="000A40BF">
            <w:pPr>
              <w:jc w:val="cente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Valores representativos de deuda</w:t>
            </w:r>
          </w:p>
        </w:tc>
        <w:tc>
          <w:tcPr>
            <w:tcW w:w="1296" w:type="pct"/>
            <w:gridSpan w:val="2"/>
            <w:tcBorders>
              <w:top w:val="single" w:sz="4" w:space="0" w:color="auto"/>
              <w:left w:val="nil"/>
              <w:bottom w:val="single" w:sz="4" w:space="0" w:color="auto"/>
              <w:right w:val="single" w:sz="4" w:space="0" w:color="auto"/>
            </w:tcBorders>
            <w:shd w:val="clear" w:color="000000" w:fill="CCFFCC"/>
            <w:vAlign w:val="center"/>
            <w:hideMark/>
          </w:tcPr>
          <w:p w:rsidR="000A40BF" w:rsidRPr="000A40BF" w:rsidRDefault="000A40BF" w:rsidP="000A40BF">
            <w:pPr>
              <w:jc w:val="cente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Créditos Derivados y otros</w:t>
            </w:r>
          </w:p>
        </w:tc>
      </w:tr>
      <w:tr w:rsidR="000A40BF" w:rsidRPr="000A40BF" w:rsidTr="000A40BF">
        <w:trPr>
          <w:trHeight w:val="178"/>
        </w:trPr>
        <w:tc>
          <w:tcPr>
            <w:tcW w:w="2315" w:type="pct"/>
            <w:tcBorders>
              <w:top w:val="nil"/>
              <w:left w:val="single" w:sz="4" w:space="0" w:color="auto"/>
              <w:bottom w:val="single" w:sz="4" w:space="0" w:color="auto"/>
              <w:right w:val="single" w:sz="4" w:space="0" w:color="auto"/>
            </w:tcBorders>
            <w:shd w:val="clear" w:color="000000" w:fill="CCFFCC"/>
            <w:noWrap/>
            <w:hideMark/>
          </w:tcPr>
          <w:p w:rsidR="000A40BF" w:rsidRPr="000A40BF" w:rsidRDefault="000A40BF" w:rsidP="000A40BF">
            <w:pP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Categorías</w:t>
            </w:r>
          </w:p>
        </w:tc>
        <w:tc>
          <w:tcPr>
            <w:tcW w:w="347" w:type="pct"/>
            <w:tcBorders>
              <w:top w:val="nil"/>
              <w:left w:val="nil"/>
              <w:bottom w:val="single" w:sz="4" w:space="0" w:color="auto"/>
              <w:right w:val="single" w:sz="4" w:space="0" w:color="auto"/>
            </w:tcBorders>
            <w:shd w:val="clear" w:color="000000" w:fill="CCFFCC"/>
            <w:noWrap/>
            <w:vAlign w:val="bottom"/>
            <w:hideMark/>
          </w:tcPr>
          <w:p w:rsidR="000A40BF" w:rsidRPr="000A40BF" w:rsidRDefault="000A40BF" w:rsidP="000A40BF">
            <w:pPr>
              <w:jc w:val="cente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2024</w:t>
            </w:r>
          </w:p>
        </w:tc>
        <w:tc>
          <w:tcPr>
            <w:tcW w:w="347" w:type="pct"/>
            <w:tcBorders>
              <w:top w:val="nil"/>
              <w:left w:val="nil"/>
              <w:bottom w:val="single" w:sz="4" w:space="0" w:color="auto"/>
              <w:right w:val="single" w:sz="4" w:space="0" w:color="auto"/>
            </w:tcBorders>
            <w:shd w:val="clear" w:color="000000" w:fill="CCFFCC"/>
            <w:noWrap/>
            <w:vAlign w:val="bottom"/>
            <w:hideMark/>
          </w:tcPr>
          <w:p w:rsidR="000A40BF" w:rsidRPr="000A40BF" w:rsidRDefault="000A40BF" w:rsidP="000A40BF">
            <w:pPr>
              <w:jc w:val="cente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2023</w:t>
            </w:r>
          </w:p>
        </w:tc>
        <w:tc>
          <w:tcPr>
            <w:tcW w:w="348" w:type="pct"/>
            <w:tcBorders>
              <w:top w:val="nil"/>
              <w:left w:val="nil"/>
              <w:bottom w:val="single" w:sz="4" w:space="0" w:color="auto"/>
              <w:right w:val="single" w:sz="4" w:space="0" w:color="auto"/>
            </w:tcBorders>
            <w:shd w:val="clear" w:color="000000" w:fill="CCFFCC"/>
            <w:noWrap/>
            <w:vAlign w:val="bottom"/>
            <w:hideMark/>
          </w:tcPr>
          <w:p w:rsidR="000A40BF" w:rsidRPr="000A40BF" w:rsidRDefault="000A40BF" w:rsidP="000A40BF">
            <w:pPr>
              <w:jc w:val="cente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2024</w:t>
            </w:r>
          </w:p>
        </w:tc>
        <w:tc>
          <w:tcPr>
            <w:tcW w:w="348" w:type="pct"/>
            <w:tcBorders>
              <w:top w:val="nil"/>
              <w:left w:val="nil"/>
              <w:bottom w:val="single" w:sz="4" w:space="0" w:color="auto"/>
              <w:right w:val="single" w:sz="4" w:space="0" w:color="auto"/>
            </w:tcBorders>
            <w:shd w:val="clear" w:color="000000" w:fill="CCFFCC"/>
            <w:noWrap/>
            <w:vAlign w:val="bottom"/>
            <w:hideMark/>
          </w:tcPr>
          <w:p w:rsidR="000A40BF" w:rsidRPr="000A40BF" w:rsidRDefault="000A40BF" w:rsidP="000A40BF">
            <w:pPr>
              <w:jc w:val="cente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2023</w:t>
            </w:r>
          </w:p>
        </w:tc>
        <w:tc>
          <w:tcPr>
            <w:tcW w:w="648" w:type="pct"/>
            <w:tcBorders>
              <w:top w:val="nil"/>
              <w:left w:val="nil"/>
              <w:bottom w:val="single" w:sz="4" w:space="0" w:color="auto"/>
              <w:right w:val="single" w:sz="4" w:space="0" w:color="auto"/>
            </w:tcBorders>
            <w:shd w:val="clear" w:color="000000" w:fill="CCFFCC"/>
            <w:noWrap/>
            <w:vAlign w:val="bottom"/>
            <w:hideMark/>
          </w:tcPr>
          <w:p w:rsidR="000A40BF" w:rsidRPr="000A40BF" w:rsidRDefault="000A40BF" w:rsidP="000A40BF">
            <w:pPr>
              <w:jc w:val="cente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2024</w:t>
            </w:r>
          </w:p>
        </w:tc>
        <w:tc>
          <w:tcPr>
            <w:tcW w:w="648" w:type="pct"/>
            <w:tcBorders>
              <w:top w:val="nil"/>
              <w:left w:val="nil"/>
              <w:bottom w:val="single" w:sz="4" w:space="0" w:color="auto"/>
              <w:right w:val="single" w:sz="4" w:space="0" w:color="auto"/>
            </w:tcBorders>
            <w:shd w:val="clear" w:color="000000" w:fill="CCFFCC"/>
            <w:noWrap/>
            <w:vAlign w:val="bottom"/>
            <w:hideMark/>
          </w:tcPr>
          <w:p w:rsidR="000A40BF" w:rsidRPr="000A40BF" w:rsidRDefault="000A40BF" w:rsidP="000A40BF">
            <w:pPr>
              <w:jc w:val="cente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2023</w:t>
            </w:r>
          </w:p>
        </w:tc>
      </w:tr>
      <w:tr w:rsidR="000A40BF" w:rsidRPr="000A40BF" w:rsidTr="000A40BF">
        <w:trPr>
          <w:trHeight w:val="276"/>
        </w:trPr>
        <w:tc>
          <w:tcPr>
            <w:tcW w:w="2315" w:type="pct"/>
            <w:tcBorders>
              <w:top w:val="nil"/>
              <w:left w:val="single" w:sz="4" w:space="0" w:color="auto"/>
              <w:bottom w:val="single" w:sz="4" w:space="0" w:color="auto"/>
              <w:right w:val="single" w:sz="4" w:space="0" w:color="auto"/>
            </w:tcBorders>
            <w:shd w:val="clear" w:color="auto" w:fill="auto"/>
            <w:vAlign w:val="center"/>
            <w:hideMark/>
          </w:tcPr>
          <w:p w:rsidR="000A40BF" w:rsidRPr="000A40BF" w:rsidRDefault="000A40BF" w:rsidP="000A40BF">
            <w:pP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Activos financieros a coste amortizado</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140.572.076,04</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147.841.995,73</w:t>
            </w:r>
          </w:p>
        </w:tc>
      </w:tr>
      <w:tr w:rsidR="000A40BF" w:rsidRPr="000A40BF" w:rsidTr="000A40BF">
        <w:trPr>
          <w:trHeight w:val="276"/>
        </w:trPr>
        <w:tc>
          <w:tcPr>
            <w:tcW w:w="2315" w:type="pct"/>
            <w:tcBorders>
              <w:top w:val="nil"/>
              <w:left w:val="single" w:sz="4" w:space="0" w:color="auto"/>
              <w:bottom w:val="single" w:sz="4" w:space="0" w:color="auto"/>
              <w:right w:val="single" w:sz="4" w:space="0" w:color="auto"/>
            </w:tcBorders>
            <w:shd w:val="clear" w:color="auto" w:fill="auto"/>
            <w:vAlign w:val="center"/>
            <w:hideMark/>
          </w:tcPr>
          <w:p w:rsidR="000A40BF" w:rsidRPr="000A40BF" w:rsidRDefault="000A40BF" w:rsidP="000A40BF">
            <w:pPr>
              <w:ind w:firstLineChars="100" w:firstLine="140"/>
              <w:rPr>
                <w:rFonts w:ascii="Lucida Bright" w:hAnsi="Lucida Bright" w:cs="Calibri"/>
                <w:sz w:val="14"/>
                <w:szCs w:val="14"/>
                <w:lang w:val="es-ES"/>
              </w:rPr>
            </w:pPr>
            <w:r w:rsidRPr="000A40BF">
              <w:rPr>
                <w:rFonts w:ascii="Lucida Bright" w:hAnsi="Lucida Bright" w:cs="Calibri"/>
                <w:sz w:val="14"/>
                <w:szCs w:val="14"/>
                <w:lang w:val="es-ES"/>
              </w:rPr>
              <w:t>Deudores comerciales y otras cuentas a cobrar</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12.657.339,87</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16.036.203,30</w:t>
            </w:r>
          </w:p>
        </w:tc>
      </w:tr>
      <w:tr w:rsidR="000A40BF" w:rsidRPr="000A40BF" w:rsidTr="000A40BF">
        <w:trPr>
          <w:trHeight w:val="276"/>
        </w:trPr>
        <w:tc>
          <w:tcPr>
            <w:tcW w:w="2315" w:type="pct"/>
            <w:tcBorders>
              <w:top w:val="nil"/>
              <w:left w:val="single" w:sz="4" w:space="0" w:color="auto"/>
              <w:bottom w:val="single" w:sz="4" w:space="0" w:color="auto"/>
              <w:right w:val="single" w:sz="4" w:space="0" w:color="auto"/>
            </w:tcBorders>
            <w:shd w:val="clear" w:color="000000" w:fill="FFFFFF"/>
            <w:vAlign w:val="center"/>
            <w:hideMark/>
          </w:tcPr>
          <w:p w:rsidR="000A40BF" w:rsidRPr="000A40BF" w:rsidRDefault="000A40BF" w:rsidP="000A40BF">
            <w:pPr>
              <w:ind w:firstLineChars="200" w:firstLine="280"/>
              <w:rPr>
                <w:rFonts w:ascii="Lucida Bright" w:hAnsi="Lucida Bright" w:cs="Calibri"/>
                <w:i/>
                <w:iCs/>
                <w:sz w:val="14"/>
                <w:szCs w:val="14"/>
                <w:lang w:val="es-ES"/>
              </w:rPr>
            </w:pPr>
            <w:r w:rsidRPr="000A40BF">
              <w:rPr>
                <w:rFonts w:ascii="Lucida Bright" w:hAnsi="Lucida Bright" w:cs="Calibri"/>
                <w:i/>
                <w:iCs/>
                <w:sz w:val="14"/>
                <w:szCs w:val="14"/>
                <w:lang w:val="es-ES"/>
              </w:rPr>
              <w:t>Clientes por ventas y prestaciones de servicios</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12.016.438,19</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15.713.146,85</w:t>
            </w:r>
          </w:p>
        </w:tc>
      </w:tr>
      <w:tr w:rsidR="000A40BF" w:rsidRPr="000A40BF" w:rsidTr="000A40BF">
        <w:trPr>
          <w:trHeight w:val="276"/>
        </w:trPr>
        <w:tc>
          <w:tcPr>
            <w:tcW w:w="2315" w:type="pct"/>
            <w:tcBorders>
              <w:top w:val="nil"/>
              <w:left w:val="single" w:sz="4" w:space="0" w:color="auto"/>
              <w:bottom w:val="single" w:sz="4" w:space="0" w:color="auto"/>
              <w:right w:val="single" w:sz="4" w:space="0" w:color="auto"/>
            </w:tcBorders>
            <w:shd w:val="clear" w:color="000000" w:fill="FFFFFF"/>
            <w:vAlign w:val="center"/>
            <w:hideMark/>
          </w:tcPr>
          <w:p w:rsidR="000A40BF" w:rsidRPr="000A40BF" w:rsidRDefault="000A40BF" w:rsidP="000A40BF">
            <w:pPr>
              <w:ind w:firstLineChars="200" w:firstLine="280"/>
              <w:rPr>
                <w:rFonts w:ascii="Lucida Bright" w:hAnsi="Lucida Bright" w:cs="Calibri"/>
                <w:i/>
                <w:iCs/>
                <w:sz w:val="14"/>
                <w:szCs w:val="14"/>
                <w:lang w:val="es-ES"/>
              </w:rPr>
            </w:pPr>
            <w:r w:rsidRPr="000A40BF">
              <w:rPr>
                <w:rFonts w:ascii="Lucida Bright" w:hAnsi="Lucida Bright" w:cs="Calibri"/>
                <w:i/>
                <w:iCs/>
                <w:sz w:val="14"/>
                <w:szCs w:val="14"/>
                <w:lang w:val="es-ES"/>
              </w:rPr>
              <w:t>Clientes y deudores, empr. del grupo y asociadas</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0,00</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0,00</w:t>
            </w:r>
          </w:p>
        </w:tc>
      </w:tr>
      <w:tr w:rsidR="000A40BF" w:rsidRPr="000A40BF" w:rsidTr="000A40BF">
        <w:trPr>
          <w:trHeight w:val="276"/>
        </w:trPr>
        <w:tc>
          <w:tcPr>
            <w:tcW w:w="2315" w:type="pct"/>
            <w:tcBorders>
              <w:top w:val="nil"/>
              <w:left w:val="single" w:sz="4" w:space="0" w:color="auto"/>
              <w:bottom w:val="single" w:sz="4" w:space="0" w:color="auto"/>
              <w:right w:val="single" w:sz="4" w:space="0" w:color="auto"/>
            </w:tcBorders>
            <w:shd w:val="clear" w:color="000000" w:fill="FFFFFF"/>
            <w:vAlign w:val="center"/>
            <w:hideMark/>
          </w:tcPr>
          <w:p w:rsidR="000A40BF" w:rsidRPr="000A40BF" w:rsidRDefault="000A40BF" w:rsidP="000A40BF">
            <w:pPr>
              <w:ind w:firstLineChars="200" w:firstLine="280"/>
              <w:rPr>
                <w:rFonts w:ascii="Lucida Bright" w:hAnsi="Lucida Bright" w:cs="Calibri"/>
                <w:i/>
                <w:iCs/>
                <w:sz w:val="14"/>
                <w:szCs w:val="14"/>
                <w:lang w:val="es-ES"/>
              </w:rPr>
            </w:pPr>
            <w:r w:rsidRPr="000A40BF">
              <w:rPr>
                <w:rFonts w:ascii="Lucida Bright" w:hAnsi="Lucida Bright" w:cs="Calibri"/>
                <w:i/>
                <w:iCs/>
                <w:sz w:val="14"/>
                <w:szCs w:val="14"/>
                <w:lang w:val="es-ES"/>
              </w:rPr>
              <w:t>Deudores varios</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640.901,68</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323.056,45</w:t>
            </w:r>
          </w:p>
        </w:tc>
      </w:tr>
      <w:tr w:rsidR="000A40BF" w:rsidRPr="000A40BF" w:rsidTr="000A40BF">
        <w:trPr>
          <w:trHeight w:val="276"/>
        </w:trPr>
        <w:tc>
          <w:tcPr>
            <w:tcW w:w="2315" w:type="pct"/>
            <w:tcBorders>
              <w:top w:val="nil"/>
              <w:left w:val="single" w:sz="4" w:space="0" w:color="auto"/>
              <w:bottom w:val="single" w:sz="4" w:space="0" w:color="auto"/>
              <w:right w:val="single" w:sz="4" w:space="0" w:color="auto"/>
            </w:tcBorders>
            <w:shd w:val="clear" w:color="auto" w:fill="auto"/>
            <w:vAlign w:val="center"/>
            <w:hideMark/>
          </w:tcPr>
          <w:p w:rsidR="000A40BF" w:rsidRPr="000A40BF" w:rsidRDefault="000A40BF" w:rsidP="000A40BF">
            <w:pPr>
              <w:ind w:firstLineChars="100" w:firstLine="140"/>
              <w:rPr>
                <w:rFonts w:ascii="Lucida Bright" w:hAnsi="Lucida Bright" w:cs="Calibri"/>
                <w:sz w:val="14"/>
                <w:szCs w:val="14"/>
                <w:lang w:val="es-ES"/>
              </w:rPr>
            </w:pPr>
            <w:r w:rsidRPr="000A40BF">
              <w:rPr>
                <w:rFonts w:ascii="Lucida Bright" w:hAnsi="Lucida Bright" w:cs="Calibri"/>
                <w:sz w:val="14"/>
                <w:szCs w:val="14"/>
                <w:lang w:val="es-ES"/>
              </w:rPr>
              <w:t>Inversiones en empr. del grupo y asociadas a c.p.</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334.365,91</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110.571,99</w:t>
            </w:r>
          </w:p>
        </w:tc>
      </w:tr>
      <w:tr w:rsidR="000A40BF" w:rsidRPr="000A40BF" w:rsidTr="000A40BF">
        <w:trPr>
          <w:trHeight w:val="276"/>
        </w:trPr>
        <w:tc>
          <w:tcPr>
            <w:tcW w:w="2315" w:type="pct"/>
            <w:tcBorders>
              <w:top w:val="nil"/>
              <w:left w:val="single" w:sz="4" w:space="0" w:color="auto"/>
              <w:bottom w:val="single" w:sz="4" w:space="0" w:color="auto"/>
              <w:right w:val="nil"/>
            </w:tcBorders>
            <w:shd w:val="clear" w:color="000000" w:fill="FFFFFF"/>
            <w:noWrap/>
            <w:vAlign w:val="center"/>
            <w:hideMark/>
          </w:tcPr>
          <w:p w:rsidR="000A40BF" w:rsidRPr="000A40BF" w:rsidRDefault="000A40BF" w:rsidP="000A40BF">
            <w:pPr>
              <w:ind w:firstLineChars="200" w:firstLine="280"/>
              <w:rPr>
                <w:rFonts w:ascii="Lucida Bright" w:hAnsi="Lucida Bright" w:cs="Calibri"/>
                <w:i/>
                <w:iCs/>
                <w:sz w:val="14"/>
                <w:szCs w:val="14"/>
                <w:lang w:val="es-ES"/>
              </w:rPr>
            </w:pPr>
            <w:r w:rsidRPr="000A40BF">
              <w:rPr>
                <w:rFonts w:ascii="Lucida Bright" w:hAnsi="Lucida Bright" w:cs="Calibri"/>
                <w:i/>
                <w:iCs/>
                <w:sz w:val="14"/>
                <w:szCs w:val="14"/>
                <w:lang w:val="es-ES"/>
              </w:rPr>
              <w:t xml:space="preserve">  Instrumentos de patrimonio</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r>
      <w:tr w:rsidR="000A40BF" w:rsidRPr="000A40BF" w:rsidTr="000A40BF">
        <w:trPr>
          <w:trHeight w:val="276"/>
        </w:trPr>
        <w:tc>
          <w:tcPr>
            <w:tcW w:w="2315" w:type="pct"/>
            <w:tcBorders>
              <w:top w:val="nil"/>
              <w:left w:val="single" w:sz="4" w:space="0" w:color="auto"/>
              <w:bottom w:val="single" w:sz="4" w:space="0" w:color="auto"/>
              <w:right w:val="nil"/>
            </w:tcBorders>
            <w:shd w:val="clear" w:color="000000" w:fill="FFFFFF"/>
            <w:noWrap/>
            <w:vAlign w:val="center"/>
            <w:hideMark/>
          </w:tcPr>
          <w:p w:rsidR="000A40BF" w:rsidRPr="000A40BF" w:rsidRDefault="000A40BF" w:rsidP="000A40BF">
            <w:pPr>
              <w:ind w:firstLineChars="200" w:firstLine="280"/>
              <w:rPr>
                <w:rFonts w:ascii="Lucida Bright" w:hAnsi="Lucida Bright" w:cs="Calibri"/>
                <w:i/>
                <w:iCs/>
                <w:sz w:val="14"/>
                <w:szCs w:val="14"/>
                <w:lang w:val="es-ES"/>
              </w:rPr>
            </w:pPr>
            <w:r w:rsidRPr="000A40BF">
              <w:rPr>
                <w:rFonts w:ascii="Lucida Bright" w:hAnsi="Lucida Bright" w:cs="Calibri"/>
                <w:i/>
                <w:iCs/>
                <w:sz w:val="14"/>
                <w:szCs w:val="14"/>
                <w:lang w:val="es-ES"/>
              </w:rPr>
              <w:t xml:space="preserve">  Créditos a empresas</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334.365,91</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110.571,99</w:t>
            </w:r>
          </w:p>
        </w:tc>
      </w:tr>
      <w:tr w:rsidR="000A40BF" w:rsidRPr="000A40BF" w:rsidTr="000A40BF">
        <w:trPr>
          <w:trHeight w:val="276"/>
        </w:trPr>
        <w:tc>
          <w:tcPr>
            <w:tcW w:w="2315" w:type="pct"/>
            <w:tcBorders>
              <w:top w:val="nil"/>
              <w:left w:val="single" w:sz="4" w:space="0" w:color="auto"/>
              <w:bottom w:val="single" w:sz="4" w:space="0" w:color="auto"/>
              <w:right w:val="single" w:sz="4" w:space="0" w:color="auto"/>
            </w:tcBorders>
            <w:shd w:val="clear" w:color="auto" w:fill="auto"/>
            <w:vAlign w:val="center"/>
            <w:hideMark/>
          </w:tcPr>
          <w:p w:rsidR="000A40BF" w:rsidRPr="000A40BF" w:rsidRDefault="000A40BF" w:rsidP="000A40BF">
            <w:pPr>
              <w:ind w:firstLineChars="100" w:firstLine="140"/>
              <w:rPr>
                <w:rFonts w:ascii="Lucida Bright" w:hAnsi="Lucida Bright" w:cs="Calibri"/>
                <w:sz w:val="14"/>
                <w:szCs w:val="14"/>
                <w:lang w:val="es-ES"/>
              </w:rPr>
            </w:pPr>
            <w:r w:rsidRPr="000A40BF">
              <w:rPr>
                <w:rFonts w:ascii="Lucida Bright" w:hAnsi="Lucida Bright" w:cs="Calibri"/>
                <w:sz w:val="14"/>
                <w:szCs w:val="14"/>
                <w:lang w:val="es-ES"/>
              </w:rPr>
              <w:t>Inversiones financieras a corto plazo.</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7"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127.580.370,26</w:t>
            </w:r>
          </w:p>
        </w:tc>
        <w:tc>
          <w:tcPr>
            <w:tcW w:w="648" w:type="pct"/>
            <w:tcBorders>
              <w:top w:val="nil"/>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131.695.220,44</w:t>
            </w:r>
          </w:p>
        </w:tc>
      </w:tr>
      <w:tr w:rsidR="000A40BF" w:rsidRPr="000A40BF" w:rsidTr="000A40BF">
        <w:trPr>
          <w:trHeight w:val="276"/>
        </w:trPr>
        <w:tc>
          <w:tcPr>
            <w:tcW w:w="2315" w:type="pct"/>
            <w:tcBorders>
              <w:top w:val="nil"/>
              <w:left w:val="single" w:sz="4" w:space="0" w:color="auto"/>
              <w:bottom w:val="nil"/>
              <w:right w:val="single" w:sz="4" w:space="0" w:color="auto"/>
            </w:tcBorders>
            <w:shd w:val="clear" w:color="000000" w:fill="FFFFFF"/>
            <w:noWrap/>
            <w:vAlign w:val="center"/>
            <w:hideMark/>
          </w:tcPr>
          <w:p w:rsidR="000A40BF" w:rsidRPr="000A40BF" w:rsidRDefault="000A40BF" w:rsidP="000A40BF">
            <w:pPr>
              <w:ind w:firstLineChars="200" w:firstLine="280"/>
              <w:rPr>
                <w:rFonts w:ascii="Lucida Bright" w:hAnsi="Lucida Bright" w:cs="Calibri"/>
                <w:i/>
                <w:iCs/>
                <w:sz w:val="14"/>
                <w:szCs w:val="14"/>
                <w:lang w:val="es-ES"/>
              </w:rPr>
            </w:pPr>
            <w:r w:rsidRPr="000A40BF">
              <w:rPr>
                <w:rFonts w:ascii="Lucida Bright" w:hAnsi="Lucida Bright" w:cs="Calibri"/>
                <w:i/>
                <w:iCs/>
                <w:sz w:val="14"/>
                <w:szCs w:val="14"/>
                <w:lang w:val="es-ES"/>
              </w:rPr>
              <w:t>Otros activos financieros</w:t>
            </w:r>
          </w:p>
        </w:tc>
        <w:tc>
          <w:tcPr>
            <w:tcW w:w="347" w:type="pct"/>
            <w:tcBorders>
              <w:top w:val="nil"/>
              <w:left w:val="nil"/>
              <w:bottom w:val="nil"/>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7" w:type="pct"/>
            <w:tcBorders>
              <w:top w:val="nil"/>
              <w:left w:val="nil"/>
              <w:bottom w:val="nil"/>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nil"/>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348" w:type="pct"/>
            <w:tcBorders>
              <w:top w:val="nil"/>
              <w:left w:val="nil"/>
              <w:bottom w:val="nil"/>
              <w:right w:val="single" w:sz="4" w:space="0" w:color="auto"/>
            </w:tcBorders>
            <w:shd w:val="clear" w:color="auto" w:fill="auto"/>
            <w:noWrap/>
            <w:vAlign w:val="bottom"/>
            <w:hideMark/>
          </w:tcPr>
          <w:p w:rsidR="000A40BF" w:rsidRPr="000A40BF" w:rsidRDefault="000A40BF" w:rsidP="000A40BF">
            <w:pPr>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 </w:t>
            </w:r>
          </w:p>
        </w:tc>
        <w:tc>
          <w:tcPr>
            <w:tcW w:w="648" w:type="pct"/>
            <w:tcBorders>
              <w:top w:val="nil"/>
              <w:left w:val="nil"/>
              <w:bottom w:val="nil"/>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127.580.370,26</w:t>
            </w:r>
          </w:p>
        </w:tc>
        <w:tc>
          <w:tcPr>
            <w:tcW w:w="648" w:type="pct"/>
            <w:tcBorders>
              <w:top w:val="nil"/>
              <w:left w:val="nil"/>
              <w:bottom w:val="nil"/>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color w:val="000000"/>
                <w:sz w:val="14"/>
                <w:szCs w:val="14"/>
                <w:lang w:val="es-ES"/>
              </w:rPr>
            </w:pPr>
            <w:r w:rsidRPr="000A40BF">
              <w:rPr>
                <w:rFonts w:ascii="Lucida Bright" w:hAnsi="Lucida Bright" w:cs="Calibri"/>
                <w:color w:val="000000"/>
                <w:sz w:val="14"/>
                <w:szCs w:val="14"/>
                <w:lang w:val="es-ES"/>
              </w:rPr>
              <w:t>131.695.220,44</w:t>
            </w:r>
          </w:p>
        </w:tc>
      </w:tr>
      <w:tr w:rsidR="000A40BF" w:rsidRPr="000A40BF" w:rsidTr="000A40BF">
        <w:trPr>
          <w:trHeight w:val="391"/>
        </w:trPr>
        <w:tc>
          <w:tcPr>
            <w:tcW w:w="2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0BF" w:rsidRPr="000A40BF" w:rsidRDefault="000A40BF" w:rsidP="000A40BF">
            <w:pP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TOTAL ACTIVOS FINANCIEROS A CORTO PLAZO</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 </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 </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 </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rsidR="000A40BF" w:rsidRPr="000A40BF" w:rsidRDefault="000A40BF" w:rsidP="000A40BF">
            <w:pPr>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 </w:t>
            </w:r>
          </w:p>
        </w:tc>
        <w:tc>
          <w:tcPr>
            <w:tcW w:w="648" w:type="pct"/>
            <w:tcBorders>
              <w:top w:val="single" w:sz="4" w:space="0" w:color="auto"/>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140.572.076,04</w:t>
            </w:r>
          </w:p>
        </w:tc>
        <w:tc>
          <w:tcPr>
            <w:tcW w:w="648" w:type="pct"/>
            <w:tcBorders>
              <w:top w:val="single" w:sz="4" w:space="0" w:color="auto"/>
              <w:left w:val="nil"/>
              <w:bottom w:val="single" w:sz="4" w:space="0" w:color="auto"/>
              <w:right w:val="single" w:sz="4" w:space="0" w:color="auto"/>
            </w:tcBorders>
            <w:shd w:val="clear" w:color="auto" w:fill="auto"/>
            <w:noWrap/>
            <w:vAlign w:val="bottom"/>
            <w:hideMark/>
          </w:tcPr>
          <w:p w:rsidR="000A40BF" w:rsidRPr="000A40BF" w:rsidRDefault="000A40BF" w:rsidP="000A40BF">
            <w:pPr>
              <w:jc w:val="right"/>
              <w:rPr>
                <w:rFonts w:ascii="Lucida Bright" w:hAnsi="Lucida Bright" w:cs="Calibri"/>
                <w:b/>
                <w:bCs/>
                <w:color w:val="000000"/>
                <w:sz w:val="14"/>
                <w:szCs w:val="14"/>
                <w:lang w:val="es-ES"/>
              </w:rPr>
            </w:pPr>
            <w:r w:rsidRPr="000A40BF">
              <w:rPr>
                <w:rFonts w:ascii="Lucida Bright" w:hAnsi="Lucida Bright" w:cs="Calibri"/>
                <w:b/>
                <w:bCs/>
                <w:color w:val="000000"/>
                <w:sz w:val="14"/>
                <w:szCs w:val="14"/>
                <w:lang w:val="es-ES"/>
              </w:rPr>
              <w:t>147.841.995,73</w:t>
            </w:r>
          </w:p>
        </w:tc>
      </w:tr>
    </w:tbl>
    <w:p w:rsidR="008E2E5A" w:rsidRDefault="008E2E5A" w:rsidP="00187A36">
      <w:pPr>
        <w:rPr>
          <w:rFonts w:ascii="NewBaskerville" w:hAnsi="NewBaskerville"/>
        </w:rPr>
      </w:pPr>
    </w:p>
    <w:p w:rsidR="008E2E5A" w:rsidRDefault="008E2E5A" w:rsidP="00187A36">
      <w:pPr>
        <w:rPr>
          <w:rFonts w:ascii="NewBaskerville" w:hAnsi="NewBaskerville"/>
        </w:rPr>
      </w:pPr>
    </w:p>
    <w:p w:rsidR="000A40BF" w:rsidRDefault="000A40BF" w:rsidP="00187A36">
      <w:pPr>
        <w:rPr>
          <w:rFonts w:ascii="NewBaskerville" w:hAnsi="NewBaskerville"/>
        </w:rPr>
      </w:pPr>
    </w:p>
    <w:p w:rsidR="000A40BF" w:rsidRDefault="000A40BF" w:rsidP="00187A36">
      <w:pPr>
        <w:rPr>
          <w:rFonts w:ascii="NewBaskerville" w:hAnsi="NewBaskerville"/>
        </w:rPr>
      </w:pPr>
    </w:p>
    <w:p w:rsidR="000A40BF" w:rsidRDefault="000A40BF" w:rsidP="00187A36">
      <w:pPr>
        <w:rPr>
          <w:rFonts w:ascii="NewBaskerville" w:hAnsi="NewBaskerville"/>
        </w:rPr>
      </w:pPr>
    </w:p>
    <w:p w:rsidR="000A40BF" w:rsidRDefault="000A40BF" w:rsidP="00187A36">
      <w:pPr>
        <w:rPr>
          <w:rFonts w:ascii="NewBaskerville" w:hAnsi="NewBaskerville"/>
        </w:rPr>
      </w:pPr>
    </w:p>
    <w:p w:rsidR="000A40BF" w:rsidRDefault="000A40BF" w:rsidP="00187A36">
      <w:pPr>
        <w:rPr>
          <w:rFonts w:ascii="NewBaskerville" w:hAnsi="NewBaskerville"/>
        </w:rPr>
      </w:pPr>
    </w:p>
    <w:p w:rsidR="000A40BF" w:rsidRDefault="000A40BF" w:rsidP="00187A36">
      <w:pPr>
        <w:rPr>
          <w:rFonts w:ascii="NewBaskerville" w:hAnsi="NewBaskerville"/>
        </w:rPr>
      </w:pPr>
    </w:p>
    <w:p w:rsidR="000A40BF" w:rsidRDefault="000A40BF" w:rsidP="00187A36">
      <w:pPr>
        <w:rPr>
          <w:rFonts w:ascii="NewBaskerville" w:hAnsi="NewBaskerville"/>
        </w:rPr>
      </w:pPr>
    </w:p>
    <w:p w:rsidR="000A40BF" w:rsidRDefault="000A40BF" w:rsidP="00187A36">
      <w:pPr>
        <w:rPr>
          <w:rFonts w:ascii="NewBaskerville" w:hAnsi="NewBaskerville"/>
        </w:rPr>
      </w:pPr>
    </w:p>
    <w:p w:rsidR="000A40BF" w:rsidRDefault="000A40BF" w:rsidP="00187A36">
      <w:pPr>
        <w:rPr>
          <w:rFonts w:ascii="NewBaskerville" w:hAnsi="NewBaskerville"/>
        </w:rPr>
      </w:pPr>
    </w:p>
    <w:p w:rsidR="008E2E5A" w:rsidRDefault="008E2E5A" w:rsidP="00187A36">
      <w:pPr>
        <w:rPr>
          <w:rFonts w:ascii="NewBaskerville" w:hAnsi="NewBaskerville"/>
        </w:rPr>
      </w:pPr>
    </w:p>
    <w:p w:rsidR="000A40BF" w:rsidRDefault="000A40BF">
      <w:pPr>
        <w:tabs>
          <w:tab w:val="right" w:pos="8364"/>
        </w:tabs>
        <w:ind w:left="142" w:firstLine="425"/>
        <w:jc w:val="both"/>
        <w:rPr>
          <w:rFonts w:ascii="NewBaskerville" w:hAnsi="NewBaskerville"/>
        </w:rPr>
      </w:pPr>
    </w:p>
    <w:p w:rsidR="000A40BF" w:rsidRDefault="000A40BF">
      <w:pPr>
        <w:tabs>
          <w:tab w:val="right" w:pos="8364"/>
        </w:tabs>
        <w:ind w:left="142" w:firstLine="425"/>
        <w:jc w:val="both"/>
        <w:rPr>
          <w:rFonts w:ascii="NewBaskerville" w:hAnsi="NewBaskerville"/>
        </w:rPr>
      </w:pPr>
    </w:p>
    <w:p w:rsidR="000A40BF" w:rsidRDefault="000A40BF">
      <w:pPr>
        <w:tabs>
          <w:tab w:val="right" w:pos="8364"/>
        </w:tabs>
        <w:ind w:left="142" w:firstLine="425"/>
        <w:jc w:val="both"/>
        <w:rPr>
          <w:rFonts w:ascii="NewBaskerville" w:hAnsi="NewBaskerville"/>
        </w:rPr>
      </w:pPr>
    </w:p>
    <w:p w:rsidR="00EF2E30" w:rsidRDefault="00CA44C8">
      <w:pPr>
        <w:tabs>
          <w:tab w:val="right" w:pos="8364"/>
        </w:tabs>
        <w:ind w:left="142" w:firstLine="425"/>
        <w:jc w:val="both"/>
        <w:rPr>
          <w:rFonts w:ascii="NewBaskerville" w:hAnsi="NewBaskerville"/>
        </w:rPr>
      </w:pPr>
      <w:r>
        <w:rPr>
          <w:rFonts w:ascii="NewBaskerville" w:hAnsi="NewBaskerville"/>
        </w:rPr>
        <w:lastRenderedPageBreak/>
        <w:t xml:space="preserve">Las </w:t>
      </w:r>
      <w:r>
        <w:rPr>
          <w:rFonts w:ascii="NewBaskerville" w:hAnsi="NewBaskerville"/>
          <w:b/>
        </w:rPr>
        <w:t>“Inversiones financieras en empresas del grupo y asociadas a largo plazo”</w:t>
      </w:r>
      <w:r>
        <w:rPr>
          <w:rFonts w:ascii="NewBaskerville" w:hAnsi="NewBaskerville"/>
        </w:rPr>
        <w:t xml:space="preserve"> se corresponde al préstamo concedido al Fondo Financiero de Accesibilidad Terrestre Portuaria</w:t>
      </w:r>
      <w:r w:rsidR="006E5280">
        <w:rPr>
          <w:rFonts w:ascii="NewBaskerville" w:hAnsi="NewBaskerville"/>
        </w:rPr>
        <w:t xml:space="preserve"> </w:t>
      </w:r>
      <w:r w:rsidR="00EF2E30">
        <w:rPr>
          <w:rFonts w:ascii="NewBaskerville" w:hAnsi="NewBaskerville"/>
        </w:rPr>
        <w:t>(en adelante FFATP</w:t>
      </w:r>
      <w:r w:rsidR="003F24D6">
        <w:rPr>
          <w:rFonts w:ascii="NewBaskerville" w:hAnsi="NewBaskerville"/>
        </w:rPr>
        <w:t>) con</w:t>
      </w:r>
      <w:r w:rsidR="006E5280">
        <w:rPr>
          <w:rFonts w:ascii="NewBaskerville" w:hAnsi="NewBaskerville"/>
        </w:rPr>
        <w:t xml:space="preserve"> vencimiento superior al año. </w:t>
      </w:r>
    </w:p>
    <w:p w:rsidR="00290279" w:rsidRDefault="00290279">
      <w:pPr>
        <w:tabs>
          <w:tab w:val="right" w:pos="8364"/>
        </w:tabs>
        <w:ind w:left="142" w:firstLine="425"/>
        <w:jc w:val="both"/>
        <w:rPr>
          <w:rFonts w:ascii="NewBaskerville" w:hAnsi="NewBaskerville"/>
        </w:rPr>
      </w:pPr>
    </w:p>
    <w:p w:rsidR="00187A36" w:rsidRDefault="00EF2E30">
      <w:pPr>
        <w:tabs>
          <w:tab w:val="right" w:pos="8364"/>
        </w:tabs>
        <w:ind w:left="142" w:firstLine="425"/>
        <w:jc w:val="both"/>
        <w:rPr>
          <w:rFonts w:ascii="NewBaskerville" w:hAnsi="NewBaskerville"/>
        </w:rPr>
      </w:pPr>
      <w:r>
        <w:rPr>
          <w:rFonts w:ascii="NewBaskerville" w:hAnsi="NewBaskerville"/>
        </w:rPr>
        <w:t>Su saldo lo componen las aportaciones obligatorias exigidas por el Comité de Distribución del Fondo de Compensación Interportuario, en funciones de administración del FFATP, que tendrán naturaleza de préstamo y, cada aportación, de acuerdo con las siguientes condiciones:</w:t>
      </w:r>
    </w:p>
    <w:p w:rsidR="00EF2E30" w:rsidRDefault="00EF2E30" w:rsidP="00EF2E30">
      <w:pPr>
        <w:pStyle w:val="Prrafodelista"/>
        <w:numPr>
          <w:ilvl w:val="0"/>
          <w:numId w:val="6"/>
        </w:numPr>
        <w:tabs>
          <w:tab w:val="right" w:pos="8364"/>
        </w:tabs>
        <w:jc w:val="both"/>
        <w:rPr>
          <w:rFonts w:ascii="NewBaskerville" w:hAnsi="NewBaskerville"/>
        </w:rPr>
      </w:pPr>
      <w:r>
        <w:rPr>
          <w:rFonts w:ascii="NewBaskerville" w:hAnsi="NewBaskerville"/>
        </w:rPr>
        <w:t>Duración del préstamo: 20 años desde desembolso</w:t>
      </w:r>
    </w:p>
    <w:p w:rsidR="00EF2E30" w:rsidRDefault="00EF2E30" w:rsidP="00EF2E30">
      <w:pPr>
        <w:pStyle w:val="Prrafodelista"/>
        <w:numPr>
          <w:ilvl w:val="0"/>
          <w:numId w:val="6"/>
        </w:numPr>
        <w:tabs>
          <w:tab w:val="right" w:pos="8364"/>
        </w:tabs>
        <w:jc w:val="both"/>
        <w:rPr>
          <w:rFonts w:ascii="NewBaskerville" w:hAnsi="NewBaskerville"/>
        </w:rPr>
      </w:pPr>
      <w:r>
        <w:rPr>
          <w:rFonts w:ascii="NewBaskerville" w:hAnsi="NewBaskerville"/>
        </w:rPr>
        <w:t>Plazo de carencia: 3 años desde desembolso</w:t>
      </w:r>
    </w:p>
    <w:p w:rsidR="00EF2E30" w:rsidRDefault="00EF2E30" w:rsidP="00EF2E30">
      <w:pPr>
        <w:pStyle w:val="Prrafodelista"/>
        <w:numPr>
          <w:ilvl w:val="0"/>
          <w:numId w:val="6"/>
        </w:numPr>
        <w:tabs>
          <w:tab w:val="right" w:pos="8364"/>
        </w:tabs>
        <w:jc w:val="both"/>
        <w:rPr>
          <w:rFonts w:ascii="NewBaskerville" w:hAnsi="NewBaskerville"/>
        </w:rPr>
      </w:pPr>
      <w:r>
        <w:rPr>
          <w:rFonts w:ascii="NewBaskerville" w:hAnsi="NewBaskerville"/>
        </w:rPr>
        <w:t>Plazo amortización: Lineal de 17 años desde la finalización del plazo de carencia</w:t>
      </w:r>
    </w:p>
    <w:p w:rsidR="00EF2E30" w:rsidRDefault="00CE0C43" w:rsidP="00EF2E30">
      <w:pPr>
        <w:pStyle w:val="Prrafodelista"/>
        <w:numPr>
          <w:ilvl w:val="0"/>
          <w:numId w:val="6"/>
        </w:numPr>
        <w:tabs>
          <w:tab w:val="right" w:pos="8364"/>
        </w:tabs>
        <w:jc w:val="both"/>
        <w:rPr>
          <w:rFonts w:ascii="NewBaskerville" w:hAnsi="NewBaskerville"/>
        </w:rPr>
      </w:pPr>
      <w:r>
        <w:rPr>
          <w:rFonts w:ascii="NewBaskerville" w:hAnsi="NewBaskerville"/>
        </w:rPr>
        <w:t>Tipo y pago de interés: El tipo establecido en las condiciones entre el FFATP y el Banco Europeo de Inversiones, cada 15 de junio y 15 de diciembre.</w:t>
      </w:r>
    </w:p>
    <w:p w:rsidR="00CE0C43" w:rsidRDefault="00CE0C43" w:rsidP="00EF2E30">
      <w:pPr>
        <w:pStyle w:val="Prrafodelista"/>
        <w:numPr>
          <w:ilvl w:val="0"/>
          <w:numId w:val="6"/>
        </w:numPr>
        <w:tabs>
          <w:tab w:val="right" w:pos="8364"/>
        </w:tabs>
        <w:jc w:val="both"/>
        <w:rPr>
          <w:rFonts w:ascii="NewBaskerville" w:hAnsi="NewBaskerville"/>
        </w:rPr>
      </w:pPr>
      <w:r>
        <w:rPr>
          <w:rFonts w:ascii="NewBaskerville" w:hAnsi="NewBaskerville"/>
        </w:rPr>
        <w:t>Tipo de interés 202</w:t>
      </w:r>
      <w:r w:rsidR="001E5B78">
        <w:rPr>
          <w:rFonts w:ascii="NewBaskerville" w:hAnsi="NewBaskerville"/>
        </w:rPr>
        <w:t>4</w:t>
      </w:r>
      <w:r>
        <w:rPr>
          <w:rFonts w:ascii="NewBaskerville" w:hAnsi="NewBaskerville"/>
        </w:rPr>
        <w:t>:</w:t>
      </w:r>
      <w:r w:rsidR="00C76C72">
        <w:rPr>
          <w:rFonts w:ascii="NewBaskerville" w:hAnsi="NewBaskerville"/>
        </w:rPr>
        <w:t xml:space="preserve"> </w:t>
      </w:r>
      <w:r w:rsidR="009841A9">
        <w:rPr>
          <w:rFonts w:ascii="NewBaskerville" w:hAnsi="NewBaskerville"/>
        </w:rPr>
        <w:t>3</w:t>
      </w:r>
      <w:r>
        <w:rPr>
          <w:rFonts w:ascii="NewBaskerville" w:hAnsi="NewBaskerville"/>
        </w:rPr>
        <w:t>,</w:t>
      </w:r>
      <w:r w:rsidR="009841A9">
        <w:rPr>
          <w:rFonts w:ascii="NewBaskerville" w:hAnsi="NewBaskerville"/>
        </w:rPr>
        <w:t>672</w:t>
      </w:r>
      <w:r>
        <w:rPr>
          <w:rFonts w:ascii="NewBaskerville" w:hAnsi="NewBaskerville"/>
        </w:rPr>
        <w:t>% del 16/12/202</w:t>
      </w:r>
      <w:r w:rsidR="009841A9">
        <w:rPr>
          <w:rFonts w:ascii="NewBaskerville" w:hAnsi="NewBaskerville"/>
        </w:rPr>
        <w:t>3 al 15/06/2024</w:t>
      </w:r>
      <w:r w:rsidR="001E5B78">
        <w:rPr>
          <w:rFonts w:ascii="NewBaskerville" w:hAnsi="NewBaskerville"/>
        </w:rPr>
        <w:t>; 3,573% del 16/06/2024 al 1</w:t>
      </w:r>
      <w:r w:rsidR="001D559F">
        <w:rPr>
          <w:rFonts w:ascii="NewBaskerville" w:hAnsi="NewBaskerville"/>
        </w:rPr>
        <w:t>5</w:t>
      </w:r>
      <w:r w:rsidR="001E5B78">
        <w:rPr>
          <w:rFonts w:ascii="NewBaskerville" w:hAnsi="NewBaskerville"/>
        </w:rPr>
        <w:t>/12/2024; 2,985% del 1</w:t>
      </w:r>
      <w:r w:rsidR="001D559F">
        <w:rPr>
          <w:rFonts w:ascii="NewBaskerville" w:hAnsi="NewBaskerville"/>
        </w:rPr>
        <w:t>6</w:t>
      </w:r>
      <w:r w:rsidR="001E5B78">
        <w:rPr>
          <w:rFonts w:ascii="NewBaskerville" w:hAnsi="NewBaskerville"/>
        </w:rPr>
        <w:t>/12/2024 al 16/06/2025.</w:t>
      </w:r>
    </w:p>
    <w:p w:rsidR="00290279" w:rsidRDefault="00290279" w:rsidP="00290279">
      <w:pPr>
        <w:pStyle w:val="Prrafodelista"/>
        <w:tabs>
          <w:tab w:val="right" w:pos="8364"/>
        </w:tabs>
        <w:ind w:left="1287"/>
        <w:jc w:val="both"/>
        <w:rPr>
          <w:rFonts w:ascii="NewBaskerville" w:hAnsi="NewBaskerville"/>
        </w:rPr>
      </w:pPr>
    </w:p>
    <w:p w:rsidR="000A1693" w:rsidRDefault="00C76C72" w:rsidP="00C76C72">
      <w:pPr>
        <w:tabs>
          <w:tab w:val="right" w:pos="8364"/>
        </w:tabs>
        <w:ind w:firstLine="567"/>
        <w:jc w:val="both"/>
        <w:rPr>
          <w:rFonts w:ascii="NewBaskerville" w:hAnsi="NewBaskerville"/>
        </w:rPr>
      </w:pPr>
      <w:r>
        <w:rPr>
          <w:rFonts w:ascii="NewBaskerville" w:hAnsi="NewBaskerville"/>
        </w:rPr>
        <w:t>En el siguiente cuadro se detalla la composición del saldo:</w:t>
      </w:r>
    </w:p>
    <w:tbl>
      <w:tblPr>
        <w:tblW w:w="6460" w:type="dxa"/>
        <w:tblInd w:w="60" w:type="dxa"/>
        <w:tblCellMar>
          <w:left w:w="70" w:type="dxa"/>
          <w:right w:w="70" w:type="dxa"/>
        </w:tblCellMar>
        <w:tblLook w:val="04A0" w:firstRow="1" w:lastRow="0" w:firstColumn="1" w:lastColumn="0" w:noHBand="0" w:noVBand="1"/>
      </w:tblPr>
      <w:tblGrid>
        <w:gridCol w:w="1425"/>
        <w:gridCol w:w="1294"/>
        <w:gridCol w:w="1220"/>
        <w:gridCol w:w="1201"/>
        <w:gridCol w:w="1320"/>
      </w:tblGrid>
      <w:tr w:rsidR="001D559F" w:rsidRPr="001D559F" w:rsidTr="001D559F">
        <w:trPr>
          <w:trHeight w:val="585"/>
        </w:trPr>
        <w:tc>
          <w:tcPr>
            <w:tcW w:w="1460" w:type="dxa"/>
            <w:tcBorders>
              <w:top w:val="single" w:sz="8" w:space="0" w:color="000000"/>
              <w:left w:val="single" w:sz="8" w:space="0" w:color="000000"/>
              <w:bottom w:val="single" w:sz="8" w:space="0" w:color="000000"/>
              <w:right w:val="single" w:sz="8" w:space="0" w:color="000000"/>
            </w:tcBorders>
            <w:shd w:val="clear" w:color="000000" w:fill="CCFFCC"/>
            <w:vAlign w:val="center"/>
            <w:hideMark/>
          </w:tcPr>
          <w:p w:rsidR="001D559F" w:rsidRPr="001D559F" w:rsidRDefault="001D559F" w:rsidP="001D559F">
            <w:pPr>
              <w:jc w:val="center"/>
              <w:rPr>
                <w:rFonts w:ascii="Lucida Bright" w:hAnsi="Lucida Bright" w:cs="Calibri"/>
                <w:b/>
                <w:bCs/>
                <w:color w:val="000000"/>
                <w:sz w:val="14"/>
                <w:szCs w:val="14"/>
                <w:lang w:val="es-ES"/>
              </w:rPr>
            </w:pPr>
            <w:r w:rsidRPr="001D559F">
              <w:rPr>
                <w:rFonts w:ascii="Lucida Bright" w:hAnsi="Lucida Bright" w:cs="Calibri"/>
                <w:b/>
                <w:bCs/>
                <w:color w:val="000000"/>
                <w:sz w:val="14"/>
                <w:szCs w:val="14"/>
                <w:lang w:val="es-ES"/>
              </w:rPr>
              <w:t>Ejercicio de desembolso aportación</w:t>
            </w:r>
          </w:p>
        </w:tc>
        <w:tc>
          <w:tcPr>
            <w:tcW w:w="1260" w:type="dxa"/>
            <w:tcBorders>
              <w:top w:val="single" w:sz="8" w:space="0" w:color="000000"/>
              <w:left w:val="nil"/>
              <w:bottom w:val="single" w:sz="8" w:space="0" w:color="000000"/>
              <w:right w:val="single" w:sz="8" w:space="0" w:color="000000"/>
            </w:tcBorders>
            <w:shd w:val="clear" w:color="000000" w:fill="CCFFCC"/>
            <w:vAlign w:val="center"/>
            <w:hideMark/>
          </w:tcPr>
          <w:p w:rsidR="001D559F" w:rsidRPr="001D559F" w:rsidRDefault="001D559F" w:rsidP="001D559F">
            <w:pPr>
              <w:jc w:val="center"/>
              <w:rPr>
                <w:rFonts w:ascii="Lucida Bright" w:hAnsi="Lucida Bright" w:cs="Calibri"/>
                <w:b/>
                <w:bCs/>
                <w:color w:val="000000"/>
                <w:sz w:val="14"/>
                <w:szCs w:val="14"/>
                <w:lang w:val="es-ES"/>
              </w:rPr>
            </w:pPr>
            <w:r>
              <w:rPr>
                <w:rFonts w:ascii="Lucida Bright" w:hAnsi="Lucida Bright" w:cs="Calibri"/>
                <w:b/>
                <w:bCs/>
                <w:color w:val="000000"/>
                <w:sz w:val="14"/>
                <w:szCs w:val="14"/>
                <w:lang w:val="es-ES"/>
              </w:rPr>
              <w:t>Saldo a l/p a 31/12/2024</w:t>
            </w:r>
          </w:p>
        </w:tc>
        <w:tc>
          <w:tcPr>
            <w:tcW w:w="1220" w:type="dxa"/>
            <w:tcBorders>
              <w:top w:val="single" w:sz="8" w:space="0" w:color="000000"/>
              <w:left w:val="nil"/>
              <w:bottom w:val="single" w:sz="8" w:space="0" w:color="000000"/>
              <w:right w:val="single" w:sz="8" w:space="0" w:color="000000"/>
            </w:tcBorders>
            <w:shd w:val="clear" w:color="000000" w:fill="CCFFCC"/>
            <w:vAlign w:val="center"/>
            <w:hideMark/>
          </w:tcPr>
          <w:p w:rsidR="001D559F" w:rsidRPr="001D559F" w:rsidRDefault="001D559F" w:rsidP="001D559F">
            <w:pPr>
              <w:jc w:val="center"/>
              <w:rPr>
                <w:rFonts w:ascii="Lucida Bright" w:hAnsi="Lucida Bright" w:cs="Calibri"/>
                <w:b/>
                <w:bCs/>
                <w:color w:val="000000"/>
                <w:sz w:val="14"/>
                <w:szCs w:val="14"/>
                <w:lang w:val="es-ES"/>
              </w:rPr>
            </w:pPr>
            <w:r>
              <w:rPr>
                <w:rFonts w:ascii="Lucida Bright" w:hAnsi="Lucida Bright" w:cs="Calibri"/>
                <w:b/>
                <w:bCs/>
                <w:color w:val="000000"/>
                <w:sz w:val="14"/>
                <w:szCs w:val="14"/>
                <w:lang w:val="es-ES"/>
              </w:rPr>
              <w:t>Saldo a c/p a 31/12/2024</w:t>
            </w:r>
          </w:p>
        </w:tc>
        <w:tc>
          <w:tcPr>
            <w:tcW w:w="1200" w:type="dxa"/>
            <w:tcBorders>
              <w:top w:val="single" w:sz="8" w:space="0" w:color="000000"/>
              <w:left w:val="nil"/>
              <w:bottom w:val="single" w:sz="8" w:space="0" w:color="000000"/>
              <w:right w:val="single" w:sz="8" w:space="0" w:color="000000"/>
            </w:tcBorders>
            <w:shd w:val="clear" w:color="000000" w:fill="CCFFCC"/>
            <w:noWrap/>
            <w:vAlign w:val="center"/>
            <w:hideMark/>
          </w:tcPr>
          <w:p w:rsidR="001D559F" w:rsidRPr="001D559F" w:rsidRDefault="001D559F" w:rsidP="001D559F">
            <w:pPr>
              <w:jc w:val="center"/>
              <w:rPr>
                <w:rFonts w:ascii="Lucida Bright" w:hAnsi="Lucida Bright" w:cs="Calibri"/>
                <w:b/>
                <w:bCs/>
                <w:color w:val="000000"/>
                <w:sz w:val="14"/>
                <w:szCs w:val="14"/>
                <w:lang w:val="es-ES"/>
              </w:rPr>
            </w:pPr>
            <w:r w:rsidRPr="001D559F">
              <w:rPr>
                <w:rFonts w:ascii="Lucida Bright" w:hAnsi="Lucida Bright" w:cs="Calibri"/>
                <w:b/>
                <w:bCs/>
                <w:color w:val="000000"/>
                <w:sz w:val="14"/>
                <w:szCs w:val="14"/>
                <w:lang w:val="es-ES"/>
              </w:rPr>
              <w:t>Vencimiento</w:t>
            </w:r>
          </w:p>
        </w:tc>
        <w:tc>
          <w:tcPr>
            <w:tcW w:w="1320" w:type="dxa"/>
            <w:tcBorders>
              <w:top w:val="single" w:sz="8" w:space="0" w:color="000000"/>
              <w:left w:val="nil"/>
              <w:bottom w:val="single" w:sz="8" w:space="0" w:color="000000"/>
              <w:right w:val="single" w:sz="8" w:space="0" w:color="000000"/>
            </w:tcBorders>
            <w:shd w:val="clear" w:color="000000" w:fill="CCFFCC"/>
            <w:vAlign w:val="center"/>
            <w:hideMark/>
          </w:tcPr>
          <w:p w:rsidR="001D559F" w:rsidRPr="001D559F" w:rsidRDefault="001D559F" w:rsidP="001D559F">
            <w:pPr>
              <w:jc w:val="center"/>
              <w:rPr>
                <w:rFonts w:ascii="Lucida Bright" w:hAnsi="Lucida Bright" w:cs="Calibri"/>
                <w:b/>
                <w:bCs/>
                <w:color w:val="000000"/>
                <w:sz w:val="14"/>
                <w:szCs w:val="14"/>
                <w:lang w:val="es-ES"/>
              </w:rPr>
            </w:pPr>
            <w:r w:rsidRPr="001D559F">
              <w:rPr>
                <w:rFonts w:ascii="Lucida Bright" w:hAnsi="Lucida Bright" w:cs="Calibri"/>
                <w:b/>
                <w:bCs/>
                <w:color w:val="000000"/>
                <w:sz w:val="14"/>
                <w:szCs w:val="14"/>
                <w:lang w:val="es-ES"/>
              </w:rPr>
              <w:t xml:space="preserve"> Inicio amortizaciones</w:t>
            </w:r>
          </w:p>
        </w:tc>
      </w:tr>
      <w:tr w:rsidR="001D559F" w:rsidRPr="001D559F" w:rsidTr="001D559F">
        <w:trPr>
          <w:trHeight w:val="300"/>
        </w:trPr>
        <w:tc>
          <w:tcPr>
            <w:tcW w:w="1460" w:type="dxa"/>
            <w:tcBorders>
              <w:top w:val="nil"/>
              <w:left w:val="single" w:sz="8" w:space="0" w:color="000000"/>
              <w:bottom w:val="single" w:sz="4" w:space="0" w:color="000000"/>
              <w:right w:val="single" w:sz="4" w:space="0" w:color="000000"/>
            </w:tcBorders>
            <w:shd w:val="clear" w:color="auto" w:fill="auto"/>
            <w:vAlign w:val="center"/>
            <w:hideMark/>
          </w:tcPr>
          <w:p w:rsidR="001D559F" w:rsidRPr="001D559F" w:rsidRDefault="001D559F" w:rsidP="001D559F">
            <w:pPr>
              <w:jc w:val="center"/>
              <w:rPr>
                <w:rFonts w:ascii="Lucida Bright" w:hAnsi="Lucida Bright" w:cs="Calibri"/>
                <w:color w:val="000000"/>
                <w:sz w:val="18"/>
                <w:szCs w:val="18"/>
                <w:lang w:val="es-ES"/>
              </w:rPr>
            </w:pPr>
            <w:r w:rsidRPr="001D559F">
              <w:rPr>
                <w:rFonts w:ascii="Lucida Bright" w:hAnsi="Lucida Bright" w:cs="Calibri"/>
                <w:color w:val="000000"/>
                <w:sz w:val="18"/>
                <w:szCs w:val="18"/>
                <w:lang w:val="es-ES"/>
              </w:rPr>
              <w:t>2019</w:t>
            </w:r>
          </w:p>
        </w:tc>
        <w:tc>
          <w:tcPr>
            <w:tcW w:w="1260" w:type="dxa"/>
            <w:tcBorders>
              <w:top w:val="nil"/>
              <w:left w:val="nil"/>
              <w:bottom w:val="single" w:sz="4" w:space="0" w:color="000000"/>
              <w:right w:val="single" w:sz="4" w:space="0" w:color="000000"/>
            </w:tcBorders>
            <w:shd w:val="clear" w:color="auto" w:fill="auto"/>
            <w:noWrap/>
            <w:vAlign w:val="center"/>
            <w:hideMark/>
          </w:tcPr>
          <w:p w:rsidR="001D559F" w:rsidRPr="001D559F" w:rsidRDefault="001D559F" w:rsidP="001D559F">
            <w:pPr>
              <w:jc w:val="right"/>
              <w:rPr>
                <w:rFonts w:ascii="Lucida Bright" w:hAnsi="Lucida Bright" w:cs="Calibri"/>
                <w:sz w:val="18"/>
                <w:szCs w:val="18"/>
                <w:lang w:val="es-ES"/>
              </w:rPr>
            </w:pPr>
            <w:r w:rsidRPr="001D559F">
              <w:rPr>
                <w:rFonts w:ascii="Lucida Bright" w:hAnsi="Lucida Bright" w:cs="Calibri"/>
                <w:sz w:val="18"/>
                <w:szCs w:val="18"/>
                <w:lang w:val="es-ES"/>
              </w:rPr>
              <w:t>181.235,28</w:t>
            </w:r>
          </w:p>
        </w:tc>
        <w:tc>
          <w:tcPr>
            <w:tcW w:w="1220" w:type="dxa"/>
            <w:tcBorders>
              <w:top w:val="nil"/>
              <w:left w:val="nil"/>
              <w:bottom w:val="single" w:sz="4" w:space="0" w:color="000000"/>
              <w:right w:val="single" w:sz="4" w:space="0" w:color="000000"/>
            </w:tcBorders>
            <w:shd w:val="clear" w:color="auto" w:fill="auto"/>
            <w:noWrap/>
            <w:vAlign w:val="center"/>
            <w:hideMark/>
          </w:tcPr>
          <w:p w:rsidR="001D559F" w:rsidRPr="001D559F" w:rsidRDefault="001D559F" w:rsidP="001D559F">
            <w:pPr>
              <w:jc w:val="right"/>
              <w:rPr>
                <w:rFonts w:ascii="Lucida Bright" w:hAnsi="Lucida Bright" w:cs="Calibri"/>
                <w:sz w:val="18"/>
                <w:szCs w:val="18"/>
                <w:lang w:val="es-ES"/>
              </w:rPr>
            </w:pPr>
            <w:r w:rsidRPr="001D559F">
              <w:rPr>
                <w:rFonts w:ascii="Lucida Bright" w:hAnsi="Lucida Bright" w:cs="Calibri"/>
                <w:sz w:val="18"/>
                <w:szCs w:val="18"/>
                <w:lang w:val="es-ES"/>
              </w:rPr>
              <w:t>13.941,18</w:t>
            </w:r>
          </w:p>
        </w:tc>
        <w:tc>
          <w:tcPr>
            <w:tcW w:w="1200" w:type="dxa"/>
            <w:tcBorders>
              <w:top w:val="nil"/>
              <w:left w:val="nil"/>
              <w:bottom w:val="single" w:sz="4" w:space="0" w:color="000000"/>
              <w:right w:val="single" w:sz="8" w:space="0" w:color="000000"/>
            </w:tcBorders>
            <w:shd w:val="clear" w:color="000000" w:fill="FFFFFF"/>
            <w:noWrap/>
            <w:vAlign w:val="center"/>
            <w:hideMark/>
          </w:tcPr>
          <w:p w:rsidR="001D559F" w:rsidRPr="001D559F" w:rsidRDefault="001D559F" w:rsidP="001D559F">
            <w:pPr>
              <w:jc w:val="right"/>
              <w:rPr>
                <w:rFonts w:ascii="Lucida Bright" w:hAnsi="Lucida Bright" w:cs="Calibri"/>
                <w:color w:val="000000"/>
                <w:sz w:val="18"/>
                <w:szCs w:val="18"/>
                <w:lang w:val="es-ES"/>
              </w:rPr>
            </w:pPr>
            <w:r w:rsidRPr="001D559F">
              <w:rPr>
                <w:rFonts w:ascii="Lucida Bright" w:hAnsi="Lucida Bright" w:cs="Calibri"/>
                <w:color w:val="000000"/>
                <w:sz w:val="18"/>
                <w:szCs w:val="18"/>
                <w:lang w:val="es-ES"/>
              </w:rPr>
              <w:t>15/12/2038</w:t>
            </w:r>
          </w:p>
        </w:tc>
        <w:tc>
          <w:tcPr>
            <w:tcW w:w="1320" w:type="dxa"/>
            <w:tcBorders>
              <w:top w:val="nil"/>
              <w:left w:val="single" w:sz="4" w:space="0" w:color="000000"/>
              <w:bottom w:val="single" w:sz="4" w:space="0" w:color="000000"/>
              <w:right w:val="single" w:sz="8" w:space="0" w:color="000000"/>
            </w:tcBorders>
            <w:shd w:val="clear" w:color="000000" w:fill="FFFFFF"/>
            <w:noWrap/>
            <w:vAlign w:val="center"/>
            <w:hideMark/>
          </w:tcPr>
          <w:p w:rsidR="001D559F" w:rsidRPr="001D559F" w:rsidRDefault="001D559F" w:rsidP="001D559F">
            <w:pPr>
              <w:jc w:val="right"/>
              <w:rPr>
                <w:rFonts w:ascii="Lucida Bright" w:hAnsi="Lucida Bright" w:cs="Calibri"/>
                <w:color w:val="000000"/>
                <w:sz w:val="18"/>
                <w:szCs w:val="18"/>
                <w:lang w:val="es-ES"/>
              </w:rPr>
            </w:pPr>
            <w:r w:rsidRPr="001D559F">
              <w:rPr>
                <w:rFonts w:ascii="Lucida Bright" w:hAnsi="Lucida Bright" w:cs="Calibri"/>
                <w:color w:val="000000"/>
                <w:sz w:val="18"/>
                <w:szCs w:val="18"/>
                <w:lang w:val="es-ES"/>
              </w:rPr>
              <w:t>15/12/2022</w:t>
            </w:r>
          </w:p>
        </w:tc>
      </w:tr>
      <w:tr w:rsidR="001D559F" w:rsidRPr="001D559F" w:rsidTr="001D559F">
        <w:trPr>
          <w:trHeight w:val="300"/>
        </w:trPr>
        <w:tc>
          <w:tcPr>
            <w:tcW w:w="1460" w:type="dxa"/>
            <w:tcBorders>
              <w:top w:val="nil"/>
              <w:left w:val="single" w:sz="8" w:space="0" w:color="000000"/>
              <w:bottom w:val="single" w:sz="4" w:space="0" w:color="000000"/>
              <w:right w:val="single" w:sz="4" w:space="0" w:color="000000"/>
            </w:tcBorders>
            <w:shd w:val="clear" w:color="auto" w:fill="auto"/>
            <w:vAlign w:val="center"/>
            <w:hideMark/>
          </w:tcPr>
          <w:p w:rsidR="001D559F" w:rsidRPr="001D559F" w:rsidRDefault="001D559F" w:rsidP="001D559F">
            <w:pPr>
              <w:jc w:val="center"/>
              <w:rPr>
                <w:rFonts w:ascii="Lucida Bright" w:hAnsi="Lucida Bright" w:cs="Calibri"/>
                <w:color w:val="000000"/>
                <w:sz w:val="18"/>
                <w:szCs w:val="18"/>
                <w:lang w:val="es-ES"/>
              </w:rPr>
            </w:pPr>
            <w:r w:rsidRPr="001D559F">
              <w:rPr>
                <w:rFonts w:ascii="Lucida Bright" w:hAnsi="Lucida Bright" w:cs="Calibri"/>
                <w:color w:val="000000"/>
                <w:sz w:val="18"/>
                <w:szCs w:val="18"/>
                <w:lang w:val="es-ES"/>
              </w:rPr>
              <w:t>2020</w:t>
            </w:r>
          </w:p>
        </w:tc>
        <w:tc>
          <w:tcPr>
            <w:tcW w:w="1260" w:type="dxa"/>
            <w:tcBorders>
              <w:top w:val="nil"/>
              <w:left w:val="nil"/>
              <w:bottom w:val="single" w:sz="4" w:space="0" w:color="000000"/>
              <w:right w:val="single" w:sz="4" w:space="0" w:color="000000"/>
            </w:tcBorders>
            <w:shd w:val="clear" w:color="auto" w:fill="auto"/>
            <w:noWrap/>
            <w:vAlign w:val="center"/>
            <w:hideMark/>
          </w:tcPr>
          <w:p w:rsidR="001D559F" w:rsidRPr="001D559F" w:rsidRDefault="001D559F" w:rsidP="001D559F">
            <w:pPr>
              <w:jc w:val="right"/>
              <w:rPr>
                <w:rFonts w:ascii="Lucida Bright" w:hAnsi="Lucida Bright" w:cs="Calibri"/>
                <w:sz w:val="18"/>
                <w:szCs w:val="18"/>
                <w:lang w:val="es-ES"/>
              </w:rPr>
            </w:pPr>
            <w:r w:rsidRPr="001D559F">
              <w:rPr>
                <w:rFonts w:ascii="Lucida Bright" w:hAnsi="Lucida Bright" w:cs="Calibri"/>
                <w:sz w:val="18"/>
                <w:szCs w:val="18"/>
                <w:lang w:val="es-ES"/>
              </w:rPr>
              <w:t>195.176,46</w:t>
            </w:r>
          </w:p>
        </w:tc>
        <w:tc>
          <w:tcPr>
            <w:tcW w:w="1220" w:type="dxa"/>
            <w:tcBorders>
              <w:top w:val="nil"/>
              <w:left w:val="nil"/>
              <w:bottom w:val="single" w:sz="4" w:space="0" w:color="000000"/>
              <w:right w:val="single" w:sz="4" w:space="0" w:color="000000"/>
            </w:tcBorders>
            <w:shd w:val="clear" w:color="auto" w:fill="auto"/>
            <w:noWrap/>
            <w:vAlign w:val="center"/>
            <w:hideMark/>
          </w:tcPr>
          <w:p w:rsidR="001D559F" w:rsidRPr="001D559F" w:rsidRDefault="001D559F" w:rsidP="001D559F">
            <w:pPr>
              <w:jc w:val="right"/>
              <w:rPr>
                <w:rFonts w:ascii="Lucida Bright" w:hAnsi="Lucida Bright" w:cs="Calibri"/>
                <w:sz w:val="18"/>
                <w:szCs w:val="18"/>
                <w:lang w:val="es-ES"/>
              </w:rPr>
            </w:pPr>
            <w:r w:rsidRPr="001D559F">
              <w:rPr>
                <w:rFonts w:ascii="Lucida Bright" w:hAnsi="Lucida Bright" w:cs="Calibri"/>
                <w:sz w:val="18"/>
                <w:szCs w:val="18"/>
                <w:lang w:val="es-ES"/>
              </w:rPr>
              <w:t>13.941,18</w:t>
            </w:r>
          </w:p>
        </w:tc>
        <w:tc>
          <w:tcPr>
            <w:tcW w:w="1200" w:type="dxa"/>
            <w:tcBorders>
              <w:top w:val="nil"/>
              <w:left w:val="nil"/>
              <w:bottom w:val="single" w:sz="4" w:space="0" w:color="000000"/>
              <w:right w:val="single" w:sz="8" w:space="0" w:color="000000"/>
            </w:tcBorders>
            <w:shd w:val="clear" w:color="000000" w:fill="FFFFFF"/>
            <w:noWrap/>
            <w:vAlign w:val="center"/>
            <w:hideMark/>
          </w:tcPr>
          <w:p w:rsidR="001D559F" w:rsidRPr="001D559F" w:rsidRDefault="001D559F" w:rsidP="001D559F">
            <w:pPr>
              <w:jc w:val="right"/>
              <w:rPr>
                <w:rFonts w:ascii="Lucida Bright" w:hAnsi="Lucida Bright" w:cs="Calibri"/>
                <w:color w:val="000000"/>
                <w:sz w:val="18"/>
                <w:szCs w:val="18"/>
                <w:lang w:val="es-ES"/>
              </w:rPr>
            </w:pPr>
            <w:r w:rsidRPr="001D559F">
              <w:rPr>
                <w:rFonts w:ascii="Lucida Bright" w:hAnsi="Lucida Bright" w:cs="Calibri"/>
                <w:color w:val="000000"/>
                <w:sz w:val="18"/>
                <w:szCs w:val="18"/>
                <w:lang w:val="es-ES"/>
              </w:rPr>
              <w:t>15/12/2039</w:t>
            </w:r>
          </w:p>
        </w:tc>
        <w:tc>
          <w:tcPr>
            <w:tcW w:w="1320" w:type="dxa"/>
            <w:tcBorders>
              <w:top w:val="nil"/>
              <w:left w:val="single" w:sz="4" w:space="0" w:color="000000"/>
              <w:bottom w:val="single" w:sz="4" w:space="0" w:color="000000"/>
              <w:right w:val="single" w:sz="8" w:space="0" w:color="000000"/>
            </w:tcBorders>
            <w:shd w:val="clear" w:color="000000" w:fill="FFFFFF"/>
            <w:noWrap/>
            <w:vAlign w:val="center"/>
            <w:hideMark/>
          </w:tcPr>
          <w:p w:rsidR="001D559F" w:rsidRPr="001D559F" w:rsidRDefault="001D559F" w:rsidP="001D559F">
            <w:pPr>
              <w:jc w:val="right"/>
              <w:rPr>
                <w:rFonts w:ascii="Lucida Bright" w:hAnsi="Lucida Bright" w:cs="Calibri"/>
                <w:color w:val="000000"/>
                <w:sz w:val="18"/>
                <w:szCs w:val="18"/>
                <w:lang w:val="es-ES"/>
              </w:rPr>
            </w:pPr>
            <w:r w:rsidRPr="001D559F">
              <w:rPr>
                <w:rFonts w:ascii="Lucida Bright" w:hAnsi="Lucida Bright" w:cs="Calibri"/>
                <w:color w:val="000000"/>
                <w:sz w:val="18"/>
                <w:szCs w:val="18"/>
                <w:lang w:val="es-ES"/>
              </w:rPr>
              <w:t>15/12/2023</w:t>
            </w:r>
          </w:p>
        </w:tc>
      </w:tr>
      <w:tr w:rsidR="001D559F" w:rsidRPr="001D559F" w:rsidTr="001D559F">
        <w:trPr>
          <w:trHeight w:val="300"/>
        </w:trPr>
        <w:tc>
          <w:tcPr>
            <w:tcW w:w="1460" w:type="dxa"/>
            <w:tcBorders>
              <w:top w:val="nil"/>
              <w:left w:val="single" w:sz="8" w:space="0" w:color="000000"/>
              <w:bottom w:val="single" w:sz="4" w:space="0" w:color="000000"/>
              <w:right w:val="single" w:sz="4" w:space="0" w:color="000000"/>
            </w:tcBorders>
            <w:shd w:val="clear" w:color="auto" w:fill="auto"/>
            <w:vAlign w:val="center"/>
            <w:hideMark/>
          </w:tcPr>
          <w:p w:rsidR="001D559F" w:rsidRPr="001D559F" w:rsidRDefault="001D559F" w:rsidP="001D559F">
            <w:pPr>
              <w:jc w:val="center"/>
              <w:rPr>
                <w:rFonts w:ascii="Lucida Bright" w:hAnsi="Lucida Bright" w:cs="Calibri"/>
                <w:color w:val="000000"/>
                <w:sz w:val="18"/>
                <w:szCs w:val="18"/>
                <w:lang w:val="es-ES"/>
              </w:rPr>
            </w:pPr>
            <w:r w:rsidRPr="001D559F">
              <w:rPr>
                <w:rFonts w:ascii="Lucida Bright" w:hAnsi="Lucida Bright" w:cs="Calibri"/>
                <w:color w:val="000000"/>
                <w:sz w:val="18"/>
                <w:szCs w:val="18"/>
                <w:lang w:val="es-ES"/>
              </w:rPr>
              <w:t>2021</w:t>
            </w:r>
          </w:p>
        </w:tc>
        <w:tc>
          <w:tcPr>
            <w:tcW w:w="1260" w:type="dxa"/>
            <w:tcBorders>
              <w:top w:val="nil"/>
              <w:left w:val="nil"/>
              <w:bottom w:val="single" w:sz="4" w:space="0" w:color="000000"/>
              <w:right w:val="single" w:sz="4" w:space="0" w:color="000000"/>
            </w:tcBorders>
            <w:shd w:val="clear" w:color="000000" w:fill="FFFFFF"/>
            <w:noWrap/>
            <w:vAlign w:val="center"/>
            <w:hideMark/>
          </w:tcPr>
          <w:p w:rsidR="001D559F" w:rsidRPr="001D559F" w:rsidRDefault="001D559F" w:rsidP="001D559F">
            <w:pPr>
              <w:jc w:val="right"/>
              <w:rPr>
                <w:rFonts w:ascii="Lucida Bright" w:hAnsi="Lucida Bright" w:cs="Calibri"/>
                <w:color w:val="000000"/>
                <w:sz w:val="18"/>
                <w:szCs w:val="18"/>
                <w:lang w:val="es-ES"/>
              </w:rPr>
            </w:pPr>
            <w:r w:rsidRPr="001D559F">
              <w:rPr>
                <w:rFonts w:ascii="Lucida Bright" w:hAnsi="Lucida Bright" w:cs="Calibri"/>
                <w:color w:val="000000"/>
                <w:sz w:val="18"/>
                <w:szCs w:val="18"/>
                <w:lang w:val="es-ES"/>
              </w:rPr>
              <w:t>1.096.764,70</w:t>
            </w:r>
          </w:p>
        </w:tc>
        <w:tc>
          <w:tcPr>
            <w:tcW w:w="1220" w:type="dxa"/>
            <w:tcBorders>
              <w:top w:val="nil"/>
              <w:left w:val="nil"/>
              <w:bottom w:val="single" w:sz="4" w:space="0" w:color="000000"/>
              <w:right w:val="single" w:sz="4" w:space="0" w:color="000000"/>
            </w:tcBorders>
            <w:shd w:val="clear" w:color="000000" w:fill="FFFFFF"/>
            <w:noWrap/>
            <w:vAlign w:val="center"/>
            <w:hideMark/>
          </w:tcPr>
          <w:p w:rsidR="001D559F" w:rsidRPr="001D559F" w:rsidRDefault="001D559F" w:rsidP="001D559F">
            <w:pPr>
              <w:jc w:val="right"/>
              <w:rPr>
                <w:rFonts w:ascii="Lucida Bright" w:hAnsi="Lucida Bright" w:cs="Calibri"/>
                <w:color w:val="000000"/>
                <w:sz w:val="18"/>
                <w:szCs w:val="18"/>
                <w:lang w:val="es-ES"/>
              </w:rPr>
            </w:pPr>
            <w:r w:rsidRPr="001D559F">
              <w:rPr>
                <w:rFonts w:ascii="Lucida Bright" w:hAnsi="Lucida Bright" w:cs="Calibri"/>
                <w:color w:val="000000"/>
                <w:sz w:val="18"/>
                <w:szCs w:val="18"/>
                <w:lang w:val="es-ES"/>
              </w:rPr>
              <w:t>73.117,65</w:t>
            </w:r>
          </w:p>
        </w:tc>
        <w:tc>
          <w:tcPr>
            <w:tcW w:w="1200" w:type="dxa"/>
            <w:tcBorders>
              <w:top w:val="nil"/>
              <w:left w:val="nil"/>
              <w:bottom w:val="single" w:sz="4" w:space="0" w:color="000000"/>
              <w:right w:val="single" w:sz="8" w:space="0" w:color="000000"/>
            </w:tcBorders>
            <w:shd w:val="clear" w:color="000000" w:fill="FFFFFF"/>
            <w:noWrap/>
            <w:vAlign w:val="center"/>
            <w:hideMark/>
          </w:tcPr>
          <w:p w:rsidR="001D559F" w:rsidRPr="001D559F" w:rsidRDefault="001D559F" w:rsidP="001D559F">
            <w:pPr>
              <w:jc w:val="right"/>
              <w:rPr>
                <w:rFonts w:ascii="Lucida Bright" w:hAnsi="Lucida Bright" w:cs="Calibri"/>
                <w:color w:val="000000"/>
                <w:sz w:val="18"/>
                <w:szCs w:val="18"/>
                <w:lang w:val="es-ES"/>
              </w:rPr>
            </w:pPr>
            <w:r w:rsidRPr="001D559F">
              <w:rPr>
                <w:rFonts w:ascii="Lucida Bright" w:hAnsi="Lucida Bright" w:cs="Calibri"/>
                <w:color w:val="000000"/>
                <w:sz w:val="18"/>
                <w:szCs w:val="18"/>
                <w:lang w:val="es-ES"/>
              </w:rPr>
              <w:t>17/12/2040</w:t>
            </w:r>
          </w:p>
        </w:tc>
        <w:tc>
          <w:tcPr>
            <w:tcW w:w="1320" w:type="dxa"/>
            <w:tcBorders>
              <w:top w:val="nil"/>
              <w:left w:val="single" w:sz="4" w:space="0" w:color="000000"/>
              <w:bottom w:val="single" w:sz="4" w:space="0" w:color="000000"/>
              <w:right w:val="single" w:sz="8" w:space="0" w:color="000000"/>
            </w:tcBorders>
            <w:shd w:val="clear" w:color="000000" w:fill="FFFFFF"/>
            <w:noWrap/>
            <w:vAlign w:val="center"/>
            <w:hideMark/>
          </w:tcPr>
          <w:p w:rsidR="001D559F" w:rsidRPr="001D559F" w:rsidRDefault="001D559F" w:rsidP="001D559F">
            <w:pPr>
              <w:jc w:val="right"/>
              <w:rPr>
                <w:rFonts w:ascii="Lucida Bright" w:hAnsi="Lucida Bright" w:cs="Calibri"/>
                <w:color w:val="000000"/>
                <w:sz w:val="18"/>
                <w:szCs w:val="18"/>
                <w:lang w:val="es-ES"/>
              </w:rPr>
            </w:pPr>
            <w:r w:rsidRPr="001D559F">
              <w:rPr>
                <w:rFonts w:ascii="Lucida Bright" w:hAnsi="Lucida Bright" w:cs="Calibri"/>
                <w:color w:val="000000"/>
                <w:sz w:val="18"/>
                <w:szCs w:val="18"/>
                <w:lang w:val="es-ES"/>
              </w:rPr>
              <w:t>16/12/2024</w:t>
            </w:r>
          </w:p>
        </w:tc>
      </w:tr>
      <w:tr w:rsidR="001D559F" w:rsidRPr="001D559F" w:rsidTr="001D559F">
        <w:trPr>
          <w:trHeight w:val="300"/>
        </w:trPr>
        <w:tc>
          <w:tcPr>
            <w:tcW w:w="1460" w:type="dxa"/>
            <w:tcBorders>
              <w:top w:val="nil"/>
              <w:left w:val="single" w:sz="8" w:space="0" w:color="000000"/>
              <w:bottom w:val="single" w:sz="8" w:space="0" w:color="000000"/>
              <w:right w:val="single" w:sz="4" w:space="0" w:color="000000"/>
            </w:tcBorders>
            <w:shd w:val="clear" w:color="auto" w:fill="auto"/>
            <w:vAlign w:val="center"/>
            <w:hideMark/>
          </w:tcPr>
          <w:p w:rsidR="001D559F" w:rsidRPr="001D559F" w:rsidRDefault="001D559F" w:rsidP="001D559F">
            <w:pPr>
              <w:jc w:val="center"/>
              <w:rPr>
                <w:rFonts w:ascii="Lucida Bright" w:hAnsi="Lucida Bright" w:cs="Calibri"/>
                <w:color w:val="000000"/>
                <w:sz w:val="18"/>
                <w:szCs w:val="18"/>
                <w:lang w:val="es-ES"/>
              </w:rPr>
            </w:pPr>
            <w:r w:rsidRPr="001D559F">
              <w:rPr>
                <w:rFonts w:ascii="Lucida Bright" w:hAnsi="Lucida Bright" w:cs="Calibri"/>
                <w:color w:val="000000"/>
                <w:sz w:val="18"/>
                <w:szCs w:val="18"/>
                <w:lang w:val="es-ES"/>
              </w:rPr>
              <w:t>2022</w:t>
            </w:r>
          </w:p>
        </w:tc>
        <w:tc>
          <w:tcPr>
            <w:tcW w:w="1260" w:type="dxa"/>
            <w:tcBorders>
              <w:top w:val="nil"/>
              <w:left w:val="nil"/>
              <w:bottom w:val="single" w:sz="8" w:space="0" w:color="000000"/>
              <w:right w:val="single" w:sz="4" w:space="0" w:color="000000"/>
            </w:tcBorders>
            <w:shd w:val="clear" w:color="000000" w:fill="FFFFFF"/>
            <w:noWrap/>
            <w:vAlign w:val="center"/>
            <w:hideMark/>
          </w:tcPr>
          <w:p w:rsidR="001D559F" w:rsidRPr="001D559F" w:rsidRDefault="001D559F" w:rsidP="001D559F">
            <w:pPr>
              <w:jc w:val="right"/>
              <w:rPr>
                <w:rFonts w:ascii="Lucida Bright" w:hAnsi="Lucida Bright" w:cs="Calibri"/>
                <w:color w:val="000000"/>
                <w:sz w:val="18"/>
                <w:szCs w:val="18"/>
                <w:lang w:val="es-ES"/>
              </w:rPr>
            </w:pPr>
            <w:r w:rsidRPr="001D559F">
              <w:rPr>
                <w:rFonts w:ascii="Lucida Bright" w:hAnsi="Lucida Bright" w:cs="Calibri"/>
                <w:color w:val="000000"/>
                <w:sz w:val="18"/>
                <w:szCs w:val="18"/>
                <w:lang w:val="es-ES"/>
              </w:rPr>
              <w:t>3.618.823,53</w:t>
            </w:r>
          </w:p>
        </w:tc>
        <w:tc>
          <w:tcPr>
            <w:tcW w:w="1220" w:type="dxa"/>
            <w:tcBorders>
              <w:top w:val="nil"/>
              <w:left w:val="nil"/>
              <w:bottom w:val="single" w:sz="8" w:space="0" w:color="000000"/>
              <w:right w:val="single" w:sz="4" w:space="0" w:color="000000"/>
            </w:tcBorders>
            <w:shd w:val="clear" w:color="000000" w:fill="FFFFFF"/>
            <w:noWrap/>
            <w:vAlign w:val="center"/>
            <w:hideMark/>
          </w:tcPr>
          <w:p w:rsidR="001D559F" w:rsidRPr="001D559F" w:rsidRDefault="001D559F" w:rsidP="001D559F">
            <w:pPr>
              <w:jc w:val="right"/>
              <w:rPr>
                <w:rFonts w:ascii="Lucida Bright" w:hAnsi="Lucida Bright" w:cs="Calibri"/>
                <w:color w:val="000000"/>
                <w:sz w:val="18"/>
                <w:szCs w:val="18"/>
                <w:lang w:val="es-ES"/>
              </w:rPr>
            </w:pPr>
            <w:r w:rsidRPr="001D559F">
              <w:rPr>
                <w:rFonts w:ascii="Lucida Bright" w:hAnsi="Lucida Bright" w:cs="Calibri"/>
                <w:color w:val="000000"/>
                <w:sz w:val="18"/>
                <w:szCs w:val="18"/>
                <w:lang w:val="es-ES"/>
              </w:rPr>
              <w:t>226.176,47</w:t>
            </w:r>
          </w:p>
        </w:tc>
        <w:tc>
          <w:tcPr>
            <w:tcW w:w="1200" w:type="dxa"/>
            <w:tcBorders>
              <w:top w:val="nil"/>
              <w:left w:val="nil"/>
              <w:bottom w:val="single" w:sz="8" w:space="0" w:color="000000"/>
              <w:right w:val="single" w:sz="8" w:space="0" w:color="000000"/>
            </w:tcBorders>
            <w:shd w:val="clear" w:color="000000" w:fill="FFFFFF"/>
            <w:noWrap/>
            <w:vAlign w:val="center"/>
            <w:hideMark/>
          </w:tcPr>
          <w:p w:rsidR="001D559F" w:rsidRPr="001D559F" w:rsidRDefault="001D559F" w:rsidP="001D559F">
            <w:pPr>
              <w:jc w:val="right"/>
              <w:rPr>
                <w:rFonts w:ascii="Lucida Bright" w:hAnsi="Lucida Bright" w:cs="Calibri"/>
                <w:color w:val="000000"/>
                <w:sz w:val="18"/>
                <w:szCs w:val="18"/>
                <w:lang w:val="es-ES"/>
              </w:rPr>
            </w:pPr>
            <w:r w:rsidRPr="001D559F">
              <w:rPr>
                <w:rFonts w:ascii="Lucida Bright" w:hAnsi="Lucida Bright" w:cs="Calibri"/>
                <w:color w:val="000000"/>
                <w:sz w:val="18"/>
                <w:szCs w:val="18"/>
                <w:lang w:val="es-ES"/>
              </w:rPr>
              <w:t>16/12/2041</w:t>
            </w:r>
          </w:p>
        </w:tc>
        <w:tc>
          <w:tcPr>
            <w:tcW w:w="1320" w:type="dxa"/>
            <w:tcBorders>
              <w:top w:val="nil"/>
              <w:left w:val="single" w:sz="4" w:space="0" w:color="000000"/>
              <w:bottom w:val="single" w:sz="8" w:space="0" w:color="000000"/>
              <w:right w:val="single" w:sz="8" w:space="0" w:color="000000"/>
            </w:tcBorders>
            <w:shd w:val="clear" w:color="000000" w:fill="FFFFFF"/>
            <w:noWrap/>
            <w:vAlign w:val="center"/>
            <w:hideMark/>
          </w:tcPr>
          <w:p w:rsidR="001D559F" w:rsidRPr="001D559F" w:rsidRDefault="001D559F" w:rsidP="001D559F">
            <w:pPr>
              <w:jc w:val="right"/>
              <w:rPr>
                <w:rFonts w:ascii="Lucida Bright" w:hAnsi="Lucida Bright" w:cs="Calibri"/>
                <w:color w:val="000000"/>
                <w:sz w:val="18"/>
                <w:szCs w:val="18"/>
                <w:lang w:val="es-ES"/>
              </w:rPr>
            </w:pPr>
            <w:r w:rsidRPr="001D559F">
              <w:rPr>
                <w:rFonts w:ascii="Lucida Bright" w:hAnsi="Lucida Bright" w:cs="Calibri"/>
                <w:color w:val="000000"/>
                <w:sz w:val="18"/>
                <w:szCs w:val="18"/>
                <w:lang w:val="es-ES"/>
              </w:rPr>
              <w:t>15/12/2025</w:t>
            </w:r>
          </w:p>
        </w:tc>
      </w:tr>
      <w:tr w:rsidR="001D559F" w:rsidRPr="001D559F" w:rsidTr="001D559F">
        <w:trPr>
          <w:trHeight w:val="300"/>
        </w:trPr>
        <w:tc>
          <w:tcPr>
            <w:tcW w:w="1460" w:type="dxa"/>
            <w:tcBorders>
              <w:top w:val="nil"/>
              <w:left w:val="single" w:sz="8" w:space="0" w:color="000000"/>
              <w:bottom w:val="single" w:sz="8" w:space="0" w:color="000000"/>
              <w:right w:val="single" w:sz="8" w:space="0" w:color="000000"/>
            </w:tcBorders>
            <w:shd w:val="clear" w:color="auto" w:fill="auto"/>
            <w:vAlign w:val="center"/>
            <w:hideMark/>
          </w:tcPr>
          <w:p w:rsidR="001D559F" w:rsidRPr="001D559F" w:rsidRDefault="001D559F" w:rsidP="001D559F">
            <w:pPr>
              <w:ind w:firstLineChars="200" w:firstLine="361"/>
              <w:jc w:val="right"/>
              <w:rPr>
                <w:rFonts w:ascii="Lucida Bright" w:hAnsi="Lucida Bright" w:cs="Calibri"/>
                <w:b/>
                <w:bCs/>
                <w:color w:val="000000"/>
                <w:sz w:val="18"/>
                <w:szCs w:val="18"/>
                <w:lang w:val="es-ES"/>
              </w:rPr>
            </w:pPr>
            <w:r w:rsidRPr="001D559F">
              <w:rPr>
                <w:rFonts w:ascii="Lucida Bright" w:hAnsi="Lucida Bright" w:cs="Calibri"/>
                <w:b/>
                <w:bCs/>
                <w:color w:val="000000"/>
                <w:sz w:val="18"/>
                <w:szCs w:val="18"/>
                <w:lang w:val="es-ES"/>
              </w:rPr>
              <w:t>TOTAL</w:t>
            </w:r>
          </w:p>
        </w:tc>
        <w:tc>
          <w:tcPr>
            <w:tcW w:w="1260" w:type="dxa"/>
            <w:tcBorders>
              <w:top w:val="nil"/>
              <w:left w:val="nil"/>
              <w:bottom w:val="single" w:sz="8" w:space="0" w:color="000000"/>
              <w:right w:val="single" w:sz="8" w:space="0" w:color="000000"/>
            </w:tcBorders>
            <w:shd w:val="clear" w:color="auto" w:fill="auto"/>
            <w:noWrap/>
            <w:vAlign w:val="center"/>
            <w:hideMark/>
          </w:tcPr>
          <w:p w:rsidR="001D559F" w:rsidRPr="001D559F" w:rsidRDefault="001D559F" w:rsidP="001D559F">
            <w:pPr>
              <w:jc w:val="right"/>
              <w:rPr>
                <w:rFonts w:ascii="Lucida Bright" w:hAnsi="Lucida Bright" w:cs="Calibri"/>
                <w:b/>
                <w:bCs/>
                <w:color w:val="000000"/>
                <w:sz w:val="18"/>
                <w:szCs w:val="18"/>
                <w:lang w:val="es-ES"/>
              </w:rPr>
            </w:pPr>
            <w:r w:rsidRPr="001D559F">
              <w:rPr>
                <w:rFonts w:ascii="Lucida Bright" w:hAnsi="Lucida Bright" w:cs="Calibri"/>
                <w:b/>
                <w:bCs/>
                <w:color w:val="000000"/>
                <w:sz w:val="18"/>
                <w:szCs w:val="18"/>
                <w:lang w:val="es-ES"/>
              </w:rPr>
              <w:t>5.091.999,97</w:t>
            </w:r>
          </w:p>
        </w:tc>
        <w:tc>
          <w:tcPr>
            <w:tcW w:w="1220" w:type="dxa"/>
            <w:tcBorders>
              <w:top w:val="nil"/>
              <w:left w:val="nil"/>
              <w:bottom w:val="single" w:sz="8" w:space="0" w:color="000000"/>
              <w:right w:val="single" w:sz="8" w:space="0" w:color="000000"/>
            </w:tcBorders>
            <w:shd w:val="clear" w:color="auto" w:fill="auto"/>
            <w:noWrap/>
            <w:vAlign w:val="center"/>
            <w:hideMark/>
          </w:tcPr>
          <w:p w:rsidR="001D559F" w:rsidRPr="001D559F" w:rsidRDefault="001D559F" w:rsidP="001D559F">
            <w:pPr>
              <w:jc w:val="right"/>
              <w:rPr>
                <w:rFonts w:ascii="Lucida Bright" w:hAnsi="Lucida Bright" w:cs="Calibri"/>
                <w:b/>
                <w:bCs/>
                <w:color w:val="000000"/>
                <w:sz w:val="18"/>
                <w:szCs w:val="18"/>
                <w:lang w:val="es-ES"/>
              </w:rPr>
            </w:pPr>
            <w:r w:rsidRPr="001D559F">
              <w:rPr>
                <w:rFonts w:ascii="Lucida Bright" w:hAnsi="Lucida Bright" w:cs="Calibri"/>
                <w:b/>
                <w:bCs/>
                <w:color w:val="000000"/>
                <w:sz w:val="18"/>
                <w:szCs w:val="18"/>
                <w:lang w:val="es-ES"/>
              </w:rPr>
              <w:t>327.176,48</w:t>
            </w:r>
          </w:p>
        </w:tc>
        <w:tc>
          <w:tcPr>
            <w:tcW w:w="1200" w:type="dxa"/>
            <w:tcBorders>
              <w:top w:val="nil"/>
              <w:left w:val="nil"/>
              <w:bottom w:val="single" w:sz="8" w:space="0" w:color="000000"/>
              <w:right w:val="single" w:sz="8" w:space="0" w:color="000000"/>
            </w:tcBorders>
            <w:shd w:val="clear" w:color="auto" w:fill="auto"/>
            <w:noWrap/>
            <w:vAlign w:val="center"/>
            <w:hideMark/>
          </w:tcPr>
          <w:p w:rsidR="001D559F" w:rsidRPr="001D559F" w:rsidRDefault="001D559F" w:rsidP="001D559F">
            <w:pPr>
              <w:jc w:val="right"/>
              <w:rPr>
                <w:rFonts w:ascii="Lucida Bright" w:hAnsi="Lucida Bright" w:cs="Calibri"/>
                <w:b/>
                <w:bCs/>
                <w:color w:val="000000"/>
                <w:sz w:val="18"/>
                <w:szCs w:val="18"/>
                <w:lang w:val="es-ES"/>
              </w:rPr>
            </w:pPr>
            <w:r w:rsidRPr="001D559F">
              <w:rPr>
                <w:rFonts w:ascii="Lucida Bright" w:hAnsi="Lucida Bright" w:cs="Calibri"/>
                <w:b/>
                <w:bCs/>
                <w:color w:val="000000"/>
                <w:sz w:val="18"/>
                <w:szCs w:val="18"/>
                <w:lang w:val="es-ES"/>
              </w:rPr>
              <w:t> </w:t>
            </w:r>
          </w:p>
        </w:tc>
        <w:tc>
          <w:tcPr>
            <w:tcW w:w="1320" w:type="dxa"/>
            <w:tcBorders>
              <w:top w:val="nil"/>
              <w:left w:val="nil"/>
              <w:bottom w:val="single" w:sz="8" w:space="0" w:color="000000"/>
              <w:right w:val="single" w:sz="8" w:space="0" w:color="000000"/>
            </w:tcBorders>
            <w:shd w:val="clear" w:color="auto" w:fill="auto"/>
            <w:noWrap/>
            <w:vAlign w:val="center"/>
            <w:hideMark/>
          </w:tcPr>
          <w:p w:rsidR="001D559F" w:rsidRPr="001D559F" w:rsidRDefault="001D559F" w:rsidP="001D559F">
            <w:pPr>
              <w:jc w:val="right"/>
              <w:rPr>
                <w:rFonts w:ascii="Lucida Bright" w:hAnsi="Lucida Bright" w:cs="Calibri"/>
                <w:b/>
                <w:bCs/>
                <w:color w:val="000000"/>
                <w:sz w:val="18"/>
                <w:szCs w:val="18"/>
                <w:lang w:val="es-ES"/>
              </w:rPr>
            </w:pPr>
            <w:r w:rsidRPr="001D559F">
              <w:rPr>
                <w:rFonts w:ascii="Lucida Bright" w:hAnsi="Lucida Bright" w:cs="Calibri"/>
                <w:b/>
                <w:bCs/>
                <w:color w:val="000000"/>
                <w:sz w:val="18"/>
                <w:szCs w:val="18"/>
                <w:lang w:val="es-ES"/>
              </w:rPr>
              <w:t> </w:t>
            </w:r>
          </w:p>
        </w:tc>
      </w:tr>
    </w:tbl>
    <w:p w:rsidR="008E3490" w:rsidRDefault="008E3490" w:rsidP="00C76C72">
      <w:pPr>
        <w:tabs>
          <w:tab w:val="right" w:pos="8364"/>
        </w:tabs>
        <w:ind w:firstLine="567"/>
        <w:jc w:val="both"/>
        <w:rPr>
          <w:rFonts w:ascii="NewBaskerville" w:hAnsi="NewBaskerville"/>
        </w:rPr>
      </w:pPr>
    </w:p>
    <w:p w:rsidR="00C76C72" w:rsidRDefault="00C76C72" w:rsidP="00C76C72">
      <w:pPr>
        <w:tabs>
          <w:tab w:val="right" w:pos="8364"/>
        </w:tabs>
        <w:ind w:firstLine="567"/>
        <w:jc w:val="both"/>
        <w:rPr>
          <w:rFonts w:ascii="NewBaskerville" w:hAnsi="NewBaskerville"/>
        </w:rPr>
      </w:pPr>
    </w:p>
    <w:p w:rsidR="008E3490" w:rsidRDefault="008E3490" w:rsidP="00C76C72">
      <w:pPr>
        <w:tabs>
          <w:tab w:val="right" w:pos="8364"/>
        </w:tabs>
        <w:ind w:firstLine="567"/>
        <w:jc w:val="both"/>
        <w:rPr>
          <w:rFonts w:ascii="NewBaskerville" w:hAnsi="NewBaskerville"/>
        </w:rPr>
      </w:pPr>
      <w:r>
        <w:rPr>
          <w:rFonts w:ascii="NewBaskerville" w:hAnsi="NewBaskerville"/>
        </w:rPr>
        <w:t>Los intereses devengados a 31/12/202</w:t>
      </w:r>
      <w:r w:rsidR="001D559F">
        <w:rPr>
          <w:rFonts w:ascii="NewBaskerville" w:hAnsi="NewBaskerville"/>
        </w:rPr>
        <w:t>4</w:t>
      </w:r>
      <w:r>
        <w:rPr>
          <w:rFonts w:ascii="NewBaskerville" w:hAnsi="NewBaskerville"/>
        </w:rPr>
        <w:t xml:space="preserve"> ascendieron a </w:t>
      </w:r>
      <w:r w:rsidR="001D559F">
        <w:rPr>
          <w:rFonts w:ascii="NewBaskerville" w:hAnsi="NewBaskerville"/>
        </w:rPr>
        <w:t>7</w:t>
      </w:r>
      <w:r>
        <w:rPr>
          <w:rFonts w:ascii="NewBaskerville" w:hAnsi="NewBaskerville"/>
        </w:rPr>
        <w:t>.</w:t>
      </w:r>
      <w:r w:rsidR="001D559F">
        <w:rPr>
          <w:rFonts w:ascii="NewBaskerville" w:hAnsi="NewBaskerville"/>
        </w:rPr>
        <w:t>189</w:t>
      </w:r>
      <w:r>
        <w:rPr>
          <w:rFonts w:ascii="NewBaskerville" w:hAnsi="NewBaskerville"/>
        </w:rPr>
        <w:t>,</w:t>
      </w:r>
      <w:r w:rsidR="001D559F">
        <w:rPr>
          <w:rFonts w:ascii="NewBaskerville" w:hAnsi="NewBaskerville"/>
        </w:rPr>
        <w:t>43</w:t>
      </w:r>
      <w:r>
        <w:rPr>
          <w:rFonts w:ascii="NewBaskerville" w:hAnsi="NewBaskerville"/>
        </w:rPr>
        <w:t xml:space="preserve"> euros.</w:t>
      </w:r>
    </w:p>
    <w:p w:rsidR="008E3490" w:rsidRDefault="008E3490" w:rsidP="00C76C72">
      <w:pPr>
        <w:tabs>
          <w:tab w:val="right" w:pos="8364"/>
        </w:tabs>
        <w:ind w:firstLine="567"/>
        <w:jc w:val="both"/>
        <w:rPr>
          <w:rFonts w:ascii="NewBaskerville" w:hAnsi="NewBaskerville"/>
        </w:rPr>
      </w:pPr>
    </w:p>
    <w:p w:rsidR="008E3490" w:rsidRDefault="00C859FC" w:rsidP="00C76C72">
      <w:pPr>
        <w:tabs>
          <w:tab w:val="right" w:pos="8364"/>
        </w:tabs>
        <w:ind w:firstLine="567"/>
        <w:jc w:val="both"/>
        <w:rPr>
          <w:rFonts w:ascii="NewBaskerville" w:hAnsi="NewBaskerville"/>
        </w:rPr>
      </w:pPr>
      <w:r>
        <w:rPr>
          <w:rFonts w:ascii="NewBaskerville" w:hAnsi="NewBaskerville"/>
        </w:rPr>
        <w:t xml:space="preserve">Las aportaciones obligatorias exigibles </w:t>
      </w:r>
      <w:r w:rsidR="00D339A7">
        <w:rPr>
          <w:rFonts w:ascii="NewBaskerville" w:hAnsi="NewBaskerville"/>
        </w:rPr>
        <w:t>a la APB</w:t>
      </w:r>
      <w:r>
        <w:rPr>
          <w:rFonts w:ascii="NewBaskerville" w:hAnsi="NewBaskerville"/>
        </w:rPr>
        <w:t xml:space="preserve"> pendientes a fecha de 31/12/202</w:t>
      </w:r>
      <w:r w:rsidR="001D559F">
        <w:rPr>
          <w:rFonts w:ascii="NewBaskerville" w:hAnsi="NewBaskerville"/>
        </w:rPr>
        <w:t>4</w:t>
      </w:r>
      <w:r>
        <w:rPr>
          <w:rFonts w:ascii="NewBaskerville" w:hAnsi="NewBaskerville"/>
        </w:rPr>
        <w:t xml:space="preserve"> (deducidas, en su caso las compensaciones aprobadas) que representan el compromiso firme de adquisición de activos financieros se detallan en:</w:t>
      </w:r>
    </w:p>
    <w:p w:rsidR="005259A2" w:rsidRDefault="005259A2" w:rsidP="00C76C72">
      <w:pPr>
        <w:tabs>
          <w:tab w:val="right" w:pos="8364"/>
        </w:tabs>
        <w:ind w:firstLine="567"/>
        <w:jc w:val="both"/>
        <w:rPr>
          <w:rFonts w:ascii="NewBaskerville" w:hAnsi="NewBaskerville"/>
        </w:rPr>
      </w:pPr>
    </w:p>
    <w:tbl>
      <w:tblPr>
        <w:tblW w:w="2740" w:type="dxa"/>
        <w:tblInd w:w="1467" w:type="dxa"/>
        <w:tblCellMar>
          <w:left w:w="70" w:type="dxa"/>
          <w:right w:w="70" w:type="dxa"/>
        </w:tblCellMar>
        <w:tblLook w:val="04A0" w:firstRow="1" w:lastRow="0" w:firstColumn="1" w:lastColumn="0" w:noHBand="0" w:noVBand="1"/>
      </w:tblPr>
      <w:tblGrid>
        <w:gridCol w:w="1320"/>
        <w:gridCol w:w="1420"/>
      </w:tblGrid>
      <w:tr w:rsidR="00D42116" w:rsidRPr="00D42116" w:rsidTr="00D42116">
        <w:trPr>
          <w:trHeight w:val="585"/>
        </w:trPr>
        <w:tc>
          <w:tcPr>
            <w:tcW w:w="1320" w:type="dxa"/>
            <w:tcBorders>
              <w:top w:val="single" w:sz="8" w:space="0" w:color="000000"/>
              <w:left w:val="single" w:sz="8" w:space="0" w:color="000000"/>
              <w:bottom w:val="single" w:sz="8" w:space="0" w:color="000000"/>
              <w:right w:val="single" w:sz="8" w:space="0" w:color="000000"/>
            </w:tcBorders>
            <w:shd w:val="clear" w:color="000000" w:fill="CCFFCC"/>
            <w:vAlign w:val="center"/>
            <w:hideMark/>
          </w:tcPr>
          <w:p w:rsidR="00D42116" w:rsidRPr="00D42116" w:rsidRDefault="00D42116" w:rsidP="00D42116">
            <w:pPr>
              <w:jc w:val="center"/>
              <w:rPr>
                <w:rFonts w:ascii="Lucida Bright" w:hAnsi="Lucida Bright" w:cs="Calibri"/>
                <w:b/>
                <w:bCs/>
                <w:color w:val="000000"/>
                <w:sz w:val="14"/>
                <w:szCs w:val="14"/>
                <w:lang w:val="es-ES"/>
              </w:rPr>
            </w:pPr>
            <w:r w:rsidRPr="00D42116">
              <w:rPr>
                <w:rFonts w:ascii="Lucida Bright" w:hAnsi="Lucida Bright" w:cs="Calibri"/>
                <w:b/>
                <w:bCs/>
                <w:color w:val="000000"/>
                <w:sz w:val="14"/>
                <w:szCs w:val="14"/>
                <w:lang w:val="es-ES"/>
              </w:rPr>
              <w:t>Exigible de</w:t>
            </w:r>
          </w:p>
        </w:tc>
        <w:tc>
          <w:tcPr>
            <w:tcW w:w="1420" w:type="dxa"/>
            <w:tcBorders>
              <w:top w:val="single" w:sz="8" w:space="0" w:color="000000"/>
              <w:left w:val="nil"/>
              <w:bottom w:val="single" w:sz="8" w:space="0" w:color="000000"/>
              <w:right w:val="single" w:sz="8" w:space="0" w:color="000000"/>
            </w:tcBorders>
            <w:shd w:val="clear" w:color="000000" w:fill="CCFFCC"/>
            <w:vAlign w:val="center"/>
            <w:hideMark/>
          </w:tcPr>
          <w:p w:rsidR="00D42116" w:rsidRPr="00D42116" w:rsidRDefault="00D42116" w:rsidP="00D42116">
            <w:pPr>
              <w:jc w:val="center"/>
              <w:rPr>
                <w:rFonts w:ascii="Lucida Bright" w:hAnsi="Lucida Bright" w:cs="Calibri"/>
                <w:b/>
                <w:bCs/>
                <w:color w:val="000000"/>
                <w:sz w:val="14"/>
                <w:szCs w:val="14"/>
                <w:lang w:val="es-ES"/>
              </w:rPr>
            </w:pPr>
            <w:r w:rsidRPr="00D42116">
              <w:rPr>
                <w:rFonts w:ascii="Lucida Bright" w:hAnsi="Lucida Bright" w:cs="Calibri"/>
                <w:b/>
                <w:bCs/>
                <w:color w:val="000000"/>
                <w:sz w:val="14"/>
                <w:szCs w:val="14"/>
                <w:lang w:val="es-ES"/>
              </w:rPr>
              <w:t>Importe exigible</w:t>
            </w:r>
          </w:p>
        </w:tc>
      </w:tr>
      <w:tr w:rsidR="00D42116" w:rsidRPr="00D42116" w:rsidTr="00D42116">
        <w:trPr>
          <w:trHeight w:val="300"/>
        </w:trPr>
        <w:tc>
          <w:tcPr>
            <w:tcW w:w="1320"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D42116" w:rsidRPr="00D42116" w:rsidRDefault="00D42116" w:rsidP="00D42116">
            <w:pPr>
              <w:jc w:val="center"/>
              <w:rPr>
                <w:rFonts w:ascii="Lucida Bright" w:hAnsi="Lucida Bright" w:cs="Calibri"/>
                <w:color w:val="000000"/>
                <w:sz w:val="18"/>
                <w:szCs w:val="18"/>
                <w:lang w:val="es-ES"/>
              </w:rPr>
            </w:pPr>
            <w:r w:rsidRPr="00D42116">
              <w:rPr>
                <w:rFonts w:ascii="Lucida Bright" w:hAnsi="Lucida Bright" w:cs="Calibri"/>
                <w:color w:val="000000"/>
                <w:sz w:val="18"/>
                <w:szCs w:val="18"/>
                <w:lang w:val="es-ES"/>
              </w:rPr>
              <w:t>2020</w:t>
            </w:r>
          </w:p>
        </w:tc>
        <w:tc>
          <w:tcPr>
            <w:tcW w:w="1420" w:type="dxa"/>
            <w:tcBorders>
              <w:top w:val="single" w:sz="4" w:space="0" w:color="000000"/>
              <w:left w:val="nil"/>
              <w:bottom w:val="single" w:sz="4" w:space="0" w:color="000000"/>
              <w:right w:val="single" w:sz="4" w:space="0" w:color="000000"/>
            </w:tcBorders>
            <w:shd w:val="clear" w:color="000000" w:fill="FFFFFF"/>
            <w:noWrap/>
            <w:vAlign w:val="center"/>
            <w:hideMark/>
          </w:tcPr>
          <w:p w:rsidR="00D42116" w:rsidRPr="00D42116" w:rsidRDefault="00D42116" w:rsidP="00D42116">
            <w:pPr>
              <w:jc w:val="right"/>
              <w:rPr>
                <w:rFonts w:ascii="Lucida Bright" w:hAnsi="Lucida Bright" w:cs="Calibri"/>
                <w:color w:val="000000"/>
                <w:sz w:val="18"/>
                <w:szCs w:val="18"/>
                <w:lang w:val="es-ES"/>
              </w:rPr>
            </w:pPr>
            <w:r w:rsidRPr="00D42116">
              <w:rPr>
                <w:rFonts w:ascii="Lucida Bright" w:hAnsi="Lucida Bright" w:cs="Calibri"/>
                <w:color w:val="000000"/>
                <w:sz w:val="18"/>
                <w:szCs w:val="18"/>
                <w:lang w:val="es-ES"/>
              </w:rPr>
              <w:t>3.069.000,00</w:t>
            </w:r>
          </w:p>
        </w:tc>
      </w:tr>
      <w:tr w:rsidR="00D42116" w:rsidRPr="00D42116" w:rsidTr="00D42116">
        <w:trPr>
          <w:trHeight w:val="300"/>
        </w:trPr>
        <w:tc>
          <w:tcPr>
            <w:tcW w:w="1320" w:type="dxa"/>
            <w:tcBorders>
              <w:top w:val="nil"/>
              <w:left w:val="single" w:sz="8" w:space="0" w:color="000000"/>
              <w:bottom w:val="nil"/>
              <w:right w:val="single" w:sz="4" w:space="0" w:color="000000"/>
            </w:tcBorders>
            <w:shd w:val="clear" w:color="auto" w:fill="auto"/>
            <w:vAlign w:val="center"/>
            <w:hideMark/>
          </w:tcPr>
          <w:p w:rsidR="00D42116" w:rsidRPr="00D42116" w:rsidRDefault="00D42116" w:rsidP="00D42116">
            <w:pPr>
              <w:jc w:val="center"/>
              <w:rPr>
                <w:rFonts w:ascii="Lucida Bright" w:hAnsi="Lucida Bright" w:cs="Calibri"/>
                <w:color w:val="000000"/>
                <w:sz w:val="18"/>
                <w:szCs w:val="18"/>
                <w:lang w:val="es-ES"/>
              </w:rPr>
            </w:pPr>
            <w:r w:rsidRPr="00D42116">
              <w:rPr>
                <w:rFonts w:ascii="Lucida Bright" w:hAnsi="Lucida Bright" w:cs="Calibri"/>
                <w:color w:val="000000"/>
                <w:sz w:val="18"/>
                <w:szCs w:val="18"/>
                <w:lang w:val="es-ES"/>
              </w:rPr>
              <w:t>2021</w:t>
            </w:r>
          </w:p>
        </w:tc>
        <w:tc>
          <w:tcPr>
            <w:tcW w:w="1420" w:type="dxa"/>
            <w:tcBorders>
              <w:top w:val="nil"/>
              <w:left w:val="nil"/>
              <w:bottom w:val="nil"/>
              <w:right w:val="single" w:sz="4" w:space="0" w:color="000000"/>
            </w:tcBorders>
            <w:shd w:val="clear" w:color="000000" w:fill="FFFFFF"/>
            <w:noWrap/>
            <w:vAlign w:val="center"/>
            <w:hideMark/>
          </w:tcPr>
          <w:p w:rsidR="00D42116" w:rsidRPr="00D42116" w:rsidRDefault="00D42116" w:rsidP="00D42116">
            <w:pPr>
              <w:jc w:val="right"/>
              <w:rPr>
                <w:rFonts w:ascii="Lucida Bright" w:hAnsi="Lucida Bright" w:cs="Calibri"/>
                <w:color w:val="000000"/>
                <w:sz w:val="18"/>
                <w:szCs w:val="18"/>
                <w:lang w:val="es-ES"/>
              </w:rPr>
            </w:pPr>
            <w:r w:rsidRPr="00D42116">
              <w:rPr>
                <w:rFonts w:ascii="Lucida Bright" w:hAnsi="Lucida Bright" w:cs="Calibri"/>
                <w:color w:val="000000"/>
                <w:sz w:val="18"/>
                <w:szCs w:val="18"/>
                <w:lang w:val="es-ES"/>
              </w:rPr>
              <w:t>2.381.000,00</w:t>
            </w:r>
          </w:p>
        </w:tc>
      </w:tr>
      <w:tr w:rsidR="00D42116" w:rsidRPr="00D42116" w:rsidTr="00D42116">
        <w:trPr>
          <w:trHeight w:val="300"/>
        </w:trPr>
        <w:tc>
          <w:tcPr>
            <w:tcW w:w="1320" w:type="dxa"/>
            <w:tcBorders>
              <w:top w:val="single" w:sz="4" w:space="0" w:color="000000"/>
              <w:left w:val="single" w:sz="8" w:space="0" w:color="000000"/>
              <w:bottom w:val="nil"/>
              <w:right w:val="single" w:sz="4" w:space="0" w:color="000000"/>
            </w:tcBorders>
            <w:shd w:val="clear" w:color="auto" w:fill="auto"/>
            <w:vAlign w:val="center"/>
            <w:hideMark/>
          </w:tcPr>
          <w:p w:rsidR="00D42116" w:rsidRPr="00D42116" w:rsidRDefault="00D42116" w:rsidP="00D42116">
            <w:pPr>
              <w:jc w:val="center"/>
              <w:rPr>
                <w:rFonts w:ascii="Lucida Bright" w:hAnsi="Lucida Bright" w:cs="Calibri"/>
                <w:color w:val="000000"/>
                <w:sz w:val="18"/>
                <w:szCs w:val="18"/>
                <w:lang w:val="es-ES"/>
              </w:rPr>
            </w:pPr>
            <w:r w:rsidRPr="00D42116">
              <w:rPr>
                <w:rFonts w:ascii="Lucida Bright" w:hAnsi="Lucida Bright" w:cs="Calibri"/>
                <w:color w:val="000000"/>
                <w:sz w:val="18"/>
                <w:szCs w:val="18"/>
                <w:lang w:val="es-ES"/>
              </w:rPr>
              <w:t>2022</w:t>
            </w:r>
          </w:p>
        </w:tc>
        <w:tc>
          <w:tcPr>
            <w:tcW w:w="1420" w:type="dxa"/>
            <w:tcBorders>
              <w:top w:val="single" w:sz="4" w:space="0" w:color="000000"/>
              <w:left w:val="nil"/>
              <w:bottom w:val="nil"/>
              <w:right w:val="single" w:sz="8" w:space="0" w:color="000000"/>
            </w:tcBorders>
            <w:shd w:val="clear" w:color="000000" w:fill="FFFFFF"/>
            <w:noWrap/>
            <w:vAlign w:val="center"/>
            <w:hideMark/>
          </w:tcPr>
          <w:p w:rsidR="00D42116" w:rsidRPr="00D42116" w:rsidRDefault="00D42116" w:rsidP="00D42116">
            <w:pPr>
              <w:jc w:val="right"/>
              <w:rPr>
                <w:rFonts w:ascii="Lucida Bright" w:hAnsi="Lucida Bright" w:cs="Calibri"/>
                <w:color w:val="000000"/>
                <w:sz w:val="18"/>
                <w:szCs w:val="18"/>
                <w:lang w:val="es-ES"/>
              </w:rPr>
            </w:pPr>
            <w:r w:rsidRPr="00D42116">
              <w:rPr>
                <w:rFonts w:ascii="Lucida Bright" w:hAnsi="Lucida Bright" w:cs="Calibri"/>
                <w:color w:val="000000"/>
                <w:sz w:val="18"/>
                <w:szCs w:val="18"/>
                <w:lang w:val="es-ES"/>
              </w:rPr>
              <w:t>2.671.000,00</w:t>
            </w:r>
          </w:p>
        </w:tc>
      </w:tr>
      <w:tr w:rsidR="00D42116" w:rsidRPr="00D42116" w:rsidTr="00D42116">
        <w:trPr>
          <w:trHeight w:val="300"/>
        </w:trPr>
        <w:tc>
          <w:tcPr>
            <w:tcW w:w="1320" w:type="dxa"/>
            <w:tcBorders>
              <w:top w:val="single" w:sz="4" w:space="0" w:color="000000"/>
              <w:left w:val="single" w:sz="8" w:space="0" w:color="000000"/>
              <w:bottom w:val="nil"/>
              <w:right w:val="single" w:sz="4" w:space="0" w:color="000000"/>
            </w:tcBorders>
            <w:shd w:val="clear" w:color="auto" w:fill="auto"/>
            <w:vAlign w:val="center"/>
            <w:hideMark/>
          </w:tcPr>
          <w:p w:rsidR="00D42116" w:rsidRPr="00D42116" w:rsidRDefault="00D42116" w:rsidP="00D42116">
            <w:pPr>
              <w:jc w:val="center"/>
              <w:rPr>
                <w:rFonts w:ascii="Lucida Bright" w:hAnsi="Lucida Bright" w:cs="Calibri"/>
                <w:color w:val="000000"/>
                <w:sz w:val="18"/>
                <w:szCs w:val="18"/>
                <w:lang w:val="es-ES"/>
              </w:rPr>
            </w:pPr>
            <w:r w:rsidRPr="00D42116">
              <w:rPr>
                <w:rFonts w:ascii="Lucida Bright" w:hAnsi="Lucida Bright" w:cs="Calibri"/>
                <w:color w:val="000000"/>
                <w:sz w:val="18"/>
                <w:szCs w:val="18"/>
                <w:lang w:val="es-ES"/>
              </w:rPr>
              <w:t>2023</w:t>
            </w:r>
          </w:p>
        </w:tc>
        <w:tc>
          <w:tcPr>
            <w:tcW w:w="1420" w:type="dxa"/>
            <w:tcBorders>
              <w:top w:val="single" w:sz="4" w:space="0" w:color="000000"/>
              <w:left w:val="nil"/>
              <w:bottom w:val="nil"/>
              <w:right w:val="single" w:sz="8" w:space="0" w:color="000000"/>
            </w:tcBorders>
            <w:shd w:val="clear" w:color="000000" w:fill="FFFFFF"/>
            <w:noWrap/>
            <w:vAlign w:val="center"/>
            <w:hideMark/>
          </w:tcPr>
          <w:p w:rsidR="00D42116" w:rsidRPr="00D42116" w:rsidRDefault="00D42116" w:rsidP="00D42116">
            <w:pPr>
              <w:jc w:val="right"/>
              <w:rPr>
                <w:rFonts w:ascii="Lucida Bright" w:hAnsi="Lucida Bright" w:cs="Calibri"/>
                <w:color w:val="000000"/>
                <w:sz w:val="18"/>
                <w:szCs w:val="18"/>
                <w:lang w:val="es-ES"/>
              </w:rPr>
            </w:pPr>
            <w:r w:rsidRPr="00D42116">
              <w:rPr>
                <w:rFonts w:ascii="Lucida Bright" w:hAnsi="Lucida Bright" w:cs="Calibri"/>
                <w:color w:val="000000"/>
                <w:sz w:val="18"/>
                <w:szCs w:val="18"/>
                <w:lang w:val="es-ES"/>
              </w:rPr>
              <w:t>3.959.000,00</w:t>
            </w:r>
          </w:p>
        </w:tc>
      </w:tr>
      <w:tr w:rsidR="00D42116" w:rsidRPr="00D42116" w:rsidTr="00D42116">
        <w:trPr>
          <w:trHeight w:val="300"/>
        </w:trPr>
        <w:tc>
          <w:tcPr>
            <w:tcW w:w="1320" w:type="dxa"/>
            <w:tcBorders>
              <w:top w:val="single" w:sz="4" w:space="0" w:color="000000"/>
              <w:left w:val="single" w:sz="8" w:space="0" w:color="000000"/>
              <w:bottom w:val="single" w:sz="8" w:space="0" w:color="000000"/>
              <w:right w:val="nil"/>
            </w:tcBorders>
            <w:shd w:val="clear" w:color="auto" w:fill="auto"/>
            <w:vAlign w:val="center"/>
            <w:hideMark/>
          </w:tcPr>
          <w:p w:rsidR="00D42116" w:rsidRPr="00D42116" w:rsidRDefault="00D42116" w:rsidP="00D42116">
            <w:pPr>
              <w:jc w:val="center"/>
              <w:rPr>
                <w:rFonts w:ascii="Lucida Bright" w:hAnsi="Lucida Bright" w:cs="Calibri"/>
                <w:color w:val="000000"/>
                <w:sz w:val="18"/>
                <w:szCs w:val="18"/>
                <w:lang w:val="es-ES"/>
              </w:rPr>
            </w:pPr>
            <w:r w:rsidRPr="00D42116">
              <w:rPr>
                <w:rFonts w:ascii="Lucida Bright" w:hAnsi="Lucida Bright" w:cs="Calibri"/>
                <w:color w:val="000000"/>
                <w:sz w:val="18"/>
                <w:szCs w:val="18"/>
                <w:lang w:val="es-ES"/>
              </w:rPr>
              <w:t>2024</w:t>
            </w:r>
          </w:p>
        </w:tc>
        <w:tc>
          <w:tcPr>
            <w:tcW w:w="1420" w:type="dxa"/>
            <w:tcBorders>
              <w:top w:val="single" w:sz="4" w:space="0" w:color="000000"/>
              <w:left w:val="single" w:sz="4" w:space="0" w:color="000000"/>
              <w:bottom w:val="single" w:sz="8" w:space="0" w:color="000000"/>
              <w:right w:val="single" w:sz="8" w:space="0" w:color="000000"/>
            </w:tcBorders>
            <w:shd w:val="clear" w:color="000000" w:fill="FFFFFF"/>
            <w:noWrap/>
            <w:vAlign w:val="center"/>
            <w:hideMark/>
          </w:tcPr>
          <w:p w:rsidR="00D42116" w:rsidRPr="00D42116" w:rsidRDefault="00D42116" w:rsidP="00D42116">
            <w:pPr>
              <w:jc w:val="right"/>
              <w:rPr>
                <w:rFonts w:ascii="Lucida Bright" w:hAnsi="Lucida Bright" w:cs="Calibri"/>
                <w:color w:val="000000"/>
                <w:sz w:val="18"/>
                <w:szCs w:val="18"/>
                <w:lang w:val="es-ES"/>
              </w:rPr>
            </w:pPr>
            <w:r w:rsidRPr="00D42116">
              <w:rPr>
                <w:rFonts w:ascii="Lucida Bright" w:hAnsi="Lucida Bright" w:cs="Calibri"/>
                <w:color w:val="000000"/>
                <w:sz w:val="18"/>
                <w:szCs w:val="18"/>
                <w:lang w:val="es-ES"/>
              </w:rPr>
              <w:t>3.772.000,00</w:t>
            </w:r>
          </w:p>
        </w:tc>
      </w:tr>
      <w:tr w:rsidR="00D42116" w:rsidRPr="00D42116" w:rsidTr="00D42116">
        <w:trPr>
          <w:trHeight w:val="30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D42116" w:rsidRPr="00D42116" w:rsidRDefault="00D42116" w:rsidP="00D42116">
            <w:pPr>
              <w:ind w:firstLineChars="200" w:firstLine="361"/>
              <w:jc w:val="right"/>
              <w:rPr>
                <w:rFonts w:ascii="Lucida Bright" w:hAnsi="Lucida Bright" w:cs="Calibri"/>
                <w:b/>
                <w:bCs/>
                <w:color w:val="000000"/>
                <w:sz w:val="18"/>
                <w:szCs w:val="18"/>
                <w:lang w:val="es-ES"/>
              </w:rPr>
            </w:pPr>
            <w:r w:rsidRPr="00D42116">
              <w:rPr>
                <w:rFonts w:ascii="Lucida Bright" w:hAnsi="Lucida Bright" w:cs="Calibri"/>
                <w:b/>
                <w:bCs/>
                <w:color w:val="000000"/>
                <w:sz w:val="18"/>
                <w:szCs w:val="18"/>
                <w:lang w:val="es-ES"/>
              </w:rPr>
              <w:t>TOTAL</w:t>
            </w:r>
          </w:p>
        </w:tc>
        <w:tc>
          <w:tcPr>
            <w:tcW w:w="1420" w:type="dxa"/>
            <w:tcBorders>
              <w:top w:val="nil"/>
              <w:left w:val="nil"/>
              <w:bottom w:val="single" w:sz="8" w:space="0" w:color="000000"/>
              <w:right w:val="single" w:sz="8" w:space="0" w:color="000000"/>
            </w:tcBorders>
            <w:shd w:val="clear" w:color="auto" w:fill="auto"/>
            <w:noWrap/>
            <w:vAlign w:val="center"/>
            <w:hideMark/>
          </w:tcPr>
          <w:p w:rsidR="00D42116" w:rsidRPr="00D42116" w:rsidRDefault="00D42116" w:rsidP="00D42116">
            <w:pPr>
              <w:jc w:val="right"/>
              <w:rPr>
                <w:rFonts w:ascii="Lucida Bright" w:hAnsi="Lucida Bright" w:cs="Calibri"/>
                <w:b/>
                <w:bCs/>
                <w:color w:val="000000"/>
                <w:sz w:val="18"/>
                <w:szCs w:val="18"/>
                <w:lang w:val="es-ES"/>
              </w:rPr>
            </w:pPr>
            <w:r w:rsidRPr="00D42116">
              <w:rPr>
                <w:rFonts w:ascii="Lucida Bright" w:hAnsi="Lucida Bright" w:cs="Calibri"/>
                <w:b/>
                <w:bCs/>
                <w:color w:val="000000"/>
                <w:sz w:val="18"/>
                <w:szCs w:val="18"/>
                <w:lang w:val="es-ES"/>
              </w:rPr>
              <w:t>15.852.000,00</w:t>
            </w:r>
          </w:p>
        </w:tc>
      </w:tr>
    </w:tbl>
    <w:p w:rsidR="00C859FC" w:rsidRDefault="00C859FC" w:rsidP="00C76C72">
      <w:pPr>
        <w:tabs>
          <w:tab w:val="right" w:pos="8364"/>
        </w:tabs>
        <w:ind w:firstLine="567"/>
        <w:jc w:val="both"/>
        <w:rPr>
          <w:rFonts w:ascii="NewBaskerville" w:hAnsi="NewBaskerville"/>
        </w:rPr>
      </w:pPr>
    </w:p>
    <w:p w:rsidR="00C859FC" w:rsidRPr="00C76C72" w:rsidRDefault="00C859FC" w:rsidP="00C76C72">
      <w:pPr>
        <w:tabs>
          <w:tab w:val="right" w:pos="8364"/>
        </w:tabs>
        <w:ind w:firstLine="567"/>
        <w:jc w:val="both"/>
        <w:rPr>
          <w:rFonts w:ascii="NewBaskerville" w:hAnsi="NewBaskerville"/>
        </w:rPr>
      </w:pPr>
    </w:p>
    <w:p w:rsidR="00CE0C43" w:rsidRDefault="00423F10" w:rsidP="008E3490">
      <w:pPr>
        <w:tabs>
          <w:tab w:val="right" w:pos="8364"/>
        </w:tabs>
        <w:ind w:firstLine="567"/>
        <w:jc w:val="both"/>
        <w:rPr>
          <w:rFonts w:ascii="NewBaskerville" w:hAnsi="NewBaskerville"/>
        </w:rPr>
      </w:pPr>
      <w:r>
        <w:rPr>
          <w:rFonts w:ascii="NewBaskerville" w:hAnsi="NewBaskerville"/>
        </w:rPr>
        <w:t>Cabe indic</w:t>
      </w:r>
      <w:r w:rsidR="005259A2">
        <w:rPr>
          <w:rFonts w:ascii="NewBaskerville" w:hAnsi="NewBaskerville"/>
        </w:rPr>
        <w:t>ar que en el presupuesto de 202</w:t>
      </w:r>
      <w:r w:rsidR="00D42116">
        <w:rPr>
          <w:rFonts w:ascii="NewBaskerville" w:hAnsi="NewBaskerville"/>
        </w:rPr>
        <w:t>5</w:t>
      </w:r>
      <w:r>
        <w:rPr>
          <w:rFonts w:ascii="NewBaskerville" w:hAnsi="NewBaskerville"/>
        </w:rPr>
        <w:t xml:space="preserve"> del FFATP no está prevista la exigencia de nuevos desembolsos de aportaciones obligatorias en dicho ejercicio.</w:t>
      </w:r>
    </w:p>
    <w:p w:rsidR="00DA63BB" w:rsidRDefault="00DA63BB" w:rsidP="008E3490">
      <w:pPr>
        <w:tabs>
          <w:tab w:val="right" w:pos="8364"/>
        </w:tabs>
        <w:ind w:firstLine="567"/>
        <w:jc w:val="both"/>
        <w:rPr>
          <w:rFonts w:ascii="NewBaskerville" w:hAnsi="NewBaskerville"/>
        </w:rPr>
      </w:pPr>
    </w:p>
    <w:p w:rsidR="00DA63BB" w:rsidRDefault="00DA63BB" w:rsidP="008E3490">
      <w:pPr>
        <w:tabs>
          <w:tab w:val="right" w:pos="8364"/>
        </w:tabs>
        <w:ind w:firstLine="567"/>
        <w:jc w:val="both"/>
        <w:rPr>
          <w:rFonts w:ascii="NewBaskerville" w:hAnsi="NewBaskerville"/>
        </w:rPr>
      </w:pPr>
    </w:p>
    <w:p w:rsidR="00DA63BB" w:rsidRDefault="00DA63BB" w:rsidP="008E3490">
      <w:pPr>
        <w:tabs>
          <w:tab w:val="right" w:pos="8364"/>
        </w:tabs>
        <w:ind w:firstLine="567"/>
        <w:jc w:val="both"/>
        <w:rPr>
          <w:rFonts w:ascii="NewBaskerville" w:hAnsi="NewBaskerville"/>
        </w:rPr>
      </w:pPr>
    </w:p>
    <w:p w:rsidR="000337F0" w:rsidRDefault="000337F0" w:rsidP="008E3490">
      <w:pPr>
        <w:tabs>
          <w:tab w:val="right" w:pos="8364"/>
        </w:tabs>
        <w:ind w:firstLine="567"/>
        <w:jc w:val="both"/>
        <w:rPr>
          <w:rFonts w:ascii="NewBaskerville" w:hAnsi="NewBaskerville"/>
        </w:rPr>
        <w:sectPr w:rsidR="000337F0" w:rsidSect="00304E6C">
          <w:pgSz w:w="11907" w:h="16840" w:code="9"/>
          <w:pgMar w:top="1701" w:right="1418" w:bottom="1701" w:left="1276" w:header="567" w:footer="720" w:gutter="0"/>
          <w:cols w:space="720"/>
          <w:docGrid w:linePitch="272"/>
        </w:sectPr>
      </w:pPr>
    </w:p>
    <w:p w:rsidR="00DA63BB" w:rsidRDefault="00DA63BB" w:rsidP="008E3490">
      <w:pPr>
        <w:tabs>
          <w:tab w:val="right" w:pos="8364"/>
        </w:tabs>
        <w:ind w:firstLine="567"/>
        <w:jc w:val="both"/>
        <w:rPr>
          <w:rFonts w:ascii="NewBaskerville" w:hAnsi="NewBaskerville"/>
        </w:rPr>
      </w:pPr>
    </w:p>
    <w:p w:rsidR="009B466D" w:rsidRDefault="009B466D" w:rsidP="008E3490">
      <w:pPr>
        <w:tabs>
          <w:tab w:val="right" w:pos="8364"/>
        </w:tabs>
        <w:ind w:firstLine="567"/>
        <w:jc w:val="both"/>
        <w:rPr>
          <w:rFonts w:ascii="NewBaskerville" w:hAnsi="NewBaskerville"/>
        </w:rPr>
      </w:pPr>
    </w:p>
    <w:p w:rsidR="009B466D" w:rsidRDefault="009B466D" w:rsidP="008E3490">
      <w:pPr>
        <w:tabs>
          <w:tab w:val="right" w:pos="8364"/>
        </w:tabs>
        <w:ind w:firstLine="567"/>
        <w:jc w:val="both"/>
        <w:rPr>
          <w:rFonts w:ascii="NewBaskerville" w:hAnsi="NewBaskerville"/>
        </w:rPr>
      </w:pPr>
    </w:p>
    <w:p w:rsidR="009B466D" w:rsidRDefault="009B466D" w:rsidP="008E3490">
      <w:pPr>
        <w:tabs>
          <w:tab w:val="right" w:pos="8364"/>
        </w:tabs>
        <w:ind w:firstLine="567"/>
        <w:jc w:val="both"/>
        <w:rPr>
          <w:rFonts w:ascii="NewBaskerville" w:hAnsi="NewBaskerville"/>
        </w:rPr>
      </w:pPr>
    </w:p>
    <w:tbl>
      <w:tblPr>
        <w:tblW w:w="13080" w:type="dxa"/>
        <w:tblInd w:w="70" w:type="dxa"/>
        <w:tblCellMar>
          <w:left w:w="70" w:type="dxa"/>
          <w:right w:w="70" w:type="dxa"/>
        </w:tblCellMar>
        <w:tblLook w:val="04A0" w:firstRow="1" w:lastRow="0" w:firstColumn="1" w:lastColumn="0" w:noHBand="0" w:noVBand="1"/>
      </w:tblPr>
      <w:tblGrid>
        <w:gridCol w:w="3729"/>
        <w:gridCol w:w="1120"/>
        <w:gridCol w:w="959"/>
        <w:gridCol w:w="955"/>
        <w:gridCol w:w="1060"/>
        <w:gridCol w:w="1178"/>
        <w:gridCol w:w="1069"/>
        <w:gridCol w:w="1036"/>
        <w:gridCol w:w="1036"/>
        <w:gridCol w:w="1136"/>
      </w:tblGrid>
      <w:tr w:rsidR="00D42116" w:rsidRPr="00D42116" w:rsidTr="00D42116">
        <w:trPr>
          <w:trHeight w:val="300"/>
        </w:trPr>
        <w:tc>
          <w:tcPr>
            <w:tcW w:w="8836" w:type="dxa"/>
            <w:gridSpan w:val="6"/>
            <w:tcBorders>
              <w:top w:val="nil"/>
              <w:left w:val="nil"/>
              <w:bottom w:val="single" w:sz="4" w:space="0" w:color="auto"/>
              <w:right w:val="nil"/>
            </w:tcBorders>
            <w:shd w:val="clear" w:color="auto" w:fill="auto"/>
            <w:noWrap/>
            <w:vAlign w:val="bottom"/>
            <w:hideMark/>
          </w:tcPr>
          <w:p w:rsidR="00D42116" w:rsidRPr="00D42116" w:rsidRDefault="00D42116" w:rsidP="00D42116">
            <w:pPr>
              <w:jc w:val="center"/>
              <w:rPr>
                <w:rFonts w:ascii="Lucida Bright" w:hAnsi="Lucida Bright" w:cs="Calibri"/>
                <w:b/>
                <w:bCs/>
                <w:sz w:val="18"/>
                <w:szCs w:val="18"/>
                <w:lang w:val="es-ES"/>
              </w:rPr>
            </w:pPr>
            <w:r w:rsidRPr="00D42116">
              <w:rPr>
                <w:rFonts w:ascii="Lucida Bright" w:hAnsi="Lucida Bright" w:cs="Calibri"/>
                <w:b/>
                <w:bCs/>
                <w:sz w:val="18"/>
                <w:szCs w:val="18"/>
                <w:lang w:val="es-ES"/>
              </w:rPr>
              <w:t>CUADRO: INVERSIONES EN EMPRESAS DEL GRUPO Y ASOCIADAS A LARGO PLAZO 2024</w:t>
            </w:r>
          </w:p>
        </w:tc>
        <w:tc>
          <w:tcPr>
            <w:tcW w:w="1036" w:type="dxa"/>
            <w:tcBorders>
              <w:top w:val="nil"/>
              <w:left w:val="nil"/>
              <w:bottom w:val="nil"/>
              <w:right w:val="nil"/>
            </w:tcBorders>
            <w:shd w:val="clear" w:color="000000" w:fill="FFFFFF"/>
            <w:noWrap/>
            <w:vAlign w:val="center"/>
            <w:hideMark/>
          </w:tcPr>
          <w:p w:rsidR="00D42116" w:rsidRPr="00D42116" w:rsidRDefault="00D42116" w:rsidP="00D42116">
            <w:pPr>
              <w:rPr>
                <w:rFonts w:ascii="Tahoma" w:hAnsi="Tahoma" w:cs="Tahoma"/>
                <w:lang w:val="es-ES"/>
              </w:rPr>
            </w:pPr>
            <w:r w:rsidRPr="00D42116">
              <w:rPr>
                <w:rFonts w:ascii="Tahoma" w:hAnsi="Tahoma" w:cs="Tahoma"/>
                <w:lang w:val="es-ES"/>
              </w:rPr>
              <w:t> </w:t>
            </w:r>
          </w:p>
        </w:tc>
        <w:tc>
          <w:tcPr>
            <w:tcW w:w="1036" w:type="dxa"/>
            <w:tcBorders>
              <w:top w:val="nil"/>
              <w:left w:val="nil"/>
              <w:bottom w:val="nil"/>
              <w:right w:val="nil"/>
            </w:tcBorders>
            <w:shd w:val="clear" w:color="000000" w:fill="FFFFFF"/>
            <w:noWrap/>
            <w:vAlign w:val="bottom"/>
            <w:hideMark/>
          </w:tcPr>
          <w:p w:rsidR="00D42116" w:rsidRPr="00D42116" w:rsidRDefault="00D42116" w:rsidP="00D42116">
            <w:pPr>
              <w:rPr>
                <w:rFonts w:ascii="Lucida Bright" w:hAnsi="Lucida Bright" w:cs="Calibri"/>
                <w:sz w:val="14"/>
                <w:szCs w:val="14"/>
                <w:lang w:val="es-ES"/>
              </w:rPr>
            </w:pPr>
            <w:r w:rsidRPr="00D42116">
              <w:rPr>
                <w:rFonts w:ascii="Lucida Bright" w:hAnsi="Lucida Bright" w:cs="Calibri"/>
                <w:sz w:val="14"/>
                <w:szCs w:val="14"/>
                <w:lang w:val="es-ES"/>
              </w:rPr>
              <w:t>(en euros)</w:t>
            </w:r>
          </w:p>
        </w:tc>
        <w:tc>
          <w:tcPr>
            <w:tcW w:w="1036" w:type="dxa"/>
            <w:tcBorders>
              <w:top w:val="nil"/>
              <w:left w:val="nil"/>
              <w:bottom w:val="nil"/>
              <w:right w:val="nil"/>
            </w:tcBorders>
            <w:shd w:val="clear" w:color="000000" w:fill="FFFFFF"/>
            <w:noWrap/>
            <w:vAlign w:val="center"/>
            <w:hideMark/>
          </w:tcPr>
          <w:p w:rsidR="00D42116" w:rsidRPr="00D42116" w:rsidRDefault="00D42116" w:rsidP="00D42116">
            <w:pPr>
              <w:rPr>
                <w:rFonts w:ascii="Tahoma" w:hAnsi="Tahoma" w:cs="Tahoma"/>
                <w:lang w:val="es-ES"/>
              </w:rPr>
            </w:pPr>
            <w:r w:rsidRPr="00D42116">
              <w:rPr>
                <w:rFonts w:ascii="Tahoma" w:hAnsi="Tahoma" w:cs="Tahoma"/>
                <w:lang w:val="es-ES"/>
              </w:rPr>
              <w:t> </w:t>
            </w:r>
          </w:p>
        </w:tc>
        <w:tc>
          <w:tcPr>
            <w:tcW w:w="1136" w:type="dxa"/>
            <w:tcBorders>
              <w:top w:val="nil"/>
              <w:left w:val="nil"/>
              <w:bottom w:val="nil"/>
              <w:right w:val="nil"/>
            </w:tcBorders>
            <w:shd w:val="clear" w:color="000000" w:fill="FFFFFF"/>
            <w:noWrap/>
            <w:vAlign w:val="center"/>
            <w:hideMark/>
          </w:tcPr>
          <w:p w:rsidR="00D42116" w:rsidRPr="00D42116" w:rsidRDefault="00D42116" w:rsidP="00D42116">
            <w:pPr>
              <w:rPr>
                <w:rFonts w:ascii="Tahoma" w:hAnsi="Tahoma" w:cs="Tahoma"/>
                <w:lang w:val="es-ES"/>
              </w:rPr>
            </w:pPr>
            <w:r w:rsidRPr="00D42116">
              <w:rPr>
                <w:rFonts w:ascii="Tahoma" w:hAnsi="Tahoma" w:cs="Tahoma"/>
                <w:lang w:val="es-ES"/>
              </w:rPr>
              <w:t> </w:t>
            </w:r>
          </w:p>
        </w:tc>
      </w:tr>
      <w:tr w:rsidR="00D42116" w:rsidRPr="00D42116" w:rsidTr="00D42116">
        <w:trPr>
          <w:trHeight w:val="735"/>
        </w:trPr>
        <w:tc>
          <w:tcPr>
            <w:tcW w:w="3729" w:type="dxa"/>
            <w:tcBorders>
              <w:top w:val="single" w:sz="4" w:space="0" w:color="auto"/>
              <w:left w:val="single" w:sz="4" w:space="0" w:color="auto"/>
              <w:bottom w:val="single" w:sz="4" w:space="0" w:color="auto"/>
              <w:right w:val="single" w:sz="4" w:space="0" w:color="000000"/>
            </w:tcBorders>
            <w:shd w:val="clear" w:color="000000" w:fill="CCFFCC"/>
            <w:vAlign w:val="center"/>
            <w:hideMark/>
          </w:tcPr>
          <w:p w:rsidR="00D42116" w:rsidRPr="00D42116" w:rsidRDefault="00D42116" w:rsidP="00D42116">
            <w:pPr>
              <w:jc w:val="center"/>
              <w:rPr>
                <w:rFonts w:ascii="Lucida Bright" w:hAnsi="Lucida Bright" w:cs="Calibri"/>
                <w:b/>
                <w:bCs/>
                <w:sz w:val="14"/>
                <w:szCs w:val="14"/>
                <w:lang w:val="es-ES"/>
              </w:rPr>
            </w:pPr>
            <w:r w:rsidRPr="00D42116">
              <w:rPr>
                <w:rFonts w:ascii="Lucida Bright" w:hAnsi="Lucida Bright" w:cs="Calibri"/>
                <w:b/>
                <w:bCs/>
                <w:sz w:val="14"/>
                <w:szCs w:val="14"/>
                <w:lang w:val="es-ES"/>
              </w:rPr>
              <w:t>INVERSIONES EN EMPRESAS DEL GRUPO</w:t>
            </w:r>
            <w:r w:rsidRPr="00D42116">
              <w:rPr>
                <w:rFonts w:ascii="Lucida Bright" w:hAnsi="Lucida Bright" w:cs="Calibri"/>
                <w:b/>
                <w:bCs/>
                <w:sz w:val="14"/>
                <w:szCs w:val="14"/>
                <w:lang w:val="es-ES"/>
              </w:rPr>
              <w:br/>
              <w:t>Y ASOCIADAS A LARGO PLAZO</w:t>
            </w:r>
          </w:p>
        </w:tc>
        <w:tc>
          <w:tcPr>
            <w:tcW w:w="1120" w:type="dxa"/>
            <w:tcBorders>
              <w:top w:val="nil"/>
              <w:left w:val="nil"/>
              <w:bottom w:val="single" w:sz="4" w:space="0" w:color="auto"/>
              <w:right w:val="single" w:sz="4" w:space="0" w:color="auto"/>
            </w:tcBorders>
            <w:shd w:val="clear" w:color="000000" w:fill="CCFFCC"/>
            <w:vAlign w:val="center"/>
            <w:hideMark/>
          </w:tcPr>
          <w:p w:rsidR="00D42116" w:rsidRPr="00D42116" w:rsidRDefault="00D42116" w:rsidP="00D42116">
            <w:pPr>
              <w:jc w:val="center"/>
              <w:rPr>
                <w:rFonts w:ascii="Lucida Bright" w:hAnsi="Lucida Bright" w:cs="Calibri"/>
                <w:sz w:val="14"/>
                <w:szCs w:val="14"/>
                <w:lang w:val="es-ES"/>
              </w:rPr>
            </w:pPr>
            <w:r w:rsidRPr="00D42116">
              <w:rPr>
                <w:rFonts w:ascii="Lucida Bright" w:hAnsi="Lucida Bright" w:cs="Calibri"/>
                <w:sz w:val="14"/>
                <w:szCs w:val="14"/>
                <w:lang w:val="es-ES"/>
              </w:rPr>
              <w:t>Saldo a</w:t>
            </w:r>
            <w:r w:rsidR="00D3668D">
              <w:rPr>
                <w:rFonts w:ascii="Lucida Bright" w:hAnsi="Lucida Bright" w:cs="Calibri"/>
                <w:sz w:val="14"/>
                <w:szCs w:val="14"/>
                <w:lang w:val="es-ES"/>
              </w:rPr>
              <w:br/>
              <w:t>31-12-23</w:t>
            </w:r>
          </w:p>
        </w:tc>
        <w:tc>
          <w:tcPr>
            <w:tcW w:w="959" w:type="dxa"/>
            <w:tcBorders>
              <w:top w:val="nil"/>
              <w:left w:val="nil"/>
              <w:bottom w:val="nil"/>
              <w:right w:val="nil"/>
            </w:tcBorders>
            <w:shd w:val="clear" w:color="000000" w:fill="CCFFCC"/>
            <w:vAlign w:val="center"/>
            <w:hideMark/>
          </w:tcPr>
          <w:p w:rsidR="00D42116" w:rsidRPr="00D42116" w:rsidRDefault="00D42116" w:rsidP="00D42116">
            <w:pPr>
              <w:jc w:val="center"/>
              <w:rPr>
                <w:rFonts w:ascii="Lucida Bright" w:hAnsi="Lucida Bright" w:cs="Calibri"/>
                <w:sz w:val="14"/>
                <w:szCs w:val="14"/>
                <w:lang w:val="es-ES"/>
              </w:rPr>
            </w:pPr>
            <w:r w:rsidRPr="00D42116">
              <w:rPr>
                <w:rFonts w:ascii="Lucida Bright" w:hAnsi="Lucida Bright" w:cs="Calibri"/>
                <w:sz w:val="14"/>
                <w:szCs w:val="14"/>
                <w:lang w:val="es-ES"/>
              </w:rPr>
              <w:t>Adiciones del ejercicio (+)</w:t>
            </w:r>
          </w:p>
        </w:tc>
        <w:tc>
          <w:tcPr>
            <w:tcW w:w="920" w:type="dxa"/>
            <w:tcBorders>
              <w:top w:val="nil"/>
              <w:left w:val="single" w:sz="4" w:space="0" w:color="auto"/>
              <w:bottom w:val="nil"/>
              <w:right w:val="single" w:sz="4" w:space="0" w:color="auto"/>
            </w:tcBorders>
            <w:shd w:val="clear" w:color="000000" w:fill="CCFFCC"/>
            <w:vAlign w:val="center"/>
            <w:hideMark/>
          </w:tcPr>
          <w:p w:rsidR="00D42116" w:rsidRPr="00D42116" w:rsidRDefault="00D42116" w:rsidP="00D42116">
            <w:pPr>
              <w:jc w:val="center"/>
              <w:rPr>
                <w:rFonts w:ascii="Lucida Bright" w:hAnsi="Lucida Bright" w:cs="Calibri"/>
                <w:sz w:val="14"/>
                <w:szCs w:val="14"/>
                <w:lang w:val="es-ES"/>
              </w:rPr>
            </w:pPr>
            <w:r w:rsidRPr="00D42116">
              <w:rPr>
                <w:rFonts w:ascii="Lucida Bright" w:hAnsi="Lucida Bright" w:cs="Calibri"/>
                <w:sz w:val="14"/>
                <w:szCs w:val="14"/>
                <w:lang w:val="es-ES"/>
              </w:rPr>
              <w:t>Cancelación anticipada (-)</w:t>
            </w:r>
          </w:p>
        </w:tc>
        <w:tc>
          <w:tcPr>
            <w:tcW w:w="1060" w:type="dxa"/>
            <w:tcBorders>
              <w:top w:val="nil"/>
              <w:left w:val="nil"/>
              <w:bottom w:val="nil"/>
              <w:right w:val="nil"/>
            </w:tcBorders>
            <w:shd w:val="clear" w:color="000000" w:fill="CCFFCC"/>
            <w:vAlign w:val="center"/>
            <w:hideMark/>
          </w:tcPr>
          <w:p w:rsidR="00D42116" w:rsidRPr="00D42116" w:rsidRDefault="00D42116" w:rsidP="00D42116">
            <w:pPr>
              <w:jc w:val="center"/>
              <w:rPr>
                <w:rFonts w:ascii="Lucida Bright" w:hAnsi="Lucida Bright" w:cs="Calibri"/>
                <w:sz w:val="14"/>
                <w:szCs w:val="14"/>
                <w:lang w:val="es-ES"/>
              </w:rPr>
            </w:pPr>
            <w:r w:rsidRPr="00D42116">
              <w:rPr>
                <w:rFonts w:ascii="Lucida Bright" w:hAnsi="Lucida Bright" w:cs="Calibri"/>
                <w:sz w:val="14"/>
                <w:szCs w:val="14"/>
                <w:lang w:val="es-ES"/>
              </w:rPr>
              <w:t>Traspasos a corto plazo (-)</w:t>
            </w:r>
          </w:p>
        </w:tc>
        <w:tc>
          <w:tcPr>
            <w:tcW w:w="1048" w:type="dxa"/>
            <w:tcBorders>
              <w:top w:val="nil"/>
              <w:left w:val="single" w:sz="4" w:space="0" w:color="auto"/>
              <w:bottom w:val="single" w:sz="4" w:space="0" w:color="auto"/>
              <w:right w:val="single" w:sz="4" w:space="0" w:color="auto"/>
            </w:tcBorders>
            <w:shd w:val="clear" w:color="000000" w:fill="CCFFCC"/>
            <w:vAlign w:val="center"/>
            <w:hideMark/>
          </w:tcPr>
          <w:p w:rsidR="00D42116" w:rsidRPr="00D42116" w:rsidRDefault="00D42116" w:rsidP="00D42116">
            <w:pPr>
              <w:jc w:val="center"/>
              <w:rPr>
                <w:rFonts w:ascii="Lucida Bright" w:hAnsi="Lucida Bright" w:cs="Calibri"/>
                <w:sz w:val="14"/>
                <w:szCs w:val="14"/>
                <w:lang w:val="es-ES"/>
              </w:rPr>
            </w:pPr>
            <w:r w:rsidRPr="00D42116">
              <w:rPr>
                <w:rFonts w:ascii="Lucida Bright" w:hAnsi="Lucida Bright" w:cs="Calibri"/>
                <w:sz w:val="14"/>
                <w:szCs w:val="14"/>
                <w:lang w:val="es-ES"/>
              </w:rPr>
              <w:t>Enajenación de participaciones y otras (-)</w:t>
            </w:r>
          </w:p>
        </w:tc>
        <w:tc>
          <w:tcPr>
            <w:tcW w:w="1036" w:type="dxa"/>
            <w:tcBorders>
              <w:top w:val="single" w:sz="4" w:space="0" w:color="auto"/>
              <w:left w:val="nil"/>
              <w:bottom w:val="single" w:sz="4" w:space="0" w:color="auto"/>
              <w:right w:val="single" w:sz="4" w:space="0" w:color="auto"/>
            </w:tcBorders>
            <w:shd w:val="clear" w:color="000000" w:fill="CCFFCC"/>
            <w:vAlign w:val="center"/>
            <w:hideMark/>
          </w:tcPr>
          <w:p w:rsidR="00D42116" w:rsidRPr="00D42116" w:rsidRDefault="00D42116" w:rsidP="00D42116">
            <w:pPr>
              <w:jc w:val="center"/>
              <w:rPr>
                <w:rFonts w:ascii="Lucida Bright" w:hAnsi="Lucida Bright" w:cs="Calibri"/>
                <w:sz w:val="14"/>
                <w:szCs w:val="14"/>
                <w:lang w:val="es-ES"/>
              </w:rPr>
            </w:pPr>
            <w:r w:rsidRPr="00D42116">
              <w:rPr>
                <w:rFonts w:ascii="Lucida Bright" w:hAnsi="Lucida Bright" w:cs="Calibri"/>
                <w:sz w:val="14"/>
                <w:szCs w:val="14"/>
                <w:lang w:val="es-ES"/>
              </w:rPr>
              <w:t>Actualización financiera (+)</w:t>
            </w:r>
          </w:p>
        </w:tc>
        <w:tc>
          <w:tcPr>
            <w:tcW w:w="1036" w:type="dxa"/>
            <w:tcBorders>
              <w:top w:val="single" w:sz="4" w:space="0" w:color="auto"/>
              <w:left w:val="nil"/>
              <w:bottom w:val="single" w:sz="4" w:space="0" w:color="auto"/>
              <w:right w:val="single" w:sz="4" w:space="0" w:color="auto"/>
            </w:tcBorders>
            <w:shd w:val="clear" w:color="000000" w:fill="CCFFCC"/>
            <w:vAlign w:val="center"/>
            <w:hideMark/>
          </w:tcPr>
          <w:p w:rsidR="00D42116" w:rsidRPr="00D42116" w:rsidRDefault="00D42116" w:rsidP="00D42116">
            <w:pPr>
              <w:jc w:val="center"/>
              <w:rPr>
                <w:rFonts w:ascii="Lucida Bright" w:hAnsi="Lucida Bright" w:cs="Calibri"/>
                <w:sz w:val="14"/>
                <w:szCs w:val="14"/>
                <w:lang w:val="es-ES"/>
              </w:rPr>
            </w:pPr>
            <w:r w:rsidRPr="00D42116">
              <w:rPr>
                <w:rFonts w:ascii="Lucida Bright" w:hAnsi="Lucida Bright" w:cs="Calibri"/>
                <w:sz w:val="14"/>
                <w:szCs w:val="14"/>
                <w:lang w:val="es-ES"/>
              </w:rPr>
              <w:t>Variación valor razonable (+/-)</w:t>
            </w:r>
          </w:p>
        </w:tc>
        <w:tc>
          <w:tcPr>
            <w:tcW w:w="1036" w:type="dxa"/>
            <w:tcBorders>
              <w:top w:val="single" w:sz="4" w:space="0" w:color="auto"/>
              <w:left w:val="nil"/>
              <w:bottom w:val="single" w:sz="4" w:space="0" w:color="auto"/>
              <w:right w:val="single" w:sz="4" w:space="0" w:color="auto"/>
            </w:tcBorders>
            <w:shd w:val="clear" w:color="000000" w:fill="CCFFCC"/>
            <w:vAlign w:val="center"/>
            <w:hideMark/>
          </w:tcPr>
          <w:p w:rsidR="00D42116" w:rsidRPr="00D42116" w:rsidRDefault="00D42116" w:rsidP="00D42116">
            <w:pPr>
              <w:jc w:val="center"/>
              <w:rPr>
                <w:rFonts w:ascii="Lucida Bright" w:hAnsi="Lucida Bright" w:cs="Calibri"/>
                <w:sz w:val="14"/>
                <w:szCs w:val="14"/>
                <w:lang w:val="es-ES"/>
              </w:rPr>
            </w:pPr>
            <w:r w:rsidRPr="00D42116">
              <w:rPr>
                <w:rFonts w:ascii="Lucida Bright" w:hAnsi="Lucida Bright" w:cs="Calibri"/>
                <w:sz w:val="14"/>
                <w:szCs w:val="14"/>
                <w:lang w:val="es-ES"/>
              </w:rPr>
              <w:t>Ajustes por cambio de valor (+/-)</w:t>
            </w:r>
          </w:p>
        </w:tc>
        <w:tc>
          <w:tcPr>
            <w:tcW w:w="1136" w:type="dxa"/>
            <w:tcBorders>
              <w:top w:val="single" w:sz="4" w:space="0" w:color="auto"/>
              <w:left w:val="nil"/>
              <w:bottom w:val="single" w:sz="4" w:space="0" w:color="auto"/>
              <w:right w:val="single" w:sz="4" w:space="0" w:color="auto"/>
            </w:tcBorders>
            <w:shd w:val="clear" w:color="000000" w:fill="CCFFCC"/>
            <w:vAlign w:val="center"/>
            <w:hideMark/>
          </w:tcPr>
          <w:p w:rsidR="00D42116" w:rsidRPr="00D42116" w:rsidRDefault="00D3668D" w:rsidP="00D42116">
            <w:pPr>
              <w:jc w:val="center"/>
              <w:rPr>
                <w:rFonts w:ascii="Lucida Bright" w:hAnsi="Lucida Bright" w:cs="Calibri"/>
                <w:sz w:val="14"/>
                <w:szCs w:val="14"/>
                <w:lang w:val="es-ES"/>
              </w:rPr>
            </w:pPr>
            <w:r>
              <w:rPr>
                <w:rFonts w:ascii="Lucida Bright" w:hAnsi="Lucida Bright" w:cs="Calibri"/>
                <w:sz w:val="14"/>
                <w:szCs w:val="14"/>
                <w:lang w:val="es-ES"/>
              </w:rPr>
              <w:t>Saldo a</w:t>
            </w:r>
            <w:r>
              <w:rPr>
                <w:rFonts w:ascii="Lucida Bright" w:hAnsi="Lucida Bright" w:cs="Calibri"/>
                <w:sz w:val="14"/>
                <w:szCs w:val="14"/>
                <w:lang w:val="es-ES"/>
              </w:rPr>
              <w:br/>
              <w:t>31-12-24</w:t>
            </w:r>
          </w:p>
        </w:tc>
      </w:tr>
      <w:tr w:rsidR="00D42116" w:rsidRPr="00D42116" w:rsidTr="00D42116">
        <w:trPr>
          <w:trHeight w:val="300"/>
        </w:trPr>
        <w:tc>
          <w:tcPr>
            <w:tcW w:w="372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42116" w:rsidRPr="00D42116" w:rsidRDefault="00D42116" w:rsidP="00D42116">
            <w:pPr>
              <w:rPr>
                <w:rFonts w:ascii="Lucida Bright" w:hAnsi="Lucida Bright" w:cs="Calibri"/>
                <w:sz w:val="14"/>
                <w:szCs w:val="14"/>
                <w:lang w:val="es-ES"/>
              </w:rPr>
            </w:pPr>
            <w:r w:rsidRPr="00D42116">
              <w:rPr>
                <w:rFonts w:ascii="Lucida Bright" w:hAnsi="Lucida Bright" w:cs="Calibri"/>
                <w:sz w:val="14"/>
                <w:szCs w:val="14"/>
                <w:lang w:val="es-ES"/>
              </w:rPr>
              <w:t xml:space="preserve">  Instrumentos de patrimonio</w:t>
            </w:r>
          </w:p>
        </w:tc>
        <w:tc>
          <w:tcPr>
            <w:tcW w:w="1120" w:type="dxa"/>
            <w:tcBorders>
              <w:top w:val="nil"/>
              <w:left w:val="nil"/>
              <w:bottom w:val="single" w:sz="4" w:space="0" w:color="auto"/>
              <w:right w:val="single" w:sz="4" w:space="0" w:color="auto"/>
            </w:tcBorders>
            <w:shd w:val="clear" w:color="auto" w:fill="auto"/>
            <w:noWrap/>
            <w:vAlign w:val="center"/>
            <w:hideMark/>
          </w:tcPr>
          <w:p w:rsidR="00D42116" w:rsidRPr="00D42116" w:rsidRDefault="00D42116" w:rsidP="00D42116">
            <w:pPr>
              <w:jc w:val="right"/>
              <w:rPr>
                <w:rFonts w:ascii="Lucida Bright" w:hAnsi="Lucida Bright" w:cs="Calibri"/>
                <w:sz w:val="14"/>
                <w:szCs w:val="14"/>
                <w:lang w:val="es-ES"/>
              </w:rPr>
            </w:pPr>
            <w:r w:rsidRPr="00D42116">
              <w:rPr>
                <w:rFonts w:ascii="Lucida Bright" w:hAnsi="Lucida Bright" w:cs="Calibri"/>
                <w:sz w:val="14"/>
                <w:szCs w:val="14"/>
                <w:lang w:val="es-ES"/>
              </w:rPr>
              <w:t xml:space="preserve">-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D42116" w:rsidRPr="00D42116" w:rsidRDefault="00D42116" w:rsidP="00D42116">
            <w:pPr>
              <w:jc w:val="right"/>
              <w:rPr>
                <w:rFonts w:ascii="Lucida Bright" w:hAnsi="Lucida Bright" w:cs="Calibri"/>
                <w:sz w:val="14"/>
                <w:szCs w:val="14"/>
                <w:lang w:val="es-ES"/>
              </w:rPr>
            </w:pPr>
            <w:r w:rsidRPr="00D42116">
              <w:rPr>
                <w:rFonts w:ascii="Lucida Bright" w:hAnsi="Lucida Bright" w:cs="Calibri"/>
                <w:sz w:val="14"/>
                <w:szCs w:val="14"/>
                <w:lang w:val="es-ES"/>
              </w:rPr>
              <w:t xml:space="preserve">-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D42116" w:rsidRPr="00D42116" w:rsidRDefault="00D42116" w:rsidP="00D42116">
            <w:pPr>
              <w:jc w:val="right"/>
              <w:rPr>
                <w:rFonts w:ascii="Lucida Bright" w:hAnsi="Lucida Bright" w:cs="Calibri"/>
                <w:sz w:val="14"/>
                <w:szCs w:val="14"/>
                <w:lang w:val="es-ES"/>
              </w:rPr>
            </w:pPr>
            <w:r w:rsidRPr="00D42116">
              <w:rPr>
                <w:rFonts w:ascii="Lucida Bright" w:hAnsi="Lucida Bright" w:cs="Calibri"/>
                <w:sz w:val="14"/>
                <w:szCs w:val="14"/>
                <w:lang w:val="es-ES"/>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42116" w:rsidRPr="00D42116" w:rsidRDefault="00D42116" w:rsidP="00D42116">
            <w:pPr>
              <w:jc w:val="right"/>
              <w:rPr>
                <w:rFonts w:ascii="Lucida Bright" w:hAnsi="Lucida Bright" w:cs="Calibri"/>
                <w:sz w:val="14"/>
                <w:szCs w:val="14"/>
                <w:lang w:val="es-ES"/>
              </w:rPr>
            </w:pPr>
            <w:r w:rsidRPr="00D42116">
              <w:rPr>
                <w:rFonts w:ascii="Lucida Bright" w:hAnsi="Lucida Bright" w:cs="Calibri"/>
                <w:sz w:val="14"/>
                <w:szCs w:val="14"/>
                <w:lang w:val="es-ES"/>
              </w:rPr>
              <w:t xml:space="preserve">- </w:t>
            </w:r>
          </w:p>
        </w:tc>
        <w:tc>
          <w:tcPr>
            <w:tcW w:w="1048" w:type="dxa"/>
            <w:tcBorders>
              <w:top w:val="nil"/>
              <w:left w:val="nil"/>
              <w:bottom w:val="single" w:sz="4" w:space="0" w:color="auto"/>
              <w:right w:val="single" w:sz="4" w:space="0" w:color="auto"/>
            </w:tcBorders>
            <w:shd w:val="clear" w:color="auto" w:fill="auto"/>
            <w:noWrap/>
            <w:vAlign w:val="center"/>
            <w:hideMark/>
          </w:tcPr>
          <w:p w:rsidR="00D42116" w:rsidRPr="00D42116" w:rsidRDefault="00D42116" w:rsidP="00D42116">
            <w:pPr>
              <w:jc w:val="right"/>
              <w:rPr>
                <w:rFonts w:ascii="Lucida Bright" w:hAnsi="Lucida Bright" w:cs="Calibri"/>
                <w:sz w:val="14"/>
                <w:szCs w:val="14"/>
                <w:lang w:val="es-ES"/>
              </w:rPr>
            </w:pPr>
            <w:r w:rsidRPr="00D42116">
              <w:rPr>
                <w:rFonts w:ascii="Lucida Bright" w:hAnsi="Lucida Bright" w:cs="Calibri"/>
                <w:sz w:val="14"/>
                <w:szCs w:val="14"/>
                <w:lang w:val="es-ES"/>
              </w:rPr>
              <w:t xml:space="preserve">- </w:t>
            </w:r>
          </w:p>
        </w:tc>
        <w:tc>
          <w:tcPr>
            <w:tcW w:w="1036" w:type="dxa"/>
            <w:tcBorders>
              <w:top w:val="nil"/>
              <w:left w:val="nil"/>
              <w:bottom w:val="single" w:sz="4" w:space="0" w:color="auto"/>
              <w:right w:val="single" w:sz="4" w:space="0" w:color="auto"/>
            </w:tcBorders>
            <w:shd w:val="clear" w:color="auto" w:fill="auto"/>
            <w:noWrap/>
            <w:vAlign w:val="center"/>
            <w:hideMark/>
          </w:tcPr>
          <w:p w:rsidR="00D42116" w:rsidRPr="00D42116" w:rsidRDefault="00D42116" w:rsidP="00D42116">
            <w:pPr>
              <w:jc w:val="right"/>
              <w:rPr>
                <w:rFonts w:ascii="Lucida Bright" w:hAnsi="Lucida Bright" w:cs="Calibri"/>
                <w:sz w:val="14"/>
                <w:szCs w:val="14"/>
                <w:lang w:val="es-ES"/>
              </w:rPr>
            </w:pPr>
            <w:r w:rsidRPr="00D42116">
              <w:rPr>
                <w:rFonts w:ascii="Lucida Bright" w:hAnsi="Lucida Bright" w:cs="Calibri"/>
                <w:sz w:val="14"/>
                <w:szCs w:val="14"/>
                <w:lang w:val="es-ES"/>
              </w:rPr>
              <w:t xml:space="preserve">- </w:t>
            </w:r>
          </w:p>
        </w:tc>
        <w:tc>
          <w:tcPr>
            <w:tcW w:w="1036" w:type="dxa"/>
            <w:tcBorders>
              <w:top w:val="nil"/>
              <w:left w:val="nil"/>
              <w:bottom w:val="single" w:sz="4" w:space="0" w:color="auto"/>
              <w:right w:val="single" w:sz="4" w:space="0" w:color="auto"/>
            </w:tcBorders>
            <w:shd w:val="clear" w:color="auto" w:fill="auto"/>
            <w:noWrap/>
            <w:vAlign w:val="center"/>
            <w:hideMark/>
          </w:tcPr>
          <w:p w:rsidR="00D42116" w:rsidRPr="00D42116" w:rsidRDefault="00D42116" w:rsidP="00D42116">
            <w:pPr>
              <w:jc w:val="right"/>
              <w:rPr>
                <w:rFonts w:ascii="Lucida Bright" w:hAnsi="Lucida Bright" w:cs="Calibri"/>
                <w:sz w:val="14"/>
                <w:szCs w:val="14"/>
                <w:lang w:val="es-ES"/>
              </w:rPr>
            </w:pPr>
            <w:r w:rsidRPr="00D42116">
              <w:rPr>
                <w:rFonts w:ascii="Lucida Bright" w:hAnsi="Lucida Bright" w:cs="Calibri"/>
                <w:sz w:val="14"/>
                <w:szCs w:val="14"/>
                <w:lang w:val="es-ES"/>
              </w:rPr>
              <w:t xml:space="preserve">- </w:t>
            </w:r>
          </w:p>
        </w:tc>
        <w:tc>
          <w:tcPr>
            <w:tcW w:w="1036" w:type="dxa"/>
            <w:tcBorders>
              <w:top w:val="nil"/>
              <w:left w:val="nil"/>
              <w:bottom w:val="single" w:sz="4" w:space="0" w:color="auto"/>
              <w:right w:val="single" w:sz="4" w:space="0" w:color="auto"/>
            </w:tcBorders>
            <w:shd w:val="clear" w:color="auto" w:fill="auto"/>
            <w:noWrap/>
            <w:vAlign w:val="center"/>
            <w:hideMark/>
          </w:tcPr>
          <w:p w:rsidR="00D42116" w:rsidRPr="00D42116" w:rsidRDefault="00D42116" w:rsidP="00D42116">
            <w:pPr>
              <w:jc w:val="right"/>
              <w:rPr>
                <w:rFonts w:ascii="Lucida Bright" w:hAnsi="Lucida Bright" w:cs="Calibri"/>
                <w:sz w:val="14"/>
                <w:szCs w:val="14"/>
                <w:lang w:val="es-ES"/>
              </w:rPr>
            </w:pPr>
            <w:r w:rsidRPr="00D42116">
              <w:rPr>
                <w:rFonts w:ascii="Lucida Bright" w:hAnsi="Lucida Bright" w:cs="Calibri"/>
                <w:sz w:val="14"/>
                <w:szCs w:val="14"/>
                <w:lang w:val="es-ES"/>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D42116" w:rsidRPr="00D42116" w:rsidRDefault="00D42116" w:rsidP="00D42116">
            <w:pPr>
              <w:jc w:val="right"/>
              <w:rPr>
                <w:rFonts w:ascii="Lucida Bright" w:hAnsi="Lucida Bright" w:cs="Calibri"/>
                <w:sz w:val="14"/>
                <w:szCs w:val="14"/>
                <w:lang w:val="es-ES"/>
              </w:rPr>
            </w:pPr>
            <w:r w:rsidRPr="00D42116">
              <w:rPr>
                <w:rFonts w:ascii="Lucida Bright" w:hAnsi="Lucida Bright" w:cs="Calibri"/>
                <w:sz w:val="14"/>
                <w:szCs w:val="14"/>
                <w:lang w:val="es-ES"/>
              </w:rPr>
              <w:t xml:space="preserve">- </w:t>
            </w:r>
          </w:p>
        </w:tc>
      </w:tr>
      <w:tr w:rsidR="00D42116" w:rsidRPr="00D42116" w:rsidTr="00D42116">
        <w:trPr>
          <w:trHeight w:val="300"/>
        </w:trPr>
        <w:tc>
          <w:tcPr>
            <w:tcW w:w="372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a) Participaciones a l.p. en empresas del grupo</w:t>
            </w:r>
          </w:p>
        </w:tc>
        <w:tc>
          <w:tcPr>
            <w:tcW w:w="1120"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136" w:type="dxa"/>
            <w:tcBorders>
              <w:top w:val="nil"/>
              <w:left w:val="nil"/>
              <w:bottom w:val="single" w:sz="4" w:space="0" w:color="auto"/>
              <w:right w:val="single" w:sz="4" w:space="0" w:color="auto"/>
            </w:tcBorders>
            <w:shd w:val="clear" w:color="auto" w:fill="auto"/>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r>
      <w:tr w:rsidR="00D42116" w:rsidRPr="00D42116" w:rsidTr="00D42116">
        <w:trPr>
          <w:trHeight w:val="300"/>
        </w:trPr>
        <w:tc>
          <w:tcPr>
            <w:tcW w:w="372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b) Participaciones a l.p. en empresas asociadas</w:t>
            </w:r>
          </w:p>
        </w:tc>
        <w:tc>
          <w:tcPr>
            <w:tcW w:w="1120"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136" w:type="dxa"/>
            <w:tcBorders>
              <w:top w:val="nil"/>
              <w:left w:val="nil"/>
              <w:bottom w:val="single" w:sz="4" w:space="0" w:color="auto"/>
              <w:right w:val="single" w:sz="4" w:space="0" w:color="auto"/>
            </w:tcBorders>
            <w:shd w:val="clear" w:color="auto" w:fill="auto"/>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r>
      <w:tr w:rsidR="00D42116" w:rsidRPr="00D42116" w:rsidTr="00D42116">
        <w:trPr>
          <w:trHeight w:val="300"/>
        </w:trPr>
        <w:tc>
          <w:tcPr>
            <w:tcW w:w="372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42116" w:rsidRPr="00D42116" w:rsidRDefault="00D42116" w:rsidP="00D42116">
            <w:pPr>
              <w:rPr>
                <w:rFonts w:ascii="Lucida Bright" w:hAnsi="Lucida Bright" w:cs="Calibri"/>
                <w:sz w:val="14"/>
                <w:szCs w:val="14"/>
                <w:lang w:val="es-ES"/>
              </w:rPr>
            </w:pPr>
            <w:r w:rsidRPr="00D42116">
              <w:rPr>
                <w:rFonts w:ascii="Lucida Bright" w:hAnsi="Lucida Bright" w:cs="Calibri"/>
                <w:sz w:val="14"/>
                <w:szCs w:val="14"/>
                <w:lang w:val="es-ES"/>
              </w:rPr>
              <w:t xml:space="preserve">  Créditos a empresas</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D42116" w:rsidRPr="00D42116" w:rsidRDefault="00D42116" w:rsidP="00D42116">
            <w:pPr>
              <w:jc w:val="right"/>
              <w:rPr>
                <w:rFonts w:ascii="Lucida Bright" w:hAnsi="Lucida Bright" w:cs="Calibri"/>
                <w:sz w:val="14"/>
                <w:szCs w:val="14"/>
                <w:lang w:val="es-ES"/>
              </w:rPr>
            </w:pPr>
            <w:r w:rsidRPr="00D42116">
              <w:rPr>
                <w:rFonts w:ascii="Lucida Bright" w:hAnsi="Lucida Bright" w:cs="Calibri"/>
                <w:sz w:val="14"/>
                <w:szCs w:val="14"/>
                <w:lang w:val="es-ES"/>
              </w:rPr>
              <w:t xml:space="preserve">5.419.176,45 </w:t>
            </w:r>
          </w:p>
        </w:tc>
        <w:tc>
          <w:tcPr>
            <w:tcW w:w="959" w:type="dxa"/>
            <w:tcBorders>
              <w:top w:val="single" w:sz="4" w:space="0" w:color="auto"/>
              <w:left w:val="nil"/>
              <w:bottom w:val="single" w:sz="4" w:space="0" w:color="auto"/>
              <w:right w:val="single" w:sz="4" w:space="0" w:color="auto"/>
            </w:tcBorders>
            <w:shd w:val="clear" w:color="000000" w:fill="FFFFFF"/>
            <w:noWrap/>
            <w:vAlign w:val="center"/>
            <w:hideMark/>
          </w:tcPr>
          <w:p w:rsidR="00D42116" w:rsidRPr="00D42116" w:rsidRDefault="00D42116" w:rsidP="00D42116">
            <w:pPr>
              <w:jc w:val="right"/>
              <w:rPr>
                <w:rFonts w:ascii="Lucida Bright" w:hAnsi="Lucida Bright" w:cs="Calibri"/>
                <w:sz w:val="14"/>
                <w:szCs w:val="14"/>
                <w:lang w:val="es-ES"/>
              </w:rPr>
            </w:pPr>
            <w:r w:rsidRPr="00D42116">
              <w:rPr>
                <w:rFonts w:ascii="Lucida Bright" w:hAnsi="Lucida Bright" w:cs="Calibri"/>
                <w:sz w:val="14"/>
                <w:szCs w:val="14"/>
                <w:lang w:val="es-ES"/>
              </w:rPr>
              <w:t xml:space="preserve">-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D42116" w:rsidRPr="00D42116" w:rsidRDefault="00D42116" w:rsidP="00D42116">
            <w:pPr>
              <w:jc w:val="right"/>
              <w:rPr>
                <w:rFonts w:ascii="Lucida Bright" w:hAnsi="Lucida Bright" w:cs="Calibri"/>
                <w:sz w:val="14"/>
                <w:szCs w:val="14"/>
                <w:lang w:val="es-ES"/>
              </w:rPr>
            </w:pPr>
            <w:r w:rsidRPr="00D42116">
              <w:rPr>
                <w:rFonts w:ascii="Lucida Bright" w:hAnsi="Lucida Bright" w:cs="Calibri"/>
                <w:sz w:val="14"/>
                <w:szCs w:val="14"/>
                <w:lang w:val="es-ES"/>
              </w:rPr>
              <w:t xml:space="preserve">-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D42116" w:rsidRPr="00D42116" w:rsidRDefault="00D42116" w:rsidP="00D42116">
            <w:pPr>
              <w:jc w:val="right"/>
              <w:rPr>
                <w:rFonts w:ascii="Lucida Bright" w:hAnsi="Lucida Bright" w:cs="Calibri"/>
                <w:sz w:val="14"/>
                <w:szCs w:val="14"/>
                <w:lang w:val="es-ES"/>
              </w:rPr>
            </w:pPr>
            <w:r w:rsidRPr="00D42116">
              <w:rPr>
                <w:rFonts w:ascii="Lucida Bright" w:hAnsi="Lucida Bright" w:cs="Calibri"/>
                <w:sz w:val="14"/>
                <w:szCs w:val="14"/>
                <w:lang w:val="es-ES"/>
              </w:rPr>
              <w:t xml:space="preserve">(327.176,48) </w:t>
            </w:r>
          </w:p>
        </w:tc>
        <w:tc>
          <w:tcPr>
            <w:tcW w:w="1048" w:type="dxa"/>
            <w:tcBorders>
              <w:top w:val="single" w:sz="4" w:space="0" w:color="auto"/>
              <w:left w:val="nil"/>
              <w:bottom w:val="single" w:sz="4" w:space="0" w:color="auto"/>
              <w:right w:val="single" w:sz="4" w:space="0" w:color="auto"/>
            </w:tcBorders>
            <w:shd w:val="clear" w:color="000000" w:fill="FFFFFF"/>
            <w:noWrap/>
            <w:vAlign w:val="center"/>
            <w:hideMark/>
          </w:tcPr>
          <w:p w:rsidR="00D42116" w:rsidRPr="00D42116" w:rsidRDefault="00D42116" w:rsidP="00D42116">
            <w:pPr>
              <w:jc w:val="right"/>
              <w:rPr>
                <w:rFonts w:ascii="Lucida Bright" w:hAnsi="Lucida Bright" w:cs="Calibri"/>
                <w:sz w:val="14"/>
                <w:szCs w:val="14"/>
                <w:lang w:val="es-ES"/>
              </w:rPr>
            </w:pPr>
            <w:r w:rsidRPr="00D42116">
              <w:rPr>
                <w:rFonts w:ascii="Lucida Bright" w:hAnsi="Lucida Bright" w:cs="Calibri"/>
                <w:sz w:val="14"/>
                <w:szCs w:val="14"/>
                <w:lang w:val="es-ES"/>
              </w:rPr>
              <w:t xml:space="preserve">- </w:t>
            </w:r>
          </w:p>
        </w:tc>
        <w:tc>
          <w:tcPr>
            <w:tcW w:w="1036" w:type="dxa"/>
            <w:tcBorders>
              <w:top w:val="single" w:sz="4" w:space="0" w:color="auto"/>
              <w:left w:val="nil"/>
              <w:bottom w:val="single" w:sz="4" w:space="0" w:color="auto"/>
              <w:right w:val="single" w:sz="4" w:space="0" w:color="auto"/>
            </w:tcBorders>
            <w:shd w:val="clear" w:color="000000" w:fill="FFFFFF"/>
            <w:noWrap/>
            <w:vAlign w:val="center"/>
            <w:hideMark/>
          </w:tcPr>
          <w:p w:rsidR="00D42116" w:rsidRPr="00D42116" w:rsidRDefault="00D42116" w:rsidP="00D42116">
            <w:pPr>
              <w:jc w:val="right"/>
              <w:rPr>
                <w:rFonts w:ascii="Lucida Bright" w:hAnsi="Lucida Bright" w:cs="Calibri"/>
                <w:sz w:val="14"/>
                <w:szCs w:val="14"/>
                <w:lang w:val="es-ES"/>
              </w:rPr>
            </w:pPr>
            <w:r w:rsidRPr="00D42116">
              <w:rPr>
                <w:rFonts w:ascii="Lucida Bright" w:hAnsi="Lucida Bright" w:cs="Calibri"/>
                <w:sz w:val="14"/>
                <w:szCs w:val="14"/>
                <w:lang w:val="es-ES"/>
              </w:rPr>
              <w:t xml:space="preserve">- </w:t>
            </w:r>
          </w:p>
        </w:tc>
        <w:tc>
          <w:tcPr>
            <w:tcW w:w="1036" w:type="dxa"/>
            <w:tcBorders>
              <w:top w:val="single" w:sz="4" w:space="0" w:color="auto"/>
              <w:left w:val="nil"/>
              <w:bottom w:val="single" w:sz="4" w:space="0" w:color="auto"/>
              <w:right w:val="single" w:sz="4" w:space="0" w:color="auto"/>
            </w:tcBorders>
            <w:shd w:val="clear" w:color="000000" w:fill="FFFFFF"/>
            <w:noWrap/>
            <w:vAlign w:val="center"/>
            <w:hideMark/>
          </w:tcPr>
          <w:p w:rsidR="00D42116" w:rsidRPr="00D42116" w:rsidRDefault="00D42116" w:rsidP="00D42116">
            <w:pPr>
              <w:jc w:val="right"/>
              <w:rPr>
                <w:rFonts w:ascii="Lucida Bright" w:hAnsi="Lucida Bright" w:cs="Calibri"/>
                <w:sz w:val="14"/>
                <w:szCs w:val="14"/>
                <w:lang w:val="es-ES"/>
              </w:rPr>
            </w:pPr>
            <w:r w:rsidRPr="00D42116">
              <w:rPr>
                <w:rFonts w:ascii="Lucida Bright" w:hAnsi="Lucida Bright" w:cs="Calibri"/>
                <w:sz w:val="14"/>
                <w:szCs w:val="14"/>
                <w:lang w:val="es-ES"/>
              </w:rPr>
              <w:t xml:space="preserve">- </w:t>
            </w:r>
          </w:p>
        </w:tc>
        <w:tc>
          <w:tcPr>
            <w:tcW w:w="1036" w:type="dxa"/>
            <w:tcBorders>
              <w:top w:val="single" w:sz="4" w:space="0" w:color="auto"/>
              <w:left w:val="nil"/>
              <w:bottom w:val="single" w:sz="4" w:space="0" w:color="auto"/>
              <w:right w:val="single" w:sz="4" w:space="0" w:color="auto"/>
            </w:tcBorders>
            <w:shd w:val="clear" w:color="000000" w:fill="FFFFFF"/>
            <w:noWrap/>
            <w:vAlign w:val="center"/>
            <w:hideMark/>
          </w:tcPr>
          <w:p w:rsidR="00D42116" w:rsidRPr="00D42116" w:rsidRDefault="00D42116" w:rsidP="00D42116">
            <w:pPr>
              <w:jc w:val="right"/>
              <w:rPr>
                <w:rFonts w:ascii="Lucida Bright" w:hAnsi="Lucida Bright" w:cs="Calibri"/>
                <w:sz w:val="14"/>
                <w:szCs w:val="14"/>
                <w:lang w:val="es-ES"/>
              </w:rPr>
            </w:pPr>
            <w:r w:rsidRPr="00D42116">
              <w:rPr>
                <w:rFonts w:ascii="Lucida Bright" w:hAnsi="Lucida Bright" w:cs="Calibri"/>
                <w:sz w:val="14"/>
                <w:szCs w:val="14"/>
                <w:lang w:val="es-ES"/>
              </w:rPr>
              <w:t xml:space="preserve">- </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D42116" w:rsidRPr="00D42116" w:rsidRDefault="00D42116" w:rsidP="00D42116">
            <w:pPr>
              <w:jc w:val="right"/>
              <w:rPr>
                <w:rFonts w:ascii="Lucida Bright" w:hAnsi="Lucida Bright" w:cs="Calibri"/>
                <w:sz w:val="14"/>
                <w:szCs w:val="14"/>
                <w:lang w:val="es-ES"/>
              </w:rPr>
            </w:pPr>
            <w:r w:rsidRPr="00D42116">
              <w:rPr>
                <w:rFonts w:ascii="Lucida Bright" w:hAnsi="Lucida Bright" w:cs="Calibri"/>
                <w:sz w:val="14"/>
                <w:szCs w:val="14"/>
                <w:lang w:val="es-ES"/>
              </w:rPr>
              <w:t xml:space="preserve">5.091.999,97 </w:t>
            </w:r>
          </w:p>
        </w:tc>
      </w:tr>
      <w:tr w:rsidR="00D42116" w:rsidRPr="00D42116" w:rsidTr="00D42116">
        <w:trPr>
          <w:trHeight w:val="300"/>
        </w:trPr>
        <w:tc>
          <w:tcPr>
            <w:tcW w:w="372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a) Créditos a l.p. a empresas del grupo</w:t>
            </w:r>
          </w:p>
        </w:tc>
        <w:tc>
          <w:tcPr>
            <w:tcW w:w="1120"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136" w:type="dxa"/>
            <w:tcBorders>
              <w:top w:val="nil"/>
              <w:left w:val="nil"/>
              <w:bottom w:val="single" w:sz="4" w:space="0" w:color="auto"/>
              <w:right w:val="single" w:sz="4" w:space="0" w:color="auto"/>
            </w:tcBorders>
            <w:shd w:val="clear" w:color="auto" w:fill="auto"/>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r>
      <w:tr w:rsidR="00D42116" w:rsidRPr="00D42116" w:rsidTr="00D42116">
        <w:trPr>
          <w:trHeight w:val="300"/>
        </w:trPr>
        <w:tc>
          <w:tcPr>
            <w:tcW w:w="372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b) Créditos a l.p. a empresas asociadas</w:t>
            </w:r>
          </w:p>
        </w:tc>
        <w:tc>
          <w:tcPr>
            <w:tcW w:w="1120"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136" w:type="dxa"/>
            <w:tcBorders>
              <w:top w:val="nil"/>
              <w:left w:val="nil"/>
              <w:bottom w:val="single" w:sz="4" w:space="0" w:color="auto"/>
              <w:right w:val="single" w:sz="4" w:space="0" w:color="auto"/>
            </w:tcBorders>
            <w:shd w:val="clear" w:color="auto" w:fill="auto"/>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r>
      <w:tr w:rsidR="00D42116" w:rsidRPr="00D42116" w:rsidTr="00D42116">
        <w:trPr>
          <w:trHeight w:val="300"/>
        </w:trPr>
        <w:tc>
          <w:tcPr>
            <w:tcW w:w="37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c) Préstamos a l.p. concedidos al Fondo de Accesibilidad</w:t>
            </w:r>
          </w:p>
        </w:tc>
        <w:tc>
          <w:tcPr>
            <w:tcW w:w="1120"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jc w:val="right"/>
              <w:rPr>
                <w:rFonts w:ascii="Lucida Bright" w:hAnsi="Lucida Bright" w:cs="Calibri"/>
                <w:i/>
                <w:iCs/>
                <w:sz w:val="14"/>
                <w:szCs w:val="14"/>
                <w:lang w:val="es-ES"/>
              </w:rPr>
            </w:pPr>
            <w:r w:rsidRPr="00D42116">
              <w:rPr>
                <w:rFonts w:ascii="Lucida Bright" w:hAnsi="Lucida Bright" w:cs="Calibri"/>
                <w:i/>
                <w:iCs/>
                <w:sz w:val="14"/>
                <w:szCs w:val="14"/>
                <w:lang w:val="es-ES"/>
              </w:rPr>
              <w:t xml:space="preserve">5.419.176,45 </w:t>
            </w:r>
          </w:p>
        </w:tc>
        <w:tc>
          <w:tcPr>
            <w:tcW w:w="959"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jc w:val="right"/>
              <w:rPr>
                <w:rFonts w:ascii="Lucida Bright" w:hAnsi="Lucida Bright" w:cs="Calibri"/>
                <w:i/>
                <w:iCs/>
                <w:sz w:val="14"/>
                <w:szCs w:val="14"/>
                <w:lang w:val="es-ES"/>
              </w:rPr>
            </w:pPr>
            <w:r w:rsidRPr="00D42116">
              <w:rPr>
                <w:rFonts w:ascii="Lucida Bright" w:hAnsi="Lucida Bright" w:cs="Calibri"/>
                <w:i/>
                <w:iCs/>
                <w:sz w:val="14"/>
                <w:szCs w:val="14"/>
                <w:lang w:val="es-ES"/>
              </w:rPr>
              <w:t xml:space="preserve">(327.176,48) </w:t>
            </w:r>
          </w:p>
        </w:tc>
        <w:tc>
          <w:tcPr>
            <w:tcW w:w="1048"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D42116" w:rsidRPr="00D42116" w:rsidRDefault="00D42116" w:rsidP="00D42116">
            <w:pPr>
              <w:rPr>
                <w:rFonts w:ascii="Lucida Bright" w:hAnsi="Lucida Bright" w:cs="Calibri"/>
                <w:i/>
                <w:iCs/>
                <w:sz w:val="14"/>
                <w:szCs w:val="14"/>
                <w:lang w:val="es-ES"/>
              </w:rPr>
            </w:pPr>
            <w:r w:rsidRPr="00D42116">
              <w:rPr>
                <w:rFonts w:ascii="Lucida Bright" w:hAnsi="Lucida Bright" w:cs="Calibri"/>
                <w:i/>
                <w:iCs/>
                <w:sz w:val="14"/>
                <w:szCs w:val="14"/>
                <w:lang w:val="es-ES"/>
              </w:rPr>
              <w:t> </w:t>
            </w:r>
          </w:p>
        </w:tc>
        <w:tc>
          <w:tcPr>
            <w:tcW w:w="1136" w:type="dxa"/>
            <w:tcBorders>
              <w:top w:val="nil"/>
              <w:left w:val="nil"/>
              <w:bottom w:val="single" w:sz="4" w:space="0" w:color="auto"/>
              <w:right w:val="single" w:sz="4" w:space="0" w:color="auto"/>
            </w:tcBorders>
            <w:shd w:val="clear" w:color="auto" w:fill="auto"/>
            <w:noWrap/>
            <w:vAlign w:val="center"/>
            <w:hideMark/>
          </w:tcPr>
          <w:p w:rsidR="00D42116" w:rsidRPr="00D42116" w:rsidRDefault="00D42116" w:rsidP="00D42116">
            <w:pPr>
              <w:jc w:val="right"/>
              <w:rPr>
                <w:rFonts w:ascii="Lucida Bright" w:hAnsi="Lucida Bright" w:cs="Calibri"/>
                <w:i/>
                <w:iCs/>
                <w:sz w:val="14"/>
                <w:szCs w:val="14"/>
                <w:lang w:val="es-ES"/>
              </w:rPr>
            </w:pPr>
            <w:r w:rsidRPr="00D42116">
              <w:rPr>
                <w:rFonts w:ascii="Lucida Bright" w:hAnsi="Lucida Bright" w:cs="Calibri"/>
                <w:i/>
                <w:iCs/>
                <w:sz w:val="14"/>
                <w:szCs w:val="14"/>
                <w:lang w:val="es-ES"/>
              </w:rPr>
              <w:t xml:space="preserve">5.091.999,97 </w:t>
            </w:r>
          </w:p>
        </w:tc>
      </w:tr>
      <w:tr w:rsidR="00D42116" w:rsidRPr="00D42116" w:rsidTr="00D42116">
        <w:trPr>
          <w:trHeight w:val="300"/>
        </w:trPr>
        <w:tc>
          <w:tcPr>
            <w:tcW w:w="372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42116" w:rsidRPr="00D42116" w:rsidRDefault="00D42116" w:rsidP="00D42116">
            <w:pPr>
              <w:jc w:val="center"/>
              <w:rPr>
                <w:rFonts w:ascii="Lucida Bright" w:hAnsi="Lucida Bright" w:cs="Calibri"/>
                <w:b/>
                <w:bCs/>
                <w:sz w:val="14"/>
                <w:szCs w:val="14"/>
                <w:lang w:val="es-ES"/>
              </w:rPr>
            </w:pPr>
            <w:r w:rsidRPr="00D42116">
              <w:rPr>
                <w:rFonts w:ascii="Lucida Bright" w:hAnsi="Lucida Bright" w:cs="Calibri"/>
                <w:b/>
                <w:bCs/>
                <w:sz w:val="14"/>
                <w:szCs w:val="14"/>
                <w:lang w:val="es-ES"/>
              </w:rPr>
              <w:t>TOTAL</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42116" w:rsidRPr="00D42116" w:rsidRDefault="00D42116" w:rsidP="00D42116">
            <w:pPr>
              <w:jc w:val="right"/>
              <w:rPr>
                <w:rFonts w:ascii="Lucida Bright" w:hAnsi="Lucida Bright" w:cs="Calibri"/>
                <w:b/>
                <w:bCs/>
                <w:sz w:val="14"/>
                <w:szCs w:val="14"/>
                <w:lang w:val="es-ES"/>
              </w:rPr>
            </w:pPr>
            <w:r w:rsidRPr="00D42116">
              <w:rPr>
                <w:rFonts w:ascii="Lucida Bright" w:hAnsi="Lucida Bright" w:cs="Calibri"/>
                <w:b/>
                <w:bCs/>
                <w:sz w:val="14"/>
                <w:szCs w:val="14"/>
                <w:lang w:val="es-ES"/>
              </w:rPr>
              <w:t xml:space="preserve">5.419.176,45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D42116" w:rsidRPr="00D42116" w:rsidRDefault="00D42116" w:rsidP="00D42116">
            <w:pPr>
              <w:jc w:val="right"/>
              <w:rPr>
                <w:rFonts w:ascii="Lucida Bright" w:hAnsi="Lucida Bright" w:cs="Calibri"/>
                <w:b/>
                <w:bCs/>
                <w:sz w:val="14"/>
                <w:szCs w:val="14"/>
                <w:lang w:val="es-ES"/>
              </w:rPr>
            </w:pPr>
            <w:r w:rsidRPr="00D42116">
              <w:rPr>
                <w:rFonts w:ascii="Lucida Bright" w:hAnsi="Lucida Bright" w:cs="Calibri"/>
                <w:b/>
                <w:bCs/>
                <w:sz w:val="14"/>
                <w:szCs w:val="14"/>
                <w:lang w:val="es-ES"/>
              </w:rPr>
              <w:t xml:space="preserve">-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D42116" w:rsidRPr="00D42116" w:rsidRDefault="00D42116" w:rsidP="00D42116">
            <w:pPr>
              <w:jc w:val="right"/>
              <w:rPr>
                <w:rFonts w:ascii="Lucida Bright" w:hAnsi="Lucida Bright" w:cs="Calibri"/>
                <w:b/>
                <w:bCs/>
                <w:sz w:val="14"/>
                <w:szCs w:val="14"/>
                <w:lang w:val="es-ES"/>
              </w:rPr>
            </w:pPr>
            <w:r w:rsidRPr="00D42116">
              <w:rPr>
                <w:rFonts w:ascii="Lucida Bright" w:hAnsi="Lucida Bright" w:cs="Calibri"/>
                <w:b/>
                <w:bCs/>
                <w:sz w:val="14"/>
                <w:szCs w:val="14"/>
                <w:lang w:val="es-ES"/>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42116" w:rsidRPr="00D42116" w:rsidRDefault="00D42116" w:rsidP="00D42116">
            <w:pPr>
              <w:jc w:val="right"/>
              <w:rPr>
                <w:rFonts w:ascii="Lucida Bright" w:hAnsi="Lucida Bright" w:cs="Calibri"/>
                <w:b/>
                <w:bCs/>
                <w:sz w:val="14"/>
                <w:szCs w:val="14"/>
                <w:lang w:val="es-ES"/>
              </w:rPr>
            </w:pPr>
            <w:r w:rsidRPr="00D42116">
              <w:rPr>
                <w:rFonts w:ascii="Lucida Bright" w:hAnsi="Lucida Bright" w:cs="Calibri"/>
                <w:b/>
                <w:bCs/>
                <w:sz w:val="14"/>
                <w:szCs w:val="14"/>
                <w:lang w:val="es-ES"/>
              </w:rPr>
              <w:t xml:space="preserve">(327.176,48) </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D42116" w:rsidRPr="00D42116" w:rsidRDefault="00D42116" w:rsidP="00D42116">
            <w:pPr>
              <w:jc w:val="right"/>
              <w:rPr>
                <w:rFonts w:ascii="Lucida Bright" w:hAnsi="Lucida Bright" w:cs="Calibri"/>
                <w:b/>
                <w:bCs/>
                <w:sz w:val="14"/>
                <w:szCs w:val="14"/>
                <w:lang w:val="es-ES"/>
              </w:rPr>
            </w:pPr>
            <w:r w:rsidRPr="00D42116">
              <w:rPr>
                <w:rFonts w:ascii="Lucida Bright" w:hAnsi="Lucida Bright" w:cs="Calibri"/>
                <w:b/>
                <w:bCs/>
                <w:sz w:val="14"/>
                <w:szCs w:val="14"/>
                <w:lang w:val="es-ES"/>
              </w:rPr>
              <w:t xml:space="preserve">- </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D42116" w:rsidRPr="00D42116" w:rsidRDefault="00D42116" w:rsidP="00D42116">
            <w:pPr>
              <w:jc w:val="right"/>
              <w:rPr>
                <w:rFonts w:ascii="Lucida Bright" w:hAnsi="Lucida Bright" w:cs="Calibri"/>
                <w:b/>
                <w:bCs/>
                <w:sz w:val="14"/>
                <w:szCs w:val="14"/>
                <w:lang w:val="es-ES"/>
              </w:rPr>
            </w:pPr>
            <w:r w:rsidRPr="00D42116">
              <w:rPr>
                <w:rFonts w:ascii="Lucida Bright" w:hAnsi="Lucida Bright" w:cs="Calibri"/>
                <w:b/>
                <w:bCs/>
                <w:sz w:val="14"/>
                <w:szCs w:val="14"/>
                <w:lang w:val="es-ES"/>
              </w:rPr>
              <w:t xml:space="preserve">- </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D42116" w:rsidRPr="00D42116" w:rsidRDefault="00D42116" w:rsidP="00D42116">
            <w:pPr>
              <w:jc w:val="right"/>
              <w:rPr>
                <w:rFonts w:ascii="Lucida Bright" w:hAnsi="Lucida Bright" w:cs="Calibri"/>
                <w:b/>
                <w:bCs/>
                <w:sz w:val="14"/>
                <w:szCs w:val="14"/>
                <w:lang w:val="es-ES"/>
              </w:rPr>
            </w:pPr>
            <w:r w:rsidRPr="00D42116">
              <w:rPr>
                <w:rFonts w:ascii="Lucida Bright" w:hAnsi="Lucida Bright" w:cs="Calibri"/>
                <w:b/>
                <w:bCs/>
                <w:sz w:val="14"/>
                <w:szCs w:val="14"/>
                <w:lang w:val="es-ES"/>
              </w:rPr>
              <w:t xml:space="preserve">- </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D42116" w:rsidRPr="00D42116" w:rsidRDefault="00D42116" w:rsidP="00D42116">
            <w:pPr>
              <w:jc w:val="right"/>
              <w:rPr>
                <w:rFonts w:ascii="Lucida Bright" w:hAnsi="Lucida Bright" w:cs="Calibri"/>
                <w:b/>
                <w:bCs/>
                <w:sz w:val="14"/>
                <w:szCs w:val="14"/>
                <w:lang w:val="es-ES"/>
              </w:rPr>
            </w:pPr>
            <w:r w:rsidRPr="00D42116">
              <w:rPr>
                <w:rFonts w:ascii="Lucida Bright" w:hAnsi="Lucida Bright" w:cs="Calibri"/>
                <w:b/>
                <w:bCs/>
                <w:sz w:val="14"/>
                <w:szCs w:val="14"/>
                <w:lang w:val="es-ES"/>
              </w:rPr>
              <w:t xml:space="preserve">-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D42116" w:rsidRPr="00D42116" w:rsidRDefault="00D42116" w:rsidP="00D42116">
            <w:pPr>
              <w:jc w:val="right"/>
              <w:rPr>
                <w:rFonts w:ascii="Lucida Bright" w:hAnsi="Lucida Bright" w:cs="Calibri"/>
                <w:b/>
                <w:bCs/>
                <w:sz w:val="14"/>
                <w:szCs w:val="14"/>
                <w:lang w:val="es-ES"/>
              </w:rPr>
            </w:pPr>
            <w:r w:rsidRPr="00D42116">
              <w:rPr>
                <w:rFonts w:ascii="Lucida Bright" w:hAnsi="Lucida Bright" w:cs="Calibri"/>
                <w:b/>
                <w:bCs/>
                <w:sz w:val="14"/>
                <w:szCs w:val="14"/>
                <w:lang w:val="es-ES"/>
              </w:rPr>
              <w:t xml:space="preserve">5.091.999,97 </w:t>
            </w:r>
          </w:p>
        </w:tc>
      </w:tr>
    </w:tbl>
    <w:p w:rsidR="009B466D" w:rsidRDefault="009B466D" w:rsidP="008E3490">
      <w:pPr>
        <w:tabs>
          <w:tab w:val="right" w:pos="8364"/>
        </w:tabs>
        <w:ind w:firstLine="567"/>
        <w:jc w:val="both"/>
        <w:rPr>
          <w:rFonts w:ascii="NewBaskerville" w:hAnsi="NewBaskerville"/>
        </w:rPr>
        <w:sectPr w:rsidR="009B466D" w:rsidSect="001724F4">
          <w:pgSz w:w="16840" w:h="11907" w:orient="landscape" w:code="9"/>
          <w:pgMar w:top="1276" w:right="1701" w:bottom="1418" w:left="1701" w:header="567" w:footer="720" w:gutter="0"/>
          <w:cols w:space="720"/>
          <w:docGrid w:linePitch="272"/>
        </w:sectPr>
      </w:pPr>
    </w:p>
    <w:tbl>
      <w:tblPr>
        <w:tblW w:w="5089" w:type="pct"/>
        <w:tblCellMar>
          <w:left w:w="70" w:type="dxa"/>
          <w:right w:w="70" w:type="dxa"/>
        </w:tblCellMar>
        <w:tblLook w:val="04A0" w:firstRow="1" w:lastRow="0" w:firstColumn="1" w:lastColumn="0" w:noHBand="0" w:noVBand="1"/>
      </w:tblPr>
      <w:tblGrid>
        <w:gridCol w:w="4002"/>
        <w:gridCol w:w="361"/>
        <w:gridCol w:w="1038"/>
        <w:gridCol w:w="1038"/>
        <w:gridCol w:w="1129"/>
        <w:gridCol w:w="1005"/>
        <w:gridCol w:w="1178"/>
        <w:gridCol w:w="1474"/>
        <w:gridCol w:w="1069"/>
        <w:gridCol w:w="814"/>
        <w:gridCol w:w="652"/>
        <w:gridCol w:w="913"/>
      </w:tblGrid>
      <w:tr w:rsidR="009A49D0" w:rsidRPr="009A49D0" w:rsidTr="009A49D0">
        <w:trPr>
          <w:trHeight w:val="300"/>
        </w:trPr>
        <w:tc>
          <w:tcPr>
            <w:tcW w:w="2558" w:type="pct"/>
            <w:gridSpan w:val="5"/>
            <w:tcBorders>
              <w:top w:val="nil"/>
              <w:left w:val="nil"/>
              <w:bottom w:val="nil"/>
              <w:right w:val="nil"/>
            </w:tcBorders>
            <w:shd w:val="clear" w:color="000000" w:fill="FFFFFF"/>
            <w:noWrap/>
            <w:vAlign w:val="bottom"/>
            <w:hideMark/>
          </w:tcPr>
          <w:p w:rsidR="00E554B8" w:rsidRDefault="00E554B8" w:rsidP="009A49D0">
            <w:pPr>
              <w:rPr>
                <w:rFonts w:ascii="Lucida Bright" w:hAnsi="Lucida Bright" w:cs="Calibri"/>
                <w:b/>
                <w:bCs/>
                <w:sz w:val="18"/>
                <w:szCs w:val="18"/>
                <w:lang w:val="es-ES"/>
              </w:rPr>
            </w:pPr>
          </w:p>
          <w:p w:rsidR="00E554B8" w:rsidRDefault="00E554B8" w:rsidP="009A49D0">
            <w:pPr>
              <w:rPr>
                <w:rFonts w:ascii="Lucida Bright" w:hAnsi="Lucida Bright" w:cs="Calibri"/>
                <w:b/>
                <w:bCs/>
                <w:sz w:val="18"/>
                <w:szCs w:val="18"/>
                <w:lang w:val="es-ES"/>
              </w:rPr>
            </w:pPr>
          </w:p>
          <w:p w:rsidR="00E554B8" w:rsidRDefault="00E554B8" w:rsidP="009A49D0">
            <w:pPr>
              <w:rPr>
                <w:rFonts w:ascii="Lucida Bright" w:hAnsi="Lucida Bright" w:cs="Calibri"/>
                <w:b/>
                <w:bCs/>
                <w:sz w:val="18"/>
                <w:szCs w:val="18"/>
                <w:lang w:val="es-ES"/>
              </w:rPr>
            </w:pPr>
          </w:p>
          <w:p w:rsidR="009A49D0" w:rsidRPr="009A49D0" w:rsidRDefault="009A49D0" w:rsidP="009A49D0">
            <w:pPr>
              <w:rPr>
                <w:rFonts w:ascii="Lucida Bright" w:hAnsi="Lucida Bright" w:cs="Calibri"/>
                <w:b/>
                <w:bCs/>
                <w:sz w:val="18"/>
                <w:szCs w:val="18"/>
                <w:lang w:val="es-ES"/>
              </w:rPr>
            </w:pPr>
            <w:r w:rsidRPr="009A49D0">
              <w:rPr>
                <w:rFonts w:ascii="Lucida Bright" w:hAnsi="Lucida Bright" w:cs="Calibri"/>
                <w:b/>
                <w:bCs/>
                <w:sz w:val="18"/>
                <w:szCs w:val="18"/>
                <w:lang w:val="es-ES"/>
              </w:rPr>
              <w:t>CUADRO: INVERSIONES FINANCIERAS A LARGO PLAZO 2024</w:t>
            </w:r>
          </w:p>
        </w:tc>
        <w:tc>
          <w:tcPr>
            <w:tcW w:w="333" w:type="pct"/>
            <w:tcBorders>
              <w:top w:val="nil"/>
              <w:left w:val="nil"/>
              <w:bottom w:val="nil"/>
              <w:right w:val="nil"/>
            </w:tcBorders>
            <w:shd w:val="clear" w:color="000000" w:fill="FFFFFF"/>
            <w:noWrap/>
            <w:vAlign w:val="center"/>
            <w:hideMark/>
          </w:tcPr>
          <w:p w:rsidR="009A49D0" w:rsidRPr="009A49D0" w:rsidRDefault="009A49D0" w:rsidP="009A49D0">
            <w:pPr>
              <w:rPr>
                <w:rFonts w:ascii="Tahoma" w:hAnsi="Tahoma" w:cs="Tahoma"/>
                <w:lang w:val="es-ES"/>
              </w:rPr>
            </w:pPr>
            <w:r w:rsidRPr="009A49D0">
              <w:rPr>
                <w:rFonts w:ascii="Tahoma" w:hAnsi="Tahoma" w:cs="Tahoma"/>
                <w:lang w:val="es-ES"/>
              </w:rPr>
              <w:t> </w:t>
            </w:r>
          </w:p>
        </w:tc>
        <w:tc>
          <w:tcPr>
            <w:tcW w:w="390" w:type="pct"/>
            <w:tcBorders>
              <w:top w:val="nil"/>
              <w:left w:val="nil"/>
              <w:bottom w:val="nil"/>
              <w:right w:val="nil"/>
            </w:tcBorders>
            <w:shd w:val="clear" w:color="000000" w:fill="FFFFFF"/>
            <w:noWrap/>
            <w:vAlign w:val="bottom"/>
            <w:hideMark/>
          </w:tcPr>
          <w:p w:rsidR="009A49D0" w:rsidRPr="009A49D0" w:rsidRDefault="009A49D0" w:rsidP="009A49D0">
            <w:pPr>
              <w:rPr>
                <w:rFonts w:ascii="Lucida Bright" w:hAnsi="Lucida Bright" w:cs="Calibri"/>
                <w:sz w:val="14"/>
                <w:szCs w:val="14"/>
                <w:lang w:val="es-ES"/>
              </w:rPr>
            </w:pPr>
            <w:r w:rsidRPr="009A49D0">
              <w:rPr>
                <w:rFonts w:ascii="Lucida Bright" w:hAnsi="Lucida Bright" w:cs="Calibri"/>
                <w:sz w:val="14"/>
                <w:szCs w:val="14"/>
                <w:lang w:val="es-ES"/>
              </w:rPr>
              <w:t>(en euros)</w:t>
            </w:r>
          </w:p>
        </w:tc>
        <w:tc>
          <w:tcPr>
            <w:tcW w:w="486" w:type="pct"/>
            <w:tcBorders>
              <w:top w:val="nil"/>
              <w:left w:val="nil"/>
              <w:bottom w:val="nil"/>
              <w:right w:val="nil"/>
            </w:tcBorders>
            <w:shd w:val="clear" w:color="000000" w:fill="FFFFFF"/>
            <w:noWrap/>
            <w:vAlign w:val="center"/>
            <w:hideMark/>
          </w:tcPr>
          <w:p w:rsidR="009A49D0" w:rsidRPr="009A49D0" w:rsidRDefault="009A49D0" w:rsidP="009A49D0">
            <w:pPr>
              <w:rPr>
                <w:rFonts w:ascii="Tahoma" w:hAnsi="Tahoma" w:cs="Tahoma"/>
                <w:color w:val="FF0000"/>
                <w:lang w:val="es-ES"/>
              </w:rPr>
            </w:pPr>
            <w:r w:rsidRPr="009A49D0">
              <w:rPr>
                <w:rFonts w:ascii="Tahoma" w:hAnsi="Tahoma" w:cs="Tahoma"/>
                <w:color w:val="FF0000"/>
                <w:lang w:val="es-ES"/>
              </w:rPr>
              <w:t> </w:t>
            </w:r>
          </w:p>
        </w:tc>
        <w:tc>
          <w:tcPr>
            <w:tcW w:w="354" w:type="pct"/>
            <w:tcBorders>
              <w:top w:val="nil"/>
              <w:left w:val="nil"/>
              <w:bottom w:val="nil"/>
              <w:right w:val="nil"/>
            </w:tcBorders>
            <w:shd w:val="clear" w:color="000000" w:fill="FFFFFF"/>
            <w:noWrap/>
            <w:vAlign w:val="center"/>
            <w:hideMark/>
          </w:tcPr>
          <w:p w:rsidR="009A49D0" w:rsidRPr="009A49D0" w:rsidRDefault="009A49D0" w:rsidP="009A49D0">
            <w:pPr>
              <w:rPr>
                <w:rFonts w:ascii="Arial" w:hAnsi="Arial" w:cs="Arial"/>
                <w:lang w:val="es-ES"/>
              </w:rPr>
            </w:pPr>
            <w:r w:rsidRPr="009A49D0">
              <w:rPr>
                <w:rFonts w:ascii="Arial" w:hAnsi="Arial" w:cs="Arial"/>
                <w:lang w:val="es-ES"/>
              </w:rPr>
              <w:t> </w:t>
            </w:r>
          </w:p>
        </w:tc>
        <w:tc>
          <w:tcPr>
            <w:tcW w:w="271" w:type="pct"/>
            <w:tcBorders>
              <w:top w:val="nil"/>
              <w:left w:val="nil"/>
              <w:bottom w:val="nil"/>
              <w:right w:val="nil"/>
            </w:tcBorders>
            <w:shd w:val="clear" w:color="000000" w:fill="FFFFFF"/>
            <w:noWrap/>
            <w:vAlign w:val="center"/>
            <w:hideMark/>
          </w:tcPr>
          <w:p w:rsidR="009A49D0" w:rsidRPr="009A49D0" w:rsidRDefault="009A49D0" w:rsidP="009A49D0">
            <w:pPr>
              <w:rPr>
                <w:rFonts w:ascii="Tahoma" w:hAnsi="Tahoma" w:cs="Tahoma"/>
                <w:lang w:val="es-ES"/>
              </w:rPr>
            </w:pPr>
            <w:r w:rsidRPr="009A49D0">
              <w:rPr>
                <w:rFonts w:ascii="Tahoma" w:hAnsi="Tahoma" w:cs="Tahoma"/>
                <w:lang w:val="es-ES"/>
              </w:rPr>
              <w:t> </w:t>
            </w:r>
          </w:p>
        </w:tc>
        <w:tc>
          <w:tcPr>
            <w:tcW w:w="218" w:type="pct"/>
            <w:tcBorders>
              <w:top w:val="nil"/>
              <w:left w:val="nil"/>
              <w:bottom w:val="nil"/>
              <w:right w:val="nil"/>
            </w:tcBorders>
            <w:shd w:val="clear" w:color="000000" w:fill="FFFFFF"/>
            <w:noWrap/>
            <w:vAlign w:val="center"/>
            <w:hideMark/>
          </w:tcPr>
          <w:p w:rsidR="009A49D0" w:rsidRPr="009A49D0" w:rsidRDefault="009A49D0" w:rsidP="009A49D0">
            <w:pPr>
              <w:rPr>
                <w:rFonts w:ascii="Tahoma" w:hAnsi="Tahoma" w:cs="Tahoma"/>
                <w:lang w:val="es-ES"/>
              </w:rPr>
            </w:pPr>
            <w:r w:rsidRPr="009A49D0">
              <w:rPr>
                <w:rFonts w:ascii="Tahoma" w:hAnsi="Tahoma" w:cs="Tahoma"/>
                <w:lang w:val="es-ES"/>
              </w:rPr>
              <w:t> </w:t>
            </w:r>
          </w:p>
        </w:tc>
        <w:tc>
          <w:tcPr>
            <w:tcW w:w="391" w:type="pct"/>
            <w:tcBorders>
              <w:top w:val="nil"/>
              <w:left w:val="nil"/>
              <w:bottom w:val="nil"/>
              <w:right w:val="nil"/>
            </w:tcBorders>
            <w:shd w:val="clear" w:color="000000" w:fill="FFFFFF"/>
            <w:noWrap/>
            <w:vAlign w:val="center"/>
            <w:hideMark/>
          </w:tcPr>
          <w:p w:rsidR="009A49D0" w:rsidRPr="009A49D0" w:rsidRDefault="009A49D0" w:rsidP="009A49D0">
            <w:pPr>
              <w:rPr>
                <w:rFonts w:ascii="Arial" w:hAnsi="Arial" w:cs="Arial"/>
                <w:lang w:val="es-ES"/>
              </w:rPr>
            </w:pPr>
            <w:r w:rsidRPr="009A49D0">
              <w:rPr>
                <w:rFonts w:ascii="Arial" w:hAnsi="Arial" w:cs="Arial"/>
                <w:lang w:val="es-ES"/>
              </w:rPr>
              <w:t> </w:t>
            </w:r>
          </w:p>
        </w:tc>
      </w:tr>
      <w:tr w:rsidR="009A49D0" w:rsidRPr="009A49D0" w:rsidTr="009A49D0">
        <w:trPr>
          <w:trHeight w:val="900"/>
        </w:trPr>
        <w:tc>
          <w:tcPr>
            <w:tcW w:w="1435" w:type="pct"/>
            <w:gridSpan w:val="2"/>
            <w:tcBorders>
              <w:top w:val="single" w:sz="4" w:space="0" w:color="auto"/>
              <w:left w:val="single" w:sz="4" w:space="0" w:color="auto"/>
              <w:bottom w:val="single" w:sz="4" w:space="0" w:color="auto"/>
              <w:right w:val="single" w:sz="4" w:space="0" w:color="000000"/>
            </w:tcBorders>
            <w:shd w:val="clear" w:color="000000" w:fill="CCFFCC"/>
            <w:vAlign w:val="center"/>
            <w:hideMark/>
          </w:tcPr>
          <w:p w:rsidR="009A49D0" w:rsidRPr="009A49D0" w:rsidRDefault="009A49D0" w:rsidP="009A49D0">
            <w:pPr>
              <w:jc w:val="center"/>
              <w:rPr>
                <w:rFonts w:ascii="Lucida Bright" w:hAnsi="Lucida Bright" w:cs="Calibri"/>
                <w:b/>
                <w:bCs/>
                <w:sz w:val="14"/>
                <w:szCs w:val="14"/>
                <w:lang w:val="es-ES"/>
              </w:rPr>
            </w:pPr>
            <w:r w:rsidRPr="009A49D0">
              <w:rPr>
                <w:rFonts w:ascii="Lucida Bright" w:hAnsi="Lucida Bright" w:cs="Calibri"/>
                <w:b/>
                <w:bCs/>
                <w:sz w:val="14"/>
                <w:szCs w:val="14"/>
                <w:lang w:val="es-ES"/>
              </w:rPr>
              <w:t>INVERSIONES FINANCIERAS A LARGO PLAZO</w:t>
            </w:r>
          </w:p>
        </w:tc>
        <w:tc>
          <w:tcPr>
            <w:tcW w:w="352" w:type="pct"/>
            <w:tcBorders>
              <w:top w:val="single" w:sz="4" w:space="0" w:color="auto"/>
              <w:left w:val="nil"/>
              <w:bottom w:val="single" w:sz="4" w:space="0" w:color="auto"/>
              <w:right w:val="single" w:sz="4" w:space="0" w:color="auto"/>
            </w:tcBorders>
            <w:shd w:val="clear" w:color="000000" w:fill="CCFFCC"/>
            <w:vAlign w:val="center"/>
            <w:hideMark/>
          </w:tcPr>
          <w:p w:rsidR="009A49D0" w:rsidRPr="009A49D0" w:rsidRDefault="009A49D0" w:rsidP="009A49D0">
            <w:pPr>
              <w:jc w:val="center"/>
              <w:rPr>
                <w:rFonts w:ascii="Lucida Bright" w:hAnsi="Lucida Bright" w:cs="Calibri"/>
                <w:sz w:val="14"/>
                <w:szCs w:val="14"/>
                <w:lang w:val="es-ES"/>
              </w:rPr>
            </w:pPr>
            <w:r w:rsidRPr="009A49D0">
              <w:rPr>
                <w:rFonts w:ascii="Lucida Bright" w:hAnsi="Lucida Bright" w:cs="Calibri"/>
                <w:sz w:val="14"/>
                <w:szCs w:val="14"/>
                <w:lang w:val="es-ES"/>
              </w:rPr>
              <w:t>Saldo a</w:t>
            </w:r>
            <w:r w:rsidRPr="009A49D0">
              <w:rPr>
                <w:rFonts w:ascii="Lucida Bright" w:hAnsi="Lucida Bright" w:cs="Calibri"/>
                <w:sz w:val="14"/>
                <w:szCs w:val="14"/>
                <w:lang w:val="es-ES"/>
              </w:rPr>
              <w:br/>
              <w:t>31-12-23</w:t>
            </w:r>
          </w:p>
        </w:tc>
        <w:tc>
          <w:tcPr>
            <w:tcW w:w="369" w:type="pct"/>
            <w:tcBorders>
              <w:top w:val="single" w:sz="4" w:space="0" w:color="auto"/>
              <w:left w:val="nil"/>
              <w:bottom w:val="nil"/>
              <w:right w:val="nil"/>
            </w:tcBorders>
            <w:shd w:val="clear" w:color="000000" w:fill="CCFFCC"/>
            <w:vAlign w:val="center"/>
            <w:hideMark/>
          </w:tcPr>
          <w:p w:rsidR="009A49D0" w:rsidRPr="009A49D0" w:rsidRDefault="009A49D0" w:rsidP="009A49D0">
            <w:pPr>
              <w:jc w:val="center"/>
              <w:rPr>
                <w:rFonts w:ascii="Lucida Bright" w:hAnsi="Lucida Bright" w:cs="Calibri"/>
                <w:sz w:val="14"/>
                <w:szCs w:val="14"/>
                <w:lang w:val="es-ES"/>
              </w:rPr>
            </w:pPr>
            <w:r w:rsidRPr="009A49D0">
              <w:rPr>
                <w:rFonts w:ascii="Lucida Bright" w:hAnsi="Lucida Bright" w:cs="Calibri"/>
                <w:sz w:val="14"/>
                <w:szCs w:val="14"/>
                <w:lang w:val="es-ES"/>
              </w:rPr>
              <w:t>Adiciones del ejercicio (+)</w:t>
            </w:r>
          </w:p>
        </w:tc>
        <w:tc>
          <w:tcPr>
            <w:tcW w:w="401" w:type="pct"/>
            <w:tcBorders>
              <w:top w:val="single" w:sz="4" w:space="0" w:color="auto"/>
              <w:left w:val="single" w:sz="4" w:space="0" w:color="auto"/>
              <w:bottom w:val="nil"/>
              <w:right w:val="single" w:sz="4" w:space="0" w:color="auto"/>
            </w:tcBorders>
            <w:shd w:val="clear" w:color="000000" w:fill="CCFFCC"/>
            <w:vAlign w:val="center"/>
            <w:hideMark/>
          </w:tcPr>
          <w:p w:rsidR="009A49D0" w:rsidRPr="009A49D0" w:rsidRDefault="009A49D0" w:rsidP="009A49D0">
            <w:pPr>
              <w:jc w:val="center"/>
              <w:rPr>
                <w:rFonts w:ascii="Lucida Bright" w:hAnsi="Lucida Bright" w:cs="Calibri"/>
                <w:sz w:val="14"/>
                <w:szCs w:val="14"/>
                <w:lang w:val="es-ES"/>
              </w:rPr>
            </w:pPr>
            <w:r w:rsidRPr="009A49D0">
              <w:rPr>
                <w:rFonts w:ascii="Lucida Bright" w:hAnsi="Lucida Bright" w:cs="Calibri"/>
                <w:sz w:val="14"/>
                <w:szCs w:val="14"/>
                <w:lang w:val="es-ES"/>
              </w:rPr>
              <w:t>Cancelación anticipada (-)</w:t>
            </w:r>
          </w:p>
        </w:tc>
        <w:tc>
          <w:tcPr>
            <w:tcW w:w="333" w:type="pct"/>
            <w:tcBorders>
              <w:top w:val="single" w:sz="4" w:space="0" w:color="auto"/>
              <w:left w:val="nil"/>
              <w:bottom w:val="nil"/>
              <w:right w:val="nil"/>
            </w:tcBorders>
            <w:shd w:val="clear" w:color="000000" w:fill="CCFFCC"/>
            <w:vAlign w:val="center"/>
            <w:hideMark/>
          </w:tcPr>
          <w:p w:rsidR="009A49D0" w:rsidRPr="009A49D0" w:rsidRDefault="009A49D0" w:rsidP="009A49D0">
            <w:pPr>
              <w:jc w:val="center"/>
              <w:rPr>
                <w:rFonts w:ascii="Lucida Bright" w:hAnsi="Lucida Bright" w:cs="Calibri"/>
                <w:sz w:val="14"/>
                <w:szCs w:val="14"/>
                <w:lang w:val="es-ES"/>
              </w:rPr>
            </w:pPr>
            <w:r w:rsidRPr="009A49D0">
              <w:rPr>
                <w:rFonts w:ascii="Lucida Bright" w:hAnsi="Lucida Bright" w:cs="Calibri"/>
                <w:sz w:val="14"/>
                <w:szCs w:val="14"/>
                <w:lang w:val="es-ES"/>
              </w:rPr>
              <w:t>Traspasos a corto plazo (-)</w:t>
            </w:r>
          </w:p>
        </w:tc>
        <w:tc>
          <w:tcPr>
            <w:tcW w:w="390" w:type="pct"/>
            <w:tcBorders>
              <w:top w:val="single" w:sz="4" w:space="0" w:color="auto"/>
              <w:left w:val="single" w:sz="4" w:space="0" w:color="auto"/>
              <w:bottom w:val="single" w:sz="4" w:space="0" w:color="auto"/>
              <w:right w:val="single" w:sz="4" w:space="0" w:color="auto"/>
            </w:tcBorders>
            <w:shd w:val="clear" w:color="000000" w:fill="CCFFCC"/>
            <w:vAlign w:val="center"/>
            <w:hideMark/>
          </w:tcPr>
          <w:p w:rsidR="009A49D0" w:rsidRPr="009A49D0" w:rsidRDefault="009A49D0" w:rsidP="009A49D0">
            <w:pPr>
              <w:jc w:val="center"/>
              <w:rPr>
                <w:rFonts w:ascii="Lucida Bright" w:hAnsi="Lucida Bright" w:cs="Calibri"/>
                <w:sz w:val="14"/>
                <w:szCs w:val="14"/>
                <w:lang w:val="es-ES"/>
              </w:rPr>
            </w:pPr>
            <w:r w:rsidRPr="009A49D0">
              <w:rPr>
                <w:rFonts w:ascii="Lucida Bright" w:hAnsi="Lucida Bright" w:cs="Calibri"/>
                <w:sz w:val="14"/>
                <w:szCs w:val="14"/>
                <w:lang w:val="es-ES"/>
              </w:rPr>
              <w:t>Enajenación de participaciones y otras (-)</w:t>
            </w:r>
          </w:p>
        </w:tc>
        <w:tc>
          <w:tcPr>
            <w:tcW w:w="486" w:type="pct"/>
            <w:tcBorders>
              <w:top w:val="single" w:sz="4" w:space="0" w:color="auto"/>
              <w:left w:val="nil"/>
              <w:bottom w:val="single" w:sz="4" w:space="0" w:color="auto"/>
              <w:right w:val="single" w:sz="4" w:space="0" w:color="auto"/>
            </w:tcBorders>
            <w:shd w:val="clear" w:color="000000" w:fill="CCFFCC"/>
            <w:vAlign w:val="center"/>
            <w:hideMark/>
          </w:tcPr>
          <w:p w:rsidR="009A49D0" w:rsidRPr="009A49D0" w:rsidRDefault="009A49D0" w:rsidP="009A49D0">
            <w:pPr>
              <w:jc w:val="center"/>
              <w:rPr>
                <w:rFonts w:ascii="Lucida Bright" w:hAnsi="Lucida Bright" w:cs="Calibri"/>
                <w:sz w:val="14"/>
                <w:szCs w:val="14"/>
                <w:lang w:val="es-ES"/>
              </w:rPr>
            </w:pPr>
            <w:r w:rsidRPr="009A49D0">
              <w:rPr>
                <w:rFonts w:ascii="Lucida Bright" w:hAnsi="Lucida Bright" w:cs="Calibri"/>
                <w:sz w:val="14"/>
                <w:szCs w:val="14"/>
                <w:lang w:val="es-ES"/>
              </w:rPr>
              <w:t>Pérdidas por deterioro/reversión (+/-)</w:t>
            </w:r>
          </w:p>
        </w:tc>
        <w:tc>
          <w:tcPr>
            <w:tcW w:w="354" w:type="pct"/>
            <w:tcBorders>
              <w:top w:val="single" w:sz="4" w:space="0" w:color="auto"/>
              <w:left w:val="nil"/>
              <w:bottom w:val="single" w:sz="4" w:space="0" w:color="auto"/>
              <w:right w:val="single" w:sz="4" w:space="0" w:color="auto"/>
            </w:tcBorders>
            <w:shd w:val="clear" w:color="000000" w:fill="CCFFCC"/>
            <w:vAlign w:val="center"/>
            <w:hideMark/>
          </w:tcPr>
          <w:p w:rsidR="009A49D0" w:rsidRPr="009A49D0" w:rsidRDefault="009A49D0" w:rsidP="009A49D0">
            <w:pPr>
              <w:jc w:val="center"/>
              <w:rPr>
                <w:rFonts w:ascii="Lucida Bright" w:hAnsi="Lucida Bright" w:cs="Calibri"/>
                <w:sz w:val="14"/>
                <w:szCs w:val="14"/>
                <w:lang w:val="es-ES"/>
              </w:rPr>
            </w:pPr>
            <w:r w:rsidRPr="009A49D0">
              <w:rPr>
                <w:rFonts w:ascii="Lucida Bright" w:hAnsi="Lucida Bright" w:cs="Calibri"/>
                <w:sz w:val="14"/>
                <w:szCs w:val="14"/>
                <w:lang w:val="es-ES"/>
              </w:rPr>
              <w:t>Actualización financiera (+)</w:t>
            </w:r>
          </w:p>
        </w:tc>
        <w:tc>
          <w:tcPr>
            <w:tcW w:w="271" w:type="pct"/>
            <w:tcBorders>
              <w:top w:val="single" w:sz="4" w:space="0" w:color="auto"/>
              <w:left w:val="nil"/>
              <w:bottom w:val="single" w:sz="4" w:space="0" w:color="auto"/>
              <w:right w:val="single" w:sz="4" w:space="0" w:color="auto"/>
            </w:tcBorders>
            <w:shd w:val="clear" w:color="000000" w:fill="CCFFCC"/>
            <w:vAlign w:val="center"/>
            <w:hideMark/>
          </w:tcPr>
          <w:p w:rsidR="009A49D0" w:rsidRPr="009A49D0" w:rsidRDefault="009A49D0" w:rsidP="009A49D0">
            <w:pPr>
              <w:jc w:val="center"/>
              <w:rPr>
                <w:rFonts w:ascii="Lucida Bright" w:hAnsi="Lucida Bright" w:cs="Calibri"/>
                <w:sz w:val="14"/>
                <w:szCs w:val="14"/>
                <w:lang w:val="es-ES"/>
              </w:rPr>
            </w:pPr>
            <w:r w:rsidRPr="009A49D0">
              <w:rPr>
                <w:rFonts w:ascii="Lucida Bright" w:hAnsi="Lucida Bright" w:cs="Calibri"/>
                <w:sz w:val="14"/>
                <w:szCs w:val="14"/>
                <w:lang w:val="es-ES"/>
              </w:rPr>
              <w:t>Variación valor razonable (+/-)</w:t>
            </w:r>
          </w:p>
        </w:tc>
        <w:tc>
          <w:tcPr>
            <w:tcW w:w="218" w:type="pct"/>
            <w:tcBorders>
              <w:top w:val="single" w:sz="4" w:space="0" w:color="auto"/>
              <w:left w:val="nil"/>
              <w:bottom w:val="single" w:sz="4" w:space="0" w:color="auto"/>
              <w:right w:val="single" w:sz="4" w:space="0" w:color="auto"/>
            </w:tcBorders>
            <w:shd w:val="clear" w:color="000000" w:fill="CCFFCC"/>
            <w:vAlign w:val="center"/>
            <w:hideMark/>
          </w:tcPr>
          <w:p w:rsidR="009A49D0" w:rsidRPr="009A49D0" w:rsidRDefault="009A49D0" w:rsidP="009A49D0">
            <w:pPr>
              <w:jc w:val="center"/>
              <w:rPr>
                <w:rFonts w:ascii="Lucida Bright" w:hAnsi="Lucida Bright" w:cs="Calibri"/>
                <w:sz w:val="14"/>
                <w:szCs w:val="14"/>
                <w:lang w:val="es-ES"/>
              </w:rPr>
            </w:pPr>
            <w:r w:rsidRPr="009A49D0">
              <w:rPr>
                <w:rFonts w:ascii="Lucida Bright" w:hAnsi="Lucida Bright" w:cs="Calibri"/>
                <w:sz w:val="14"/>
                <w:szCs w:val="14"/>
                <w:lang w:val="es-ES"/>
              </w:rPr>
              <w:t>Ajustes por cambio de valor (+/-)</w:t>
            </w:r>
          </w:p>
        </w:tc>
        <w:tc>
          <w:tcPr>
            <w:tcW w:w="391" w:type="pct"/>
            <w:tcBorders>
              <w:top w:val="single" w:sz="4" w:space="0" w:color="auto"/>
              <w:left w:val="nil"/>
              <w:bottom w:val="single" w:sz="4" w:space="0" w:color="auto"/>
              <w:right w:val="single" w:sz="4" w:space="0" w:color="auto"/>
            </w:tcBorders>
            <w:shd w:val="clear" w:color="000000" w:fill="CCFFCC"/>
            <w:vAlign w:val="center"/>
            <w:hideMark/>
          </w:tcPr>
          <w:p w:rsidR="009A49D0" w:rsidRPr="009A49D0" w:rsidRDefault="009A49D0" w:rsidP="009A49D0">
            <w:pPr>
              <w:jc w:val="center"/>
              <w:rPr>
                <w:rFonts w:ascii="Lucida Bright" w:hAnsi="Lucida Bright" w:cs="Calibri"/>
                <w:sz w:val="14"/>
                <w:szCs w:val="14"/>
                <w:lang w:val="es-ES"/>
              </w:rPr>
            </w:pPr>
            <w:r w:rsidRPr="009A49D0">
              <w:rPr>
                <w:rFonts w:ascii="Lucida Bright" w:hAnsi="Lucida Bright" w:cs="Calibri"/>
                <w:sz w:val="14"/>
                <w:szCs w:val="14"/>
                <w:lang w:val="es-ES"/>
              </w:rPr>
              <w:t>Saldo a</w:t>
            </w:r>
            <w:r w:rsidRPr="009A49D0">
              <w:rPr>
                <w:rFonts w:ascii="Lucida Bright" w:hAnsi="Lucida Bright" w:cs="Calibri"/>
                <w:sz w:val="14"/>
                <w:szCs w:val="14"/>
                <w:lang w:val="es-ES"/>
              </w:rPr>
              <w:br/>
              <w:t>31-12-24</w:t>
            </w:r>
          </w:p>
        </w:tc>
      </w:tr>
      <w:tr w:rsidR="009A49D0" w:rsidRPr="009A49D0" w:rsidTr="009A49D0">
        <w:trPr>
          <w:trHeight w:val="300"/>
        </w:trPr>
        <w:tc>
          <w:tcPr>
            <w:tcW w:w="143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A49D0" w:rsidRPr="009A49D0" w:rsidRDefault="009A49D0" w:rsidP="009A49D0">
            <w:pPr>
              <w:rPr>
                <w:rFonts w:ascii="Lucida Bright" w:hAnsi="Lucida Bright" w:cs="Calibri"/>
                <w:sz w:val="14"/>
                <w:szCs w:val="14"/>
                <w:lang w:val="es-ES"/>
              </w:rPr>
            </w:pPr>
            <w:r w:rsidRPr="009A49D0">
              <w:rPr>
                <w:rFonts w:ascii="Lucida Bright" w:hAnsi="Lucida Bright" w:cs="Calibri"/>
                <w:sz w:val="14"/>
                <w:szCs w:val="14"/>
                <w:lang w:val="es-ES"/>
              </w:rPr>
              <w:t xml:space="preserve">  Instrumentos de patrimonio</w:t>
            </w:r>
          </w:p>
        </w:tc>
        <w:tc>
          <w:tcPr>
            <w:tcW w:w="352"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390"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486" w:type="pct"/>
            <w:tcBorders>
              <w:top w:val="nil"/>
              <w:left w:val="nil"/>
              <w:bottom w:val="single" w:sz="4" w:space="0" w:color="auto"/>
              <w:right w:val="single" w:sz="4" w:space="0" w:color="auto"/>
            </w:tcBorders>
            <w:shd w:val="clear" w:color="000000" w:fill="BFBFBF"/>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354" w:type="pct"/>
            <w:tcBorders>
              <w:top w:val="nil"/>
              <w:left w:val="nil"/>
              <w:bottom w:val="single" w:sz="4" w:space="0" w:color="auto"/>
              <w:right w:val="single" w:sz="4" w:space="0" w:color="auto"/>
            </w:tcBorders>
            <w:shd w:val="clear" w:color="000000" w:fill="C0C0C0"/>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271"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218"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391"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r>
      <w:tr w:rsidR="009A49D0" w:rsidRPr="009A49D0" w:rsidTr="009A49D0">
        <w:trPr>
          <w:trHeight w:val="300"/>
        </w:trPr>
        <w:tc>
          <w:tcPr>
            <w:tcW w:w="143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a) Participaciones a l.p. en otras partes vinculadas</w:t>
            </w:r>
          </w:p>
        </w:tc>
        <w:tc>
          <w:tcPr>
            <w:tcW w:w="352"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c>
          <w:tcPr>
            <w:tcW w:w="369"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c>
          <w:tcPr>
            <w:tcW w:w="401" w:type="pct"/>
            <w:tcBorders>
              <w:top w:val="nil"/>
              <w:left w:val="nil"/>
              <w:bottom w:val="single" w:sz="4" w:space="0" w:color="auto"/>
              <w:right w:val="single" w:sz="4" w:space="0" w:color="auto"/>
            </w:tcBorders>
            <w:shd w:val="clear" w:color="000000" w:fill="C0C0C0"/>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c>
          <w:tcPr>
            <w:tcW w:w="390"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c>
          <w:tcPr>
            <w:tcW w:w="486" w:type="pct"/>
            <w:tcBorders>
              <w:top w:val="nil"/>
              <w:left w:val="nil"/>
              <w:bottom w:val="single" w:sz="4" w:space="0" w:color="auto"/>
              <w:right w:val="single" w:sz="4" w:space="0" w:color="auto"/>
            </w:tcBorders>
            <w:shd w:val="clear" w:color="000000" w:fill="BFBFB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54" w:type="pct"/>
            <w:tcBorders>
              <w:top w:val="nil"/>
              <w:left w:val="nil"/>
              <w:bottom w:val="single" w:sz="4" w:space="0" w:color="auto"/>
              <w:right w:val="single" w:sz="4" w:space="0" w:color="auto"/>
            </w:tcBorders>
            <w:shd w:val="clear" w:color="000000" w:fill="C0C0C0"/>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271" w:type="pct"/>
            <w:tcBorders>
              <w:top w:val="nil"/>
              <w:left w:val="nil"/>
              <w:bottom w:val="single" w:sz="4" w:space="0" w:color="auto"/>
              <w:right w:val="single" w:sz="4" w:space="0" w:color="auto"/>
            </w:tcBorders>
            <w:shd w:val="clear" w:color="000000"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c>
          <w:tcPr>
            <w:tcW w:w="218" w:type="pct"/>
            <w:tcBorders>
              <w:top w:val="nil"/>
              <w:left w:val="nil"/>
              <w:bottom w:val="single" w:sz="4" w:space="0" w:color="auto"/>
              <w:right w:val="single" w:sz="4" w:space="0" w:color="auto"/>
            </w:tcBorders>
            <w:shd w:val="clear" w:color="000000"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c>
          <w:tcPr>
            <w:tcW w:w="391"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r>
      <w:tr w:rsidR="009A49D0" w:rsidRPr="009A49D0" w:rsidTr="009A49D0">
        <w:trPr>
          <w:trHeight w:val="300"/>
        </w:trPr>
        <w:tc>
          <w:tcPr>
            <w:tcW w:w="143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b) Inversiones financieras a l.p. en instrumentos de patrimonio</w:t>
            </w:r>
          </w:p>
        </w:tc>
        <w:tc>
          <w:tcPr>
            <w:tcW w:w="352"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c>
          <w:tcPr>
            <w:tcW w:w="369"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c>
          <w:tcPr>
            <w:tcW w:w="401" w:type="pct"/>
            <w:tcBorders>
              <w:top w:val="nil"/>
              <w:left w:val="nil"/>
              <w:bottom w:val="single" w:sz="4" w:space="0" w:color="auto"/>
              <w:right w:val="single" w:sz="4" w:space="0" w:color="auto"/>
            </w:tcBorders>
            <w:shd w:val="clear" w:color="000000" w:fill="C0C0C0"/>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c>
          <w:tcPr>
            <w:tcW w:w="390"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c>
          <w:tcPr>
            <w:tcW w:w="486" w:type="pct"/>
            <w:tcBorders>
              <w:top w:val="nil"/>
              <w:left w:val="nil"/>
              <w:bottom w:val="single" w:sz="4" w:space="0" w:color="auto"/>
              <w:right w:val="single" w:sz="4" w:space="0" w:color="auto"/>
            </w:tcBorders>
            <w:shd w:val="clear" w:color="000000" w:fill="BFBFB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54" w:type="pct"/>
            <w:tcBorders>
              <w:top w:val="nil"/>
              <w:left w:val="nil"/>
              <w:bottom w:val="single" w:sz="4" w:space="0" w:color="auto"/>
              <w:right w:val="single" w:sz="4" w:space="0" w:color="auto"/>
            </w:tcBorders>
            <w:shd w:val="clear" w:color="000000" w:fill="C0C0C0"/>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271" w:type="pct"/>
            <w:tcBorders>
              <w:top w:val="nil"/>
              <w:left w:val="nil"/>
              <w:bottom w:val="single" w:sz="4" w:space="0" w:color="auto"/>
              <w:right w:val="single" w:sz="4" w:space="0" w:color="auto"/>
            </w:tcBorders>
            <w:shd w:val="clear" w:color="000000"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c>
          <w:tcPr>
            <w:tcW w:w="218" w:type="pct"/>
            <w:tcBorders>
              <w:top w:val="nil"/>
              <w:left w:val="nil"/>
              <w:bottom w:val="single" w:sz="4" w:space="0" w:color="auto"/>
              <w:right w:val="single" w:sz="4" w:space="0" w:color="auto"/>
            </w:tcBorders>
            <w:shd w:val="clear" w:color="000000"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c>
          <w:tcPr>
            <w:tcW w:w="391"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r>
      <w:tr w:rsidR="009A49D0" w:rsidRPr="009A49D0" w:rsidTr="009A49D0">
        <w:trPr>
          <w:trHeight w:val="300"/>
        </w:trPr>
        <w:tc>
          <w:tcPr>
            <w:tcW w:w="143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A49D0" w:rsidRPr="009A49D0" w:rsidRDefault="009A49D0" w:rsidP="009A49D0">
            <w:pPr>
              <w:rPr>
                <w:rFonts w:ascii="Lucida Bright" w:hAnsi="Lucida Bright" w:cs="Calibri"/>
                <w:sz w:val="14"/>
                <w:szCs w:val="14"/>
                <w:lang w:val="es-ES"/>
              </w:rPr>
            </w:pPr>
            <w:r w:rsidRPr="009A49D0">
              <w:rPr>
                <w:rFonts w:ascii="Lucida Bright" w:hAnsi="Lucida Bright" w:cs="Calibri"/>
                <w:sz w:val="14"/>
                <w:szCs w:val="14"/>
                <w:lang w:val="es-ES"/>
              </w:rPr>
              <w:t xml:space="preserve">  Créditos a terceros</w:t>
            </w:r>
          </w:p>
        </w:tc>
        <w:tc>
          <w:tcPr>
            <w:tcW w:w="352"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601.477,45 </w:t>
            </w:r>
          </w:p>
        </w:tc>
        <w:tc>
          <w:tcPr>
            <w:tcW w:w="369"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474.135,21 </w:t>
            </w:r>
          </w:p>
        </w:tc>
        <w:tc>
          <w:tcPr>
            <w:tcW w:w="401"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(284.662,40) </w:t>
            </w:r>
          </w:p>
        </w:tc>
        <w:tc>
          <w:tcPr>
            <w:tcW w:w="390"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486"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271"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218"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391"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790.950,26 </w:t>
            </w:r>
          </w:p>
        </w:tc>
      </w:tr>
      <w:tr w:rsidR="009A49D0" w:rsidRPr="009A49D0" w:rsidTr="009A49D0">
        <w:trPr>
          <w:trHeight w:val="300"/>
        </w:trPr>
        <w:tc>
          <w:tcPr>
            <w:tcW w:w="143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xml:space="preserve">a) </w:t>
            </w:r>
            <w:r w:rsidR="00416638" w:rsidRPr="009A49D0">
              <w:rPr>
                <w:rFonts w:ascii="Lucida Bright" w:hAnsi="Lucida Bright" w:cs="Calibri"/>
                <w:i/>
                <w:iCs/>
                <w:sz w:val="14"/>
                <w:szCs w:val="14"/>
                <w:lang w:val="es-ES"/>
              </w:rPr>
              <w:t>Créditos</w:t>
            </w:r>
            <w:r w:rsidRPr="009A49D0">
              <w:rPr>
                <w:rFonts w:ascii="Lucida Bright" w:hAnsi="Lucida Bright" w:cs="Calibri"/>
                <w:i/>
                <w:iCs/>
                <w:sz w:val="14"/>
                <w:szCs w:val="14"/>
                <w:lang w:val="es-ES"/>
              </w:rPr>
              <w:t xml:space="preserve"> a l.p. a otras partes vinculadas</w:t>
            </w:r>
          </w:p>
        </w:tc>
        <w:tc>
          <w:tcPr>
            <w:tcW w:w="352"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69"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401"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90"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486"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54"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271"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218"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91"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r>
      <w:tr w:rsidR="009A49D0" w:rsidRPr="009A49D0" w:rsidTr="009A49D0">
        <w:trPr>
          <w:trHeight w:val="300"/>
        </w:trPr>
        <w:tc>
          <w:tcPr>
            <w:tcW w:w="143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xml:space="preserve">b) </w:t>
            </w:r>
            <w:r w:rsidR="00416638" w:rsidRPr="009A49D0">
              <w:rPr>
                <w:rFonts w:ascii="Lucida Bright" w:hAnsi="Lucida Bright" w:cs="Calibri"/>
                <w:i/>
                <w:iCs/>
                <w:sz w:val="14"/>
                <w:szCs w:val="14"/>
                <w:lang w:val="es-ES"/>
              </w:rPr>
              <w:t>Créditos</w:t>
            </w:r>
            <w:r w:rsidRPr="009A49D0">
              <w:rPr>
                <w:rFonts w:ascii="Lucida Bright" w:hAnsi="Lucida Bright" w:cs="Calibri"/>
                <w:i/>
                <w:iCs/>
                <w:sz w:val="14"/>
                <w:szCs w:val="14"/>
                <w:lang w:val="es-ES"/>
              </w:rPr>
              <w:t xml:space="preserve"> a l.p.</w:t>
            </w:r>
          </w:p>
        </w:tc>
        <w:tc>
          <w:tcPr>
            <w:tcW w:w="352"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151.570,00 </w:t>
            </w:r>
          </w:p>
        </w:tc>
        <w:tc>
          <w:tcPr>
            <w:tcW w:w="369"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401"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90"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486"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54"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271"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218"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91"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151.570,00 </w:t>
            </w:r>
          </w:p>
        </w:tc>
      </w:tr>
      <w:tr w:rsidR="009A49D0" w:rsidRPr="009A49D0" w:rsidTr="009A49D0">
        <w:trPr>
          <w:trHeight w:val="300"/>
        </w:trPr>
        <w:tc>
          <w:tcPr>
            <w:tcW w:w="143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xml:space="preserve">c) </w:t>
            </w:r>
            <w:r w:rsidR="00416638" w:rsidRPr="009A49D0">
              <w:rPr>
                <w:rFonts w:ascii="Lucida Bright" w:hAnsi="Lucida Bright" w:cs="Calibri"/>
                <w:i/>
                <w:iCs/>
                <w:sz w:val="14"/>
                <w:szCs w:val="14"/>
                <w:lang w:val="es-ES"/>
              </w:rPr>
              <w:t>Créditos</w:t>
            </w:r>
            <w:r w:rsidRPr="009A49D0">
              <w:rPr>
                <w:rFonts w:ascii="Lucida Bright" w:hAnsi="Lucida Bright" w:cs="Calibri"/>
                <w:i/>
                <w:iCs/>
                <w:sz w:val="14"/>
                <w:szCs w:val="14"/>
                <w:lang w:val="es-ES"/>
              </w:rPr>
              <w:t xml:space="preserve"> a l.p. por enajenación de inmovilizado</w:t>
            </w:r>
          </w:p>
        </w:tc>
        <w:tc>
          <w:tcPr>
            <w:tcW w:w="352"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69"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401"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90"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486"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54"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271"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218"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91"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r>
      <w:tr w:rsidR="009A49D0" w:rsidRPr="009A49D0" w:rsidTr="009A49D0">
        <w:trPr>
          <w:trHeight w:val="300"/>
        </w:trPr>
        <w:tc>
          <w:tcPr>
            <w:tcW w:w="143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d) Créditos a l.p. al personal</w:t>
            </w:r>
          </w:p>
        </w:tc>
        <w:tc>
          <w:tcPr>
            <w:tcW w:w="352"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449.907,45 </w:t>
            </w:r>
          </w:p>
        </w:tc>
        <w:tc>
          <w:tcPr>
            <w:tcW w:w="369"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474.135,21 </w:t>
            </w:r>
          </w:p>
        </w:tc>
        <w:tc>
          <w:tcPr>
            <w:tcW w:w="401"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(284.662,40) </w:t>
            </w:r>
          </w:p>
        </w:tc>
        <w:tc>
          <w:tcPr>
            <w:tcW w:w="390"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486"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54"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271"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218"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91"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639.380,26 </w:t>
            </w:r>
          </w:p>
        </w:tc>
      </w:tr>
      <w:tr w:rsidR="009A49D0" w:rsidRPr="009A49D0" w:rsidTr="009A49D0">
        <w:trPr>
          <w:trHeight w:val="300"/>
        </w:trPr>
        <w:tc>
          <w:tcPr>
            <w:tcW w:w="143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A49D0" w:rsidRPr="009A49D0" w:rsidRDefault="009A49D0" w:rsidP="009A49D0">
            <w:pPr>
              <w:rPr>
                <w:rFonts w:ascii="Lucida Bright" w:hAnsi="Lucida Bright" w:cs="Calibri"/>
                <w:sz w:val="14"/>
                <w:szCs w:val="14"/>
                <w:lang w:val="es-ES"/>
              </w:rPr>
            </w:pPr>
            <w:r w:rsidRPr="009A49D0">
              <w:rPr>
                <w:rFonts w:ascii="Lucida Bright" w:hAnsi="Lucida Bright" w:cs="Calibri"/>
                <w:sz w:val="14"/>
                <w:szCs w:val="14"/>
                <w:lang w:val="es-ES"/>
              </w:rPr>
              <w:t xml:space="preserve">  Adm. Públ., subvenciones oficiales pendientes de cobro a l.p.</w:t>
            </w:r>
          </w:p>
        </w:tc>
        <w:tc>
          <w:tcPr>
            <w:tcW w:w="352" w:type="pct"/>
            <w:tcBorders>
              <w:top w:val="single" w:sz="4" w:space="0" w:color="auto"/>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333" w:type="pct"/>
            <w:tcBorders>
              <w:top w:val="single" w:sz="4" w:space="0" w:color="auto"/>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486" w:type="pct"/>
            <w:tcBorders>
              <w:top w:val="single" w:sz="4" w:space="0" w:color="auto"/>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354" w:type="pct"/>
            <w:tcBorders>
              <w:top w:val="single" w:sz="4" w:space="0" w:color="auto"/>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271" w:type="pct"/>
            <w:tcBorders>
              <w:top w:val="single" w:sz="4" w:space="0" w:color="auto"/>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218" w:type="pct"/>
            <w:tcBorders>
              <w:top w:val="single" w:sz="4" w:space="0" w:color="auto"/>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r>
      <w:tr w:rsidR="009A49D0" w:rsidRPr="009A49D0" w:rsidTr="009A49D0">
        <w:trPr>
          <w:trHeight w:val="300"/>
        </w:trPr>
        <w:tc>
          <w:tcPr>
            <w:tcW w:w="143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A49D0" w:rsidRPr="009A49D0" w:rsidRDefault="009A49D0" w:rsidP="009A49D0">
            <w:pPr>
              <w:rPr>
                <w:rFonts w:ascii="Lucida Bright" w:hAnsi="Lucida Bright" w:cs="Calibri"/>
                <w:sz w:val="14"/>
                <w:szCs w:val="14"/>
                <w:lang w:val="es-ES"/>
              </w:rPr>
            </w:pPr>
            <w:r w:rsidRPr="009A49D0">
              <w:rPr>
                <w:rFonts w:ascii="Lucida Bright" w:hAnsi="Lucida Bright" w:cs="Calibri"/>
                <w:sz w:val="14"/>
                <w:szCs w:val="14"/>
                <w:lang w:val="es-ES"/>
              </w:rPr>
              <w:t xml:space="preserve">  Otros activos financieros</w:t>
            </w:r>
          </w:p>
        </w:tc>
        <w:tc>
          <w:tcPr>
            <w:tcW w:w="352"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1.244.438,00 </w:t>
            </w:r>
          </w:p>
        </w:tc>
        <w:tc>
          <w:tcPr>
            <w:tcW w:w="369"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1.387.723,76 </w:t>
            </w:r>
          </w:p>
        </w:tc>
        <w:tc>
          <w:tcPr>
            <w:tcW w:w="401"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(2.632.161,76) </w:t>
            </w:r>
          </w:p>
        </w:tc>
        <w:tc>
          <w:tcPr>
            <w:tcW w:w="333"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390"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486"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354"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271"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218"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sz w:val="14"/>
                <w:szCs w:val="14"/>
                <w:lang w:val="es-ES"/>
              </w:rPr>
            </w:pPr>
            <w:r w:rsidRPr="009A49D0">
              <w:rPr>
                <w:rFonts w:ascii="Lucida Bright" w:hAnsi="Lucida Bright" w:cs="Calibri"/>
                <w:sz w:val="14"/>
                <w:szCs w:val="14"/>
                <w:lang w:val="es-ES"/>
              </w:rPr>
              <w:t xml:space="preserve">- </w:t>
            </w:r>
          </w:p>
        </w:tc>
        <w:tc>
          <w:tcPr>
            <w:tcW w:w="391"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r>
      <w:tr w:rsidR="009A49D0" w:rsidRPr="009A49D0" w:rsidTr="009A49D0">
        <w:trPr>
          <w:trHeight w:val="300"/>
        </w:trPr>
        <w:tc>
          <w:tcPr>
            <w:tcW w:w="143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a) Activos por derivados financieros a l.p.</w:t>
            </w:r>
          </w:p>
        </w:tc>
        <w:tc>
          <w:tcPr>
            <w:tcW w:w="352"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69"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401"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90"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486"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54"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271"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218"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91"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r>
      <w:tr w:rsidR="009A49D0" w:rsidRPr="009A49D0" w:rsidTr="009A49D0">
        <w:trPr>
          <w:trHeight w:val="300"/>
        </w:trPr>
        <w:tc>
          <w:tcPr>
            <w:tcW w:w="143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b) Imposiciones a l.p.</w:t>
            </w:r>
          </w:p>
        </w:tc>
        <w:tc>
          <w:tcPr>
            <w:tcW w:w="352"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69"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401"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90"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486"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54"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271"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218" w:type="pct"/>
            <w:tcBorders>
              <w:top w:val="nil"/>
              <w:left w:val="nil"/>
              <w:bottom w:val="single" w:sz="4" w:space="0" w:color="auto"/>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91"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r>
      <w:tr w:rsidR="009A49D0" w:rsidRPr="009A49D0" w:rsidTr="009A49D0">
        <w:trPr>
          <w:trHeight w:val="300"/>
        </w:trPr>
        <w:tc>
          <w:tcPr>
            <w:tcW w:w="143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c) Fianzas y depósitos constituidos a l.p.</w:t>
            </w:r>
          </w:p>
        </w:tc>
        <w:tc>
          <w:tcPr>
            <w:tcW w:w="352" w:type="pct"/>
            <w:tcBorders>
              <w:top w:val="nil"/>
              <w:left w:val="nil"/>
              <w:bottom w:val="nil"/>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1.244.438,00 </w:t>
            </w:r>
          </w:p>
        </w:tc>
        <w:tc>
          <w:tcPr>
            <w:tcW w:w="369" w:type="pct"/>
            <w:tcBorders>
              <w:top w:val="nil"/>
              <w:left w:val="nil"/>
              <w:bottom w:val="nil"/>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1.387.723,76 </w:t>
            </w:r>
          </w:p>
        </w:tc>
        <w:tc>
          <w:tcPr>
            <w:tcW w:w="401" w:type="pct"/>
            <w:tcBorders>
              <w:top w:val="nil"/>
              <w:left w:val="nil"/>
              <w:bottom w:val="nil"/>
              <w:right w:val="single" w:sz="4" w:space="0" w:color="auto"/>
            </w:tcBorders>
            <w:shd w:val="clear" w:color="000000" w:fill="FFFFFF"/>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(2.632.161,76) </w:t>
            </w:r>
          </w:p>
        </w:tc>
        <w:tc>
          <w:tcPr>
            <w:tcW w:w="333" w:type="pct"/>
            <w:tcBorders>
              <w:top w:val="nil"/>
              <w:left w:val="nil"/>
              <w:bottom w:val="nil"/>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90" w:type="pct"/>
            <w:tcBorders>
              <w:top w:val="nil"/>
              <w:left w:val="nil"/>
              <w:bottom w:val="nil"/>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486" w:type="pct"/>
            <w:tcBorders>
              <w:top w:val="nil"/>
              <w:left w:val="nil"/>
              <w:bottom w:val="nil"/>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54" w:type="pct"/>
            <w:tcBorders>
              <w:top w:val="nil"/>
              <w:left w:val="nil"/>
              <w:bottom w:val="nil"/>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271" w:type="pct"/>
            <w:tcBorders>
              <w:top w:val="nil"/>
              <w:left w:val="nil"/>
              <w:bottom w:val="nil"/>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218" w:type="pct"/>
            <w:tcBorders>
              <w:top w:val="nil"/>
              <w:left w:val="nil"/>
              <w:bottom w:val="nil"/>
              <w:right w:val="single" w:sz="4" w:space="0" w:color="auto"/>
            </w:tcBorders>
            <w:shd w:val="clear" w:color="000000" w:fill="FFFFFF"/>
            <w:noWrap/>
            <w:vAlign w:val="center"/>
            <w:hideMark/>
          </w:tcPr>
          <w:p w:rsidR="009A49D0" w:rsidRPr="009A49D0" w:rsidRDefault="009A49D0" w:rsidP="009A49D0">
            <w:pPr>
              <w:rPr>
                <w:rFonts w:ascii="Lucida Bright" w:hAnsi="Lucida Bright" w:cs="Calibri"/>
                <w:i/>
                <w:iCs/>
                <w:sz w:val="14"/>
                <w:szCs w:val="14"/>
                <w:lang w:val="es-ES"/>
              </w:rPr>
            </w:pPr>
            <w:r w:rsidRPr="009A49D0">
              <w:rPr>
                <w:rFonts w:ascii="Lucida Bright" w:hAnsi="Lucida Bright" w:cs="Calibri"/>
                <w:i/>
                <w:iCs/>
                <w:sz w:val="14"/>
                <w:szCs w:val="14"/>
                <w:lang w:val="es-ES"/>
              </w:rPr>
              <w:t> </w:t>
            </w:r>
          </w:p>
        </w:tc>
        <w:tc>
          <w:tcPr>
            <w:tcW w:w="391"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i/>
                <w:iCs/>
                <w:sz w:val="14"/>
                <w:szCs w:val="14"/>
                <w:lang w:val="es-ES"/>
              </w:rPr>
            </w:pPr>
            <w:r w:rsidRPr="009A49D0">
              <w:rPr>
                <w:rFonts w:ascii="Lucida Bright" w:hAnsi="Lucida Bright" w:cs="Calibri"/>
                <w:i/>
                <w:iCs/>
                <w:sz w:val="14"/>
                <w:szCs w:val="14"/>
                <w:lang w:val="es-ES"/>
              </w:rPr>
              <w:t xml:space="preserve">- </w:t>
            </w:r>
          </w:p>
        </w:tc>
      </w:tr>
      <w:tr w:rsidR="009A49D0" w:rsidRPr="009A49D0" w:rsidTr="009A49D0">
        <w:trPr>
          <w:trHeight w:val="300"/>
        </w:trPr>
        <w:tc>
          <w:tcPr>
            <w:tcW w:w="1316" w:type="pct"/>
            <w:tcBorders>
              <w:top w:val="nil"/>
              <w:left w:val="single" w:sz="4" w:space="0" w:color="auto"/>
              <w:bottom w:val="single" w:sz="4" w:space="0" w:color="auto"/>
              <w:right w:val="nil"/>
            </w:tcBorders>
            <w:shd w:val="clear" w:color="000000" w:fill="FFFFFF"/>
            <w:noWrap/>
            <w:vAlign w:val="center"/>
            <w:hideMark/>
          </w:tcPr>
          <w:p w:rsidR="009A49D0" w:rsidRPr="009A49D0" w:rsidRDefault="009A49D0" w:rsidP="009A49D0">
            <w:pPr>
              <w:jc w:val="center"/>
              <w:rPr>
                <w:rFonts w:ascii="Lucida Bright" w:hAnsi="Lucida Bright" w:cs="Calibri"/>
                <w:b/>
                <w:bCs/>
                <w:sz w:val="14"/>
                <w:szCs w:val="14"/>
                <w:lang w:val="es-ES"/>
              </w:rPr>
            </w:pPr>
            <w:r w:rsidRPr="009A49D0">
              <w:rPr>
                <w:rFonts w:ascii="Lucida Bright" w:hAnsi="Lucida Bright" w:cs="Calibri"/>
                <w:b/>
                <w:bCs/>
                <w:sz w:val="14"/>
                <w:szCs w:val="14"/>
                <w:lang w:val="es-ES"/>
              </w:rPr>
              <w:t>TOTAL</w:t>
            </w:r>
          </w:p>
        </w:tc>
        <w:tc>
          <w:tcPr>
            <w:tcW w:w="119" w:type="pct"/>
            <w:tcBorders>
              <w:top w:val="nil"/>
              <w:left w:val="nil"/>
              <w:bottom w:val="single" w:sz="4" w:space="0" w:color="auto"/>
              <w:right w:val="single" w:sz="4" w:space="0" w:color="auto"/>
            </w:tcBorders>
            <w:shd w:val="clear" w:color="auto" w:fill="auto"/>
            <w:noWrap/>
            <w:vAlign w:val="center"/>
            <w:hideMark/>
          </w:tcPr>
          <w:p w:rsidR="009A49D0" w:rsidRPr="009A49D0" w:rsidRDefault="009A49D0" w:rsidP="009A49D0">
            <w:pPr>
              <w:rPr>
                <w:rFonts w:ascii="Lucida Bright" w:hAnsi="Lucida Bright" w:cs="Calibri"/>
                <w:b/>
                <w:bCs/>
                <w:sz w:val="14"/>
                <w:szCs w:val="14"/>
                <w:lang w:val="es-ES"/>
              </w:rPr>
            </w:pPr>
            <w:r w:rsidRPr="009A49D0">
              <w:rPr>
                <w:rFonts w:ascii="Lucida Bright" w:hAnsi="Lucida Bright" w:cs="Calibri"/>
                <w:b/>
                <w:bCs/>
                <w:sz w:val="14"/>
                <w:szCs w:val="14"/>
                <w:lang w:val="es-ES"/>
              </w:rPr>
              <w:t> </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b/>
                <w:bCs/>
                <w:sz w:val="14"/>
                <w:szCs w:val="14"/>
                <w:lang w:val="es-ES"/>
              </w:rPr>
            </w:pPr>
            <w:r w:rsidRPr="009A49D0">
              <w:rPr>
                <w:rFonts w:ascii="Lucida Bright" w:hAnsi="Lucida Bright" w:cs="Calibri"/>
                <w:b/>
                <w:bCs/>
                <w:sz w:val="14"/>
                <w:szCs w:val="14"/>
                <w:lang w:val="es-ES"/>
              </w:rPr>
              <w:t xml:space="preserve">1.845.915,45 </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b/>
                <w:bCs/>
                <w:sz w:val="14"/>
                <w:szCs w:val="14"/>
                <w:lang w:val="es-ES"/>
              </w:rPr>
            </w:pPr>
            <w:r w:rsidRPr="009A49D0">
              <w:rPr>
                <w:rFonts w:ascii="Lucida Bright" w:hAnsi="Lucida Bright" w:cs="Calibri"/>
                <w:b/>
                <w:bCs/>
                <w:sz w:val="14"/>
                <w:szCs w:val="14"/>
                <w:lang w:val="es-ES"/>
              </w:rPr>
              <w:t xml:space="preserve">1.861.858,97 </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b/>
                <w:bCs/>
                <w:sz w:val="14"/>
                <w:szCs w:val="14"/>
                <w:lang w:val="es-ES"/>
              </w:rPr>
            </w:pPr>
            <w:r w:rsidRPr="009A49D0">
              <w:rPr>
                <w:rFonts w:ascii="Lucida Bright" w:hAnsi="Lucida Bright" w:cs="Calibri"/>
                <w:b/>
                <w:bCs/>
                <w:sz w:val="14"/>
                <w:szCs w:val="14"/>
                <w:lang w:val="es-ES"/>
              </w:rPr>
              <w:t xml:space="preserve">(2.632.161,76) </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b/>
                <w:bCs/>
                <w:sz w:val="14"/>
                <w:szCs w:val="14"/>
                <w:lang w:val="es-ES"/>
              </w:rPr>
            </w:pPr>
            <w:r w:rsidRPr="009A49D0">
              <w:rPr>
                <w:rFonts w:ascii="Lucida Bright" w:hAnsi="Lucida Bright" w:cs="Calibri"/>
                <w:b/>
                <w:bCs/>
                <w:sz w:val="14"/>
                <w:szCs w:val="14"/>
                <w:lang w:val="es-ES"/>
              </w:rPr>
              <w:t xml:space="preserve">(284.662,40) </w:t>
            </w: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b/>
                <w:bCs/>
                <w:sz w:val="14"/>
                <w:szCs w:val="14"/>
                <w:lang w:val="es-ES"/>
              </w:rPr>
            </w:pPr>
            <w:r w:rsidRPr="009A49D0">
              <w:rPr>
                <w:rFonts w:ascii="Lucida Bright" w:hAnsi="Lucida Bright" w:cs="Calibri"/>
                <w:b/>
                <w:bCs/>
                <w:sz w:val="14"/>
                <w:szCs w:val="14"/>
                <w:lang w:val="es-ES"/>
              </w:rPr>
              <w:t xml:space="preserve">- </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b/>
                <w:bCs/>
                <w:sz w:val="14"/>
                <w:szCs w:val="14"/>
                <w:lang w:val="es-ES"/>
              </w:rPr>
            </w:pPr>
            <w:r w:rsidRPr="009A49D0">
              <w:rPr>
                <w:rFonts w:ascii="Lucida Bright" w:hAnsi="Lucida Bright" w:cs="Calibri"/>
                <w:b/>
                <w:bCs/>
                <w:sz w:val="14"/>
                <w:szCs w:val="14"/>
                <w:lang w:val="es-ES"/>
              </w:rPr>
              <w:t xml:space="preserve">- </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b/>
                <w:bCs/>
                <w:sz w:val="14"/>
                <w:szCs w:val="14"/>
                <w:lang w:val="es-ES"/>
              </w:rPr>
            </w:pPr>
            <w:r w:rsidRPr="009A49D0">
              <w:rPr>
                <w:rFonts w:ascii="Lucida Bright" w:hAnsi="Lucida Bright" w:cs="Calibri"/>
                <w:b/>
                <w:bCs/>
                <w:sz w:val="14"/>
                <w:szCs w:val="14"/>
                <w:lang w:val="es-ES"/>
              </w:rPr>
              <w:t xml:space="preserve">-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b/>
                <w:bCs/>
                <w:sz w:val="14"/>
                <w:szCs w:val="14"/>
                <w:lang w:val="es-ES"/>
              </w:rPr>
            </w:pPr>
            <w:r w:rsidRPr="009A49D0">
              <w:rPr>
                <w:rFonts w:ascii="Lucida Bright" w:hAnsi="Lucida Bright" w:cs="Calibri"/>
                <w:b/>
                <w:bCs/>
                <w:sz w:val="14"/>
                <w:szCs w:val="14"/>
                <w:lang w:val="es-ES"/>
              </w:rPr>
              <w:t xml:space="preserve">- </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b/>
                <w:bCs/>
                <w:sz w:val="14"/>
                <w:szCs w:val="14"/>
                <w:lang w:val="es-ES"/>
              </w:rPr>
            </w:pPr>
            <w:r w:rsidRPr="009A49D0">
              <w:rPr>
                <w:rFonts w:ascii="Lucida Bright" w:hAnsi="Lucida Bright" w:cs="Calibri"/>
                <w:b/>
                <w:bCs/>
                <w:sz w:val="14"/>
                <w:szCs w:val="14"/>
                <w:lang w:val="es-ES"/>
              </w:rPr>
              <w:t xml:space="preserve">- </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9A49D0" w:rsidRPr="009A49D0" w:rsidRDefault="009A49D0" w:rsidP="009A49D0">
            <w:pPr>
              <w:jc w:val="right"/>
              <w:rPr>
                <w:rFonts w:ascii="Lucida Bright" w:hAnsi="Lucida Bright" w:cs="Calibri"/>
                <w:b/>
                <w:bCs/>
                <w:sz w:val="14"/>
                <w:szCs w:val="14"/>
                <w:lang w:val="es-ES"/>
              </w:rPr>
            </w:pPr>
            <w:r w:rsidRPr="009A49D0">
              <w:rPr>
                <w:rFonts w:ascii="Lucida Bright" w:hAnsi="Lucida Bright" w:cs="Calibri"/>
                <w:b/>
                <w:bCs/>
                <w:sz w:val="14"/>
                <w:szCs w:val="14"/>
                <w:lang w:val="es-ES"/>
              </w:rPr>
              <w:t xml:space="preserve">790.950,26 </w:t>
            </w:r>
          </w:p>
        </w:tc>
      </w:tr>
    </w:tbl>
    <w:p w:rsidR="00077612" w:rsidRDefault="00077612" w:rsidP="009A49D0">
      <w:pPr>
        <w:tabs>
          <w:tab w:val="right" w:pos="8364"/>
        </w:tabs>
        <w:ind w:firstLine="425"/>
        <w:jc w:val="both"/>
        <w:rPr>
          <w:rFonts w:ascii="NewBaskerville" w:hAnsi="NewBaskerville"/>
        </w:rPr>
        <w:sectPr w:rsidR="00077612" w:rsidSect="00D42116">
          <w:pgSz w:w="16840" w:h="11907" w:orient="landscape" w:code="9"/>
          <w:pgMar w:top="1276" w:right="1701" w:bottom="1418" w:left="1701" w:header="567" w:footer="720" w:gutter="0"/>
          <w:cols w:space="720"/>
          <w:docGrid w:linePitch="272"/>
        </w:sectPr>
      </w:pPr>
    </w:p>
    <w:p w:rsidR="00077612" w:rsidRDefault="00077612">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tbl>
      <w:tblPr>
        <w:tblW w:w="12440" w:type="dxa"/>
        <w:tblInd w:w="65" w:type="dxa"/>
        <w:tblCellMar>
          <w:left w:w="70" w:type="dxa"/>
          <w:right w:w="70" w:type="dxa"/>
        </w:tblCellMar>
        <w:tblLook w:val="04A0" w:firstRow="1" w:lastRow="0" w:firstColumn="1" w:lastColumn="0" w:noHBand="0" w:noVBand="1"/>
      </w:tblPr>
      <w:tblGrid>
        <w:gridCol w:w="3801"/>
        <w:gridCol w:w="184"/>
        <w:gridCol w:w="1020"/>
        <w:gridCol w:w="1316"/>
        <w:gridCol w:w="1200"/>
        <w:gridCol w:w="1100"/>
        <w:gridCol w:w="1020"/>
        <w:gridCol w:w="1020"/>
        <w:gridCol w:w="1024"/>
        <w:gridCol w:w="1020"/>
      </w:tblGrid>
      <w:tr w:rsidR="00E554B8" w:rsidRPr="00E554B8" w:rsidTr="00E554B8">
        <w:trPr>
          <w:trHeight w:val="1440"/>
        </w:trPr>
        <w:tc>
          <w:tcPr>
            <w:tcW w:w="3854" w:type="dxa"/>
            <w:gridSpan w:val="2"/>
            <w:tcBorders>
              <w:top w:val="single" w:sz="4" w:space="0" w:color="auto"/>
              <w:left w:val="single" w:sz="4" w:space="0" w:color="auto"/>
              <w:bottom w:val="single" w:sz="4" w:space="0" w:color="auto"/>
              <w:right w:val="single" w:sz="4" w:space="0" w:color="000000"/>
            </w:tcBorders>
            <w:shd w:val="clear" w:color="000000" w:fill="CCFFCC"/>
            <w:vAlign w:val="center"/>
            <w:hideMark/>
          </w:tcPr>
          <w:p w:rsidR="00E554B8" w:rsidRPr="00E554B8" w:rsidRDefault="00E554B8" w:rsidP="00E554B8">
            <w:pPr>
              <w:jc w:val="center"/>
              <w:rPr>
                <w:rFonts w:ascii="Lucida Bright" w:hAnsi="Lucida Bright" w:cs="Calibri"/>
                <w:b/>
                <w:bCs/>
                <w:sz w:val="14"/>
                <w:szCs w:val="14"/>
                <w:lang w:val="es-ES"/>
              </w:rPr>
            </w:pPr>
            <w:r w:rsidRPr="00E554B8">
              <w:rPr>
                <w:rFonts w:ascii="Lucida Bright" w:hAnsi="Lucida Bright" w:cs="Calibri"/>
                <w:b/>
                <w:bCs/>
                <w:sz w:val="14"/>
                <w:szCs w:val="14"/>
                <w:lang w:val="es-ES"/>
              </w:rPr>
              <w:t>DETERIORO DE VALOR DE INVERSIONES FINANCIERAS A LARGO PLAZO</w:t>
            </w:r>
          </w:p>
        </w:tc>
        <w:tc>
          <w:tcPr>
            <w:tcW w:w="1020" w:type="dxa"/>
            <w:tcBorders>
              <w:top w:val="single" w:sz="4" w:space="0" w:color="auto"/>
              <w:left w:val="nil"/>
              <w:bottom w:val="nil"/>
              <w:right w:val="single" w:sz="4" w:space="0" w:color="auto"/>
            </w:tcBorders>
            <w:shd w:val="clear" w:color="000000" w:fill="CCFFCC"/>
            <w:vAlign w:val="center"/>
            <w:hideMark/>
          </w:tcPr>
          <w:p w:rsidR="00E554B8" w:rsidRPr="00E554B8" w:rsidRDefault="00E554B8" w:rsidP="00E554B8">
            <w:pPr>
              <w:jc w:val="center"/>
              <w:rPr>
                <w:rFonts w:ascii="Lucida Bright" w:hAnsi="Lucida Bright" w:cs="Calibri"/>
                <w:sz w:val="14"/>
                <w:szCs w:val="14"/>
                <w:lang w:val="es-ES"/>
              </w:rPr>
            </w:pPr>
            <w:r w:rsidRPr="00E554B8">
              <w:rPr>
                <w:rFonts w:ascii="Lucida Bright" w:hAnsi="Lucida Bright" w:cs="Calibri"/>
                <w:sz w:val="14"/>
                <w:szCs w:val="14"/>
                <w:lang w:val="es-ES"/>
              </w:rPr>
              <w:t>Saldo a</w:t>
            </w:r>
            <w:r w:rsidRPr="00E554B8">
              <w:rPr>
                <w:rFonts w:ascii="Lucida Bright" w:hAnsi="Lucida Bright" w:cs="Calibri"/>
                <w:sz w:val="14"/>
                <w:szCs w:val="14"/>
                <w:lang w:val="es-ES"/>
              </w:rPr>
              <w:br/>
              <w:t>31-12-23</w:t>
            </w:r>
          </w:p>
        </w:tc>
        <w:tc>
          <w:tcPr>
            <w:tcW w:w="1186" w:type="dxa"/>
            <w:tcBorders>
              <w:top w:val="single" w:sz="4" w:space="0" w:color="auto"/>
              <w:left w:val="nil"/>
              <w:bottom w:val="nil"/>
              <w:right w:val="nil"/>
            </w:tcBorders>
            <w:shd w:val="clear" w:color="000000" w:fill="CCFFCC"/>
            <w:vAlign w:val="center"/>
            <w:hideMark/>
          </w:tcPr>
          <w:p w:rsidR="00E554B8" w:rsidRPr="00E554B8" w:rsidRDefault="00E554B8" w:rsidP="00E554B8">
            <w:pPr>
              <w:jc w:val="center"/>
              <w:rPr>
                <w:rFonts w:ascii="Lucida Bright" w:hAnsi="Lucida Bright" w:cs="Calibri"/>
                <w:sz w:val="14"/>
                <w:szCs w:val="14"/>
                <w:lang w:val="es-ES"/>
              </w:rPr>
            </w:pPr>
            <w:r w:rsidRPr="00E554B8">
              <w:rPr>
                <w:rFonts w:ascii="Lucida Bright" w:hAnsi="Lucida Bright" w:cs="Calibri"/>
                <w:sz w:val="14"/>
                <w:szCs w:val="14"/>
                <w:lang w:val="es-ES"/>
              </w:rPr>
              <w:t>Dotaciones/Altas (+)</w:t>
            </w:r>
          </w:p>
        </w:tc>
        <w:tc>
          <w:tcPr>
            <w:tcW w:w="1200" w:type="dxa"/>
            <w:tcBorders>
              <w:top w:val="single" w:sz="4" w:space="0" w:color="auto"/>
              <w:left w:val="single" w:sz="4" w:space="0" w:color="auto"/>
              <w:bottom w:val="nil"/>
              <w:right w:val="single" w:sz="4" w:space="0" w:color="auto"/>
            </w:tcBorders>
            <w:shd w:val="clear" w:color="000000" w:fill="CCFFCC"/>
            <w:vAlign w:val="center"/>
            <w:hideMark/>
          </w:tcPr>
          <w:p w:rsidR="00E554B8" w:rsidRPr="00E554B8" w:rsidRDefault="00E554B8" w:rsidP="00E554B8">
            <w:pPr>
              <w:jc w:val="center"/>
              <w:rPr>
                <w:rFonts w:ascii="Lucida Bright" w:hAnsi="Lucida Bright" w:cs="Calibri"/>
                <w:sz w:val="14"/>
                <w:szCs w:val="14"/>
                <w:lang w:val="es-ES"/>
              </w:rPr>
            </w:pPr>
            <w:r w:rsidRPr="00E554B8">
              <w:rPr>
                <w:rFonts w:ascii="Lucida Bright" w:hAnsi="Lucida Bright" w:cs="Calibri"/>
                <w:sz w:val="14"/>
                <w:szCs w:val="14"/>
                <w:lang w:val="es-ES"/>
              </w:rPr>
              <w:t>Reversiones deterioros (-)</w:t>
            </w:r>
          </w:p>
        </w:tc>
        <w:tc>
          <w:tcPr>
            <w:tcW w:w="1100" w:type="dxa"/>
            <w:tcBorders>
              <w:top w:val="single" w:sz="4" w:space="0" w:color="auto"/>
              <w:left w:val="nil"/>
              <w:bottom w:val="nil"/>
              <w:right w:val="single" w:sz="4" w:space="0" w:color="auto"/>
            </w:tcBorders>
            <w:shd w:val="clear" w:color="000000" w:fill="CCFFCC"/>
            <w:vAlign w:val="center"/>
            <w:hideMark/>
          </w:tcPr>
          <w:p w:rsidR="00E554B8" w:rsidRPr="00E554B8" w:rsidRDefault="00E554B8" w:rsidP="00E554B8">
            <w:pPr>
              <w:jc w:val="center"/>
              <w:rPr>
                <w:rFonts w:ascii="Lucida Bright" w:hAnsi="Lucida Bright" w:cs="Calibri"/>
                <w:sz w:val="14"/>
                <w:szCs w:val="14"/>
                <w:lang w:val="es-ES"/>
              </w:rPr>
            </w:pPr>
            <w:r w:rsidRPr="00E554B8">
              <w:rPr>
                <w:rFonts w:ascii="Lucida Bright" w:hAnsi="Lucida Bright" w:cs="Calibri"/>
                <w:sz w:val="14"/>
                <w:szCs w:val="14"/>
                <w:lang w:val="es-ES"/>
              </w:rPr>
              <w:t>Aplicaciones (-)</w:t>
            </w:r>
          </w:p>
        </w:tc>
        <w:tc>
          <w:tcPr>
            <w:tcW w:w="1020" w:type="dxa"/>
            <w:tcBorders>
              <w:top w:val="single" w:sz="4" w:space="0" w:color="auto"/>
              <w:left w:val="nil"/>
              <w:bottom w:val="nil"/>
              <w:right w:val="single" w:sz="4" w:space="0" w:color="auto"/>
            </w:tcBorders>
            <w:shd w:val="clear" w:color="000000" w:fill="CCFFCC"/>
            <w:vAlign w:val="center"/>
            <w:hideMark/>
          </w:tcPr>
          <w:p w:rsidR="00E554B8" w:rsidRPr="00E554B8" w:rsidRDefault="00E554B8" w:rsidP="00E554B8">
            <w:pPr>
              <w:jc w:val="center"/>
              <w:rPr>
                <w:rFonts w:ascii="Lucida Bright" w:hAnsi="Lucida Bright" w:cs="Calibri"/>
                <w:sz w:val="14"/>
                <w:szCs w:val="14"/>
                <w:lang w:val="es-ES"/>
              </w:rPr>
            </w:pPr>
            <w:r w:rsidRPr="00E554B8">
              <w:rPr>
                <w:rFonts w:ascii="Lucida Bright" w:hAnsi="Lucida Bright" w:cs="Calibri"/>
                <w:sz w:val="14"/>
                <w:szCs w:val="14"/>
                <w:lang w:val="es-ES"/>
              </w:rPr>
              <w:t>Cancelación anticipada (-)</w:t>
            </w:r>
          </w:p>
        </w:tc>
        <w:tc>
          <w:tcPr>
            <w:tcW w:w="1020" w:type="dxa"/>
            <w:tcBorders>
              <w:top w:val="single" w:sz="4" w:space="0" w:color="auto"/>
              <w:left w:val="nil"/>
              <w:bottom w:val="nil"/>
              <w:right w:val="nil"/>
            </w:tcBorders>
            <w:shd w:val="clear" w:color="000000" w:fill="CCFFCC"/>
            <w:vAlign w:val="center"/>
            <w:hideMark/>
          </w:tcPr>
          <w:p w:rsidR="00E554B8" w:rsidRPr="00E554B8" w:rsidRDefault="00E554B8" w:rsidP="00E554B8">
            <w:pPr>
              <w:jc w:val="center"/>
              <w:rPr>
                <w:rFonts w:ascii="Lucida Bright" w:hAnsi="Lucida Bright" w:cs="Calibri"/>
                <w:sz w:val="14"/>
                <w:szCs w:val="14"/>
                <w:lang w:val="es-ES"/>
              </w:rPr>
            </w:pPr>
            <w:r w:rsidRPr="00E554B8">
              <w:rPr>
                <w:rFonts w:ascii="Lucida Bright" w:hAnsi="Lucida Bright" w:cs="Calibri"/>
                <w:sz w:val="14"/>
                <w:szCs w:val="14"/>
                <w:lang w:val="es-ES"/>
              </w:rPr>
              <w:t>Traspasos a corto plazo (-)</w:t>
            </w:r>
          </w:p>
        </w:tc>
        <w:tc>
          <w:tcPr>
            <w:tcW w:w="1020" w:type="dxa"/>
            <w:tcBorders>
              <w:top w:val="single" w:sz="4" w:space="0" w:color="auto"/>
              <w:left w:val="single" w:sz="4" w:space="0" w:color="auto"/>
              <w:bottom w:val="nil"/>
              <w:right w:val="single" w:sz="4" w:space="0" w:color="auto"/>
            </w:tcBorders>
            <w:shd w:val="clear" w:color="000000" w:fill="CCFFCC"/>
            <w:vAlign w:val="center"/>
            <w:hideMark/>
          </w:tcPr>
          <w:p w:rsidR="00E554B8" w:rsidRPr="00E554B8" w:rsidRDefault="00E554B8" w:rsidP="00E554B8">
            <w:pPr>
              <w:jc w:val="center"/>
              <w:rPr>
                <w:rFonts w:ascii="Lucida Bright" w:hAnsi="Lucida Bright" w:cs="Calibri"/>
                <w:sz w:val="14"/>
                <w:szCs w:val="14"/>
                <w:lang w:val="es-ES"/>
              </w:rPr>
            </w:pPr>
            <w:r w:rsidRPr="00E554B8">
              <w:rPr>
                <w:rFonts w:ascii="Lucida Bright" w:hAnsi="Lucida Bright" w:cs="Calibri"/>
                <w:sz w:val="14"/>
                <w:szCs w:val="14"/>
                <w:lang w:val="es-ES"/>
              </w:rPr>
              <w:t>Otros movimientos (+/-)</w:t>
            </w:r>
          </w:p>
        </w:tc>
        <w:tc>
          <w:tcPr>
            <w:tcW w:w="1020" w:type="dxa"/>
            <w:tcBorders>
              <w:top w:val="single" w:sz="4" w:space="0" w:color="auto"/>
              <w:left w:val="nil"/>
              <w:bottom w:val="nil"/>
              <w:right w:val="single" w:sz="4" w:space="0" w:color="auto"/>
            </w:tcBorders>
            <w:shd w:val="clear" w:color="000000" w:fill="CCFFCC"/>
            <w:vAlign w:val="center"/>
            <w:hideMark/>
          </w:tcPr>
          <w:p w:rsidR="00E554B8" w:rsidRPr="00E554B8" w:rsidRDefault="00E554B8" w:rsidP="00E554B8">
            <w:pPr>
              <w:jc w:val="center"/>
              <w:rPr>
                <w:rFonts w:ascii="Lucida Bright" w:hAnsi="Lucida Bright" w:cs="Calibri"/>
                <w:sz w:val="14"/>
                <w:szCs w:val="14"/>
                <w:lang w:val="es-ES"/>
              </w:rPr>
            </w:pPr>
            <w:r w:rsidRPr="00E554B8">
              <w:rPr>
                <w:rFonts w:ascii="Lucida Bright" w:hAnsi="Lucida Bright" w:cs="Calibri"/>
                <w:sz w:val="14"/>
                <w:szCs w:val="14"/>
                <w:lang w:val="es-ES"/>
              </w:rPr>
              <w:t>Saldo a</w:t>
            </w:r>
            <w:r w:rsidRPr="00E554B8">
              <w:rPr>
                <w:rFonts w:ascii="Lucida Bright" w:hAnsi="Lucida Bright" w:cs="Calibri"/>
                <w:sz w:val="14"/>
                <w:szCs w:val="14"/>
                <w:lang w:val="es-ES"/>
              </w:rPr>
              <w:br/>
              <w:t>31-12-24</w:t>
            </w:r>
          </w:p>
        </w:tc>
      </w:tr>
      <w:tr w:rsidR="00E554B8" w:rsidRPr="00E554B8" w:rsidTr="00E554B8">
        <w:trPr>
          <w:trHeight w:val="300"/>
        </w:trPr>
        <w:tc>
          <w:tcPr>
            <w:tcW w:w="38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554B8" w:rsidRPr="00E554B8" w:rsidRDefault="00E554B8" w:rsidP="00E554B8">
            <w:pPr>
              <w:rPr>
                <w:rFonts w:ascii="Lucida Bright" w:hAnsi="Lucida Bright" w:cs="Calibri"/>
                <w:sz w:val="14"/>
                <w:szCs w:val="14"/>
                <w:lang w:val="es-ES"/>
              </w:rPr>
            </w:pPr>
            <w:r w:rsidRPr="00E554B8">
              <w:rPr>
                <w:rFonts w:ascii="Lucida Bright" w:hAnsi="Lucida Bright" w:cs="Calibri"/>
                <w:sz w:val="14"/>
                <w:szCs w:val="14"/>
                <w:lang w:val="es-ES"/>
              </w:rPr>
              <w:t xml:space="preserve">  Instrumentos de patrimonio</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sz w:val="14"/>
                <w:szCs w:val="14"/>
                <w:lang w:val="es-ES"/>
              </w:rPr>
            </w:pPr>
            <w:r w:rsidRPr="00E554B8">
              <w:rPr>
                <w:rFonts w:ascii="Lucida Bright" w:hAnsi="Lucida Bright" w:cs="Calibri"/>
                <w:sz w:val="14"/>
                <w:szCs w:val="14"/>
                <w:lang w:val="es-ES"/>
              </w:rPr>
              <w:t> </w:t>
            </w:r>
          </w:p>
        </w:tc>
        <w:tc>
          <w:tcPr>
            <w:tcW w:w="1186" w:type="dxa"/>
            <w:tcBorders>
              <w:top w:val="single" w:sz="4" w:space="0" w:color="auto"/>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sz w:val="14"/>
                <w:szCs w:val="14"/>
                <w:lang w:val="es-ES"/>
              </w:rPr>
            </w:pPr>
            <w:r w:rsidRPr="00E554B8">
              <w:rPr>
                <w:rFonts w:ascii="Lucida Bright" w:hAnsi="Lucida Bright" w:cs="Calibri"/>
                <w:sz w:val="14"/>
                <w:szCs w:val="14"/>
                <w:lang w:val="es-ES"/>
              </w:rPr>
              <w:t> </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sz w:val="14"/>
                <w:szCs w:val="14"/>
                <w:lang w:val="es-ES"/>
              </w:rPr>
            </w:pPr>
            <w:r w:rsidRPr="00E554B8">
              <w:rPr>
                <w:rFonts w:ascii="Lucida Bright" w:hAnsi="Lucida Bright" w:cs="Calibri"/>
                <w:sz w:val="14"/>
                <w:szCs w:val="14"/>
                <w:lang w:val="es-ES"/>
              </w:rPr>
              <w:t>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sz w:val="14"/>
                <w:szCs w:val="14"/>
                <w:lang w:val="es-ES"/>
              </w:rPr>
            </w:pPr>
            <w:r w:rsidRPr="00E554B8">
              <w:rPr>
                <w:rFonts w:ascii="Lucida Bright" w:hAnsi="Lucida Bright" w:cs="Calibri"/>
                <w:sz w:val="14"/>
                <w:szCs w:val="14"/>
                <w:lang w:val="es-ES"/>
              </w:rPr>
              <w:t>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sz w:val="14"/>
                <w:szCs w:val="14"/>
                <w:lang w:val="es-ES"/>
              </w:rPr>
            </w:pPr>
            <w:r w:rsidRPr="00E554B8">
              <w:rPr>
                <w:rFonts w:ascii="Lucida Bright" w:hAnsi="Lucida Bright" w:cs="Calibri"/>
                <w:sz w:val="14"/>
                <w:szCs w:val="14"/>
                <w:lang w:val="es-ES"/>
              </w:rPr>
              <w:t>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sz w:val="14"/>
                <w:szCs w:val="14"/>
                <w:lang w:val="es-ES"/>
              </w:rPr>
            </w:pPr>
            <w:r w:rsidRPr="00E554B8">
              <w:rPr>
                <w:rFonts w:ascii="Lucida Bright" w:hAnsi="Lucida Bright" w:cs="Calibri"/>
                <w:sz w:val="14"/>
                <w:szCs w:val="14"/>
                <w:lang w:val="es-ES"/>
              </w:rPr>
              <w:t>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sz w:val="14"/>
                <w:szCs w:val="14"/>
                <w:lang w:val="es-ES"/>
              </w:rPr>
            </w:pPr>
            <w:r w:rsidRPr="00E554B8">
              <w:rPr>
                <w:rFonts w:ascii="Lucida Bright" w:hAnsi="Lucida Bright" w:cs="Calibri"/>
                <w:sz w:val="14"/>
                <w:szCs w:val="14"/>
                <w:lang w:val="es-ES"/>
              </w:rPr>
              <w:t>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E554B8" w:rsidRPr="00E554B8" w:rsidRDefault="00E554B8" w:rsidP="00E554B8">
            <w:pPr>
              <w:jc w:val="right"/>
              <w:rPr>
                <w:rFonts w:ascii="Lucida Bright" w:hAnsi="Lucida Bright" w:cs="Calibri"/>
                <w:sz w:val="14"/>
                <w:szCs w:val="14"/>
                <w:lang w:val="es-ES"/>
              </w:rPr>
            </w:pPr>
            <w:r w:rsidRPr="00E554B8">
              <w:rPr>
                <w:rFonts w:ascii="Lucida Bright" w:hAnsi="Lucida Bright" w:cs="Calibri"/>
                <w:sz w:val="14"/>
                <w:szCs w:val="14"/>
                <w:lang w:val="es-ES"/>
              </w:rPr>
              <w:t xml:space="preserve">- </w:t>
            </w:r>
          </w:p>
        </w:tc>
      </w:tr>
      <w:tr w:rsidR="00E554B8" w:rsidRPr="00E554B8" w:rsidTr="00E554B8">
        <w:trPr>
          <w:trHeight w:val="300"/>
        </w:trPr>
        <w:tc>
          <w:tcPr>
            <w:tcW w:w="3801" w:type="dxa"/>
            <w:tcBorders>
              <w:top w:val="nil"/>
              <w:left w:val="single" w:sz="4" w:space="0" w:color="auto"/>
              <w:bottom w:val="single" w:sz="4" w:space="0" w:color="auto"/>
              <w:right w:val="nil"/>
            </w:tcBorders>
            <w:shd w:val="clear" w:color="000000" w:fill="FFFFFF"/>
            <w:noWrap/>
            <w:vAlign w:val="center"/>
            <w:hideMark/>
          </w:tcPr>
          <w:p w:rsidR="00E554B8" w:rsidRPr="00E554B8" w:rsidRDefault="00E554B8" w:rsidP="00E554B8">
            <w:pPr>
              <w:ind w:firstLineChars="100" w:firstLine="140"/>
              <w:rPr>
                <w:rFonts w:ascii="Lucida Bright" w:hAnsi="Lucida Bright" w:cs="Calibri"/>
                <w:i/>
                <w:iCs/>
                <w:sz w:val="14"/>
                <w:szCs w:val="14"/>
                <w:lang w:val="es-ES"/>
              </w:rPr>
            </w:pPr>
            <w:r w:rsidRPr="00E554B8">
              <w:rPr>
                <w:rFonts w:ascii="Lucida Bright" w:hAnsi="Lucida Bright" w:cs="Calibri"/>
                <w:i/>
                <w:iCs/>
                <w:sz w:val="14"/>
                <w:szCs w:val="14"/>
                <w:lang w:val="es-ES"/>
              </w:rPr>
              <w:t>a) Participaciones a l.p. en otras partes vinculadas</w:t>
            </w:r>
          </w:p>
        </w:tc>
        <w:tc>
          <w:tcPr>
            <w:tcW w:w="53" w:type="dxa"/>
            <w:tcBorders>
              <w:top w:val="nil"/>
              <w:left w:val="nil"/>
              <w:bottom w:val="single" w:sz="4" w:space="0" w:color="auto"/>
              <w:right w:val="single" w:sz="4" w:space="0" w:color="auto"/>
            </w:tcBorders>
            <w:shd w:val="clear" w:color="000000" w:fill="FFFFFF"/>
            <w:noWrap/>
            <w:vAlign w:val="bottom"/>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186"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jc w:val="right"/>
              <w:rPr>
                <w:rFonts w:ascii="Lucida Bright" w:hAnsi="Lucida Bright" w:cs="Calibri"/>
                <w:i/>
                <w:iCs/>
                <w:sz w:val="14"/>
                <w:szCs w:val="14"/>
                <w:lang w:val="es-ES"/>
              </w:rPr>
            </w:pPr>
            <w:r w:rsidRPr="00E554B8">
              <w:rPr>
                <w:rFonts w:ascii="Lucida Bright" w:hAnsi="Lucida Bright" w:cs="Calibri"/>
                <w:i/>
                <w:iCs/>
                <w:sz w:val="14"/>
                <w:szCs w:val="14"/>
                <w:lang w:val="es-ES"/>
              </w:rPr>
              <w:t xml:space="preserve">- </w:t>
            </w:r>
          </w:p>
        </w:tc>
      </w:tr>
      <w:tr w:rsidR="00E554B8" w:rsidRPr="00E554B8" w:rsidTr="00E554B8">
        <w:trPr>
          <w:trHeight w:val="300"/>
        </w:trPr>
        <w:tc>
          <w:tcPr>
            <w:tcW w:w="38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554B8" w:rsidRPr="00E554B8" w:rsidRDefault="00E554B8" w:rsidP="00E554B8">
            <w:pPr>
              <w:ind w:firstLineChars="100" w:firstLine="140"/>
              <w:rPr>
                <w:rFonts w:ascii="Lucida Bright" w:hAnsi="Lucida Bright" w:cs="Calibri"/>
                <w:i/>
                <w:iCs/>
                <w:sz w:val="14"/>
                <w:szCs w:val="14"/>
                <w:lang w:val="es-ES"/>
              </w:rPr>
            </w:pPr>
            <w:r w:rsidRPr="00E554B8">
              <w:rPr>
                <w:rFonts w:ascii="Lucida Bright" w:hAnsi="Lucida Bright" w:cs="Calibri"/>
                <w:i/>
                <w:iCs/>
                <w:sz w:val="14"/>
                <w:szCs w:val="14"/>
                <w:lang w:val="es-ES"/>
              </w:rPr>
              <w:t>b) Participaciones a l.p. en otras empresas</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186"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jc w:val="right"/>
              <w:rPr>
                <w:rFonts w:ascii="Lucida Bright" w:hAnsi="Lucida Bright" w:cs="Calibri"/>
                <w:i/>
                <w:iCs/>
                <w:sz w:val="14"/>
                <w:szCs w:val="14"/>
                <w:lang w:val="es-ES"/>
              </w:rPr>
            </w:pPr>
            <w:r w:rsidRPr="00E554B8">
              <w:rPr>
                <w:rFonts w:ascii="Lucida Bright" w:hAnsi="Lucida Bright" w:cs="Calibri"/>
                <w:i/>
                <w:iCs/>
                <w:sz w:val="14"/>
                <w:szCs w:val="14"/>
                <w:lang w:val="es-ES"/>
              </w:rPr>
              <w:t xml:space="preserve">- </w:t>
            </w:r>
          </w:p>
        </w:tc>
      </w:tr>
      <w:tr w:rsidR="00E554B8" w:rsidRPr="00E554B8" w:rsidTr="00E554B8">
        <w:trPr>
          <w:trHeight w:val="300"/>
        </w:trPr>
        <w:tc>
          <w:tcPr>
            <w:tcW w:w="38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554B8" w:rsidRPr="00E554B8" w:rsidRDefault="00E554B8" w:rsidP="00E554B8">
            <w:pPr>
              <w:rPr>
                <w:rFonts w:ascii="Lucida Bright" w:hAnsi="Lucida Bright" w:cs="Calibri"/>
                <w:sz w:val="14"/>
                <w:szCs w:val="14"/>
                <w:lang w:val="es-ES"/>
              </w:rPr>
            </w:pPr>
            <w:r w:rsidRPr="00E554B8">
              <w:rPr>
                <w:rFonts w:ascii="Lucida Bright" w:hAnsi="Lucida Bright" w:cs="Calibri"/>
                <w:sz w:val="14"/>
                <w:szCs w:val="14"/>
                <w:lang w:val="es-ES"/>
              </w:rPr>
              <w:t xml:space="preserve">  Créditos a terceros</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jc w:val="right"/>
              <w:rPr>
                <w:rFonts w:ascii="Lucida Bright" w:hAnsi="Lucida Bright" w:cs="Calibri"/>
                <w:sz w:val="14"/>
                <w:szCs w:val="14"/>
                <w:lang w:val="es-ES"/>
              </w:rPr>
            </w:pPr>
            <w:r w:rsidRPr="00E554B8">
              <w:rPr>
                <w:rFonts w:ascii="Lucida Bright" w:hAnsi="Lucida Bright" w:cs="Calibri"/>
                <w:sz w:val="14"/>
                <w:szCs w:val="14"/>
                <w:lang w:val="es-ES"/>
              </w:rPr>
              <w:t xml:space="preserve">9.713,29 </w:t>
            </w:r>
          </w:p>
        </w:tc>
        <w:tc>
          <w:tcPr>
            <w:tcW w:w="1186" w:type="dxa"/>
            <w:tcBorders>
              <w:top w:val="nil"/>
              <w:left w:val="nil"/>
              <w:bottom w:val="single" w:sz="4" w:space="0" w:color="auto"/>
              <w:right w:val="single" w:sz="4" w:space="0" w:color="auto"/>
            </w:tcBorders>
            <w:shd w:val="clear" w:color="auto" w:fill="auto"/>
            <w:noWrap/>
            <w:vAlign w:val="center"/>
            <w:hideMark/>
          </w:tcPr>
          <w:p w:rsidR="00E554B8" w:rsidRPr="00E554B8" w:rsidRDefault="00E554B8" w:rsidP="00E554B8">
            <w:pPr>
              <w:rPr>
                <w:rFonts w:ascii="Lucida Bright" w:hAnsi="Lucida Bright" w:cs="Calibri"/>
                <w:sz w:val="14"/>
                <w:szCs w:val="14"/>
                <w:lang w:val="es-ES"/>
              </w:rPr>
            </w:pPr>
            <w:r w:rsidRPr="00E554B8">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E554B8" w:rsidRPr="00E554B8" w:rsidRDefault="00E554B8" w:rsidP="00E554B8">
            <w:pPr>
              <w:rPr>
                <w:rFonts w:ascii="Lucida Bright" w:hAnsi="Lucida Bright" w:cs="Calibri"/>
                <w:sz w:val="14"/>
                <w:szCs w:val="14"/>
                <w:lang w:val="es-ES"/>
              </w:rPr>
            </w:pPr>
            <w:r w:rsidRPr="00E554B8">
              <w:rPr>
                <w:rFonts w:ascii="Lucida Bright" w:hAnsi="Lucida Bright" w:cs="Calibri"/>
                <w:sz w:val="14"/>
                <w:szCs w:val="14"/>
                <w:lang w:val="es-ES"/>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sz w:val="14"/>
                <w:szCs w:val="14"/>
                <w:lang w:val="es-ES"/>
              </w:rPr>
            </w:pPr>
            <w:r w:rsidRPr="00E554B8">
              <w:rPr>
                <w:rFonts w:ascii="Lucida Bright" w:hAnsi="Lucida Bright" w:cs="Calibri"/>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sz w:val="14"/>
                <w:szCs w:val="14"/>
                <w:lang w:val="es-ES"/>
              </w:rPr>
            </w:pPr>
            <w:r w:rsidRPr="00E554B8">
              <w:rPr>
                <w:rFonts w:ascii="Lucida Bright" w:hAnsi="Lucida Bright" w:cs="Calibri"/>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sz w:val="14"/>
                <w:szCs w:val="14"/>
                <w:lang w:val="es-ES"/>
              </w:rPr>
            </w:pPr>
            <w:r w:rsidRPr="00E554B8">
              <w:rPr>
                <w:rFonts w:ascii="Lucida Bright" w:hAnsi="Lucida Bright" w:cs="Calibri"/>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sz w:val="14"/>
                <w:szCs w:val="14"/>
                <w:lang w:val="es-ES"/>
              </w:rPr>
            </w:pPr>
            <w:r w:rsidRPr="00E554B8">
              <w:rPr>
                <w:rFonts w:ascii="Lucida Bright" w:hAnsi="Lucida Bright" w:cs="Calibri"/>
                <w:sz w:val="14"/>
                <w:szCs w:val="14"/>
                <w:lang w:val="es-ES"/>
              </w:rPr>
              <w:t> </w:t>
            </w:r>
          </w:p>
        </w:tc>
        <w:tc>
          <w:tcPr>
            <w:tcW w:w="1020" w:type="dxa"/>
            <w:tcBorders>
              <w:top w:val="nil"/>
              <w:left w:val="nil"/>
              <w:bottom w:val="single" w:sz="4" w:space="0" w:color="auto"/>
              <w:right w:val="single" w:sz="4" w:space="0" w:color="auto"/>
            </w:tcBorders>
            <w:shd w:val="clear" w:color="auto" w:fill="auto"/>
            <w:noWrap/>
            <w:vAlign w:val="center"/>
            <w:hideMark/>
          </w:tcPr>
          <w:p w:rsidR="00E554B8" w:rsidRPr="00E554B8" w:rsidRDefault="00E554B8" w:rsidP="00E554B8">
            <w:pPr>
              <w:jc w:val="right"/>
              <w:rPr>
                <w:rFonts w:ascii="Lucida Bright" w:hAnsi="Lucida Bright" w:cs="Calibri"/>
                <w:sz w:val="14"/>
                <w:szCs w:val="14"/>
                <w:lang w:val="es-ES"/>
              </w:rPr>
            </w:pPr>
            <w:r w:rsidRPr="00E554B8">
              <w:rPr>
                <w:rFonts w:ascii="Lucida Bright" w:hAnsi="Lucida Bright" w:cs="Calibri"/>
                <w:sz w:val="14"/>
                <w:szCs w:val="14"/>
                <w:lang w:val="es-ES"/>
              </w:rPr>
              <w:t xml:space="preserve">9.713,29 </w:t>
            </w:r>
          </w:p>
        </w:tc>
      </w:tr>
      <w:tr w:rsidR="00E554B8" w:rsidRPr="00E554B8" w:rsidTr="00E554B8">
        <w:trPr>
          <w:trHeight w:val="300"/>
        </w:trPr>
        <w:tc>
          <w:tcPr>
            <w:tcW w:w="3801" w:type="dxa"/>
            <w:tcBorders>
              <w:top w:val="nil"/>
              <w:left w:val="single" w:sz="4" w:space="0" w:color="auto"/>
              <w:bottom w:val="single" w:sz="4" w:space="0" w:color="auto"/>
              <w:right w:val="nil"/>
            </w:tcBorders>
            <w:shd w:val="clear" w:color="000000" w:fill="FFFFFF"/>
            <w:noWrap/>
            <w:vAlign w:val="center"/>
            <w:hideMark/>
          </w:tcPr>
          <w:p w:rsidR="00E554B8" w:rsidRPr="00E554B8" w:rsidRDefault="00E554B8" w:rsidP="00E554B8">
            <w:pPr>
              <w:ind w:firstLineChars="100" w:firstLine="140"/>
              <w:rPr>
                <w:rFonts w:ascii="Lucida Bright" w:hAnsi="Lucida Bright" w:cs="Calibri"/>
                <w:i/>
                <w:iCs/>
                <w:sz w:val="14"/>
                <w:szCs w:val="14"/>
                <w:lang w:val="es-ES"/>
              </w:rPr>
            </w:pPr>
            <w:r w:rsidRPr="00E554B8">
              <w:rPr>
                <w:rFonts w:ascii="Lucida Bright" w:hAnsi="Lucida Bright" w:cs="Calibri"/>
                <w:i/>
                <w:iCs/>
                <w:sz w:val="14"/>
                <w:szCs w:val="14"/>
                <w:lang w:val="es-ES"/>
              </w:rPr>
              <w:t>a) Créditos a l.p. a otras partes vinculadas</w:t>
            </w:r>
          </w:p>
        </w:tc>
        <w:tc>
          <w:tcPr>
            <w:tcW w:w="53" w:type="dxa"/>
            <w:tcBorders>
              <w:top w:val="nil"/>
              <w:left w:val="nil"/>
              <w:bottom w:val="single" w:sz="4" w:space="0" w:color="auto"/>
              <w:right w:val="single" w:sz="4" w:space="0" w:color="auto"/>
            </w:tcBorders>
            <w:shd w:val="clear" w:color="000000" w:fill="FFFFFF"/>
            <w:noWrap/>
            <w:vAlign w:val="bottom"/>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186"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auto" w:fill="auto"/>
            <w:noWrap/>
            <w:vAlign w:val="center"/>
            <w:hideMark/>
          </w:tcPr>
          <w:p w:rsidR="00E554B8" w:rsidRPr="00E554B8" w:rsidRDefault="00E554B8" w:rsidP="00E554B8">
            <w:pPr>
              <w:jc w:val="right"/>
              <w:rPr>
                <w:rFonts w:ascii="Lucida Bright" w:hAnsi="Lucida Bright" w:cs="Calibri"/>
                <w:i/>
                <w:iCs/>
                <w:sz w:val="14"/>
                <w:szCs w:val="14"/>
                <w:lang w:val="es-ES"/>
              </w:rPr>
            </w:pPr>
            <w:r w:rsidRPr="00E554B8">
              <w:rPr>
                <w:rFonts w:ascii="Lucida Bright" w:hAnsi="Lucida Bright" w:cs="Calibri"/>
                <w:i/>
                <w:iCs/>
                <w:sz w:val="14"/>
                <w:szCs w:val="14"/>
                <w:lang w:val="es-ES"/>
              </w:rPr>
              <w:t xml:space="preserve">- </w:t>
            </w:r>
          </w:p>
        </w:tc>
      </w:tr>
      <w:tr w:rsidR="00E554B8" w:rsidRPr="00E554B8" w:rsidTr="00E554B8">
        <w:trPr>
          <w:trHeight w:val="300"/>
        </w:trPr>
        <w:tc>
          <w:tcPr>
            <w:tcW w:w="3854" w:type="dxa"/>
            <w:gridSpan w:val="2"/>
            <w:tcBorders>
              <w:top w:val="single" w:sz="4" w:space="0" w:color="auto"/>
              <w:left w:val="single" w:sz="4" w:space="0" w:color="auto"/>
              <w:bottom w:val="nil"/>
              <w:right w:val="single" w:sz="4" w:space="0" w:color="000000"/>
            </w:tcBorders>
            <w:shd w:val="clear" w:color="000000" w:fill="FFFFFF"/>
            <w:noWrap/>
            <w:vAlign w:val="center"/>
            <w:hideMark/>
          </w:tcPr>
          <w:p w:rsidR="00E554B8" w:rsidRPr="00E554B8" w:rsidRDefault="00E554B8" w:rsidP="00E554B8">
            <w:pPr>
              <w:ind w:firstLineChars="100" w:firstLine="140"/>
              <w:rPr>
                <w:rFonts w:ascii="Lucida Bright" w:hAnsi="Lucida Bright" w:cs="Calibri"/>
                <w:i/>
                <w:iCs/>
                <w:sz w:val="14"/>
                <w:szCs w:val="14"/>
                <w:lang w:val="es-ES"/>
              </w:rPr>
            </w:pPr>
            <w:r w:rsidRPr="00E554B8">
              <w:rPr>
                <w:rFonts w:ascii="Lucida Bright" w:hAnsi="Lucida Bright" w:cs="Calibri"/>
                <w:i/>
                <w:iCs/>
                <w:sz w:val="14"/>
                <w:szCs w:val="14"/>
                <w:lang w:val="es-ES"/>
              </w:rPr>
              <w:t>b) Créditos a largo plazo</w:t>
            </w:r>
          </w:p>
        </w:tc>
        <w:tc>
          <w:tcPr>
            <w:tcW w:w="1020" w:type="dxa"/>
            <w:tcBorders>
              <w:top w:val="nil"/>
              <w:left w:val="nil"/>
              <w:bottom w:val="nil"/>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186" w:type="dxa"/>
            <w:tcBorders>
              <w:top w:val="nil"/>
              <w:left w:val="nil"/>
              <w:bottom w:val="nil"/>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200" w:type="dxa"/>
            <w:tcBorders>
              <w:top w:val="nil"/>
              <w:left w:val="nil"/>
              <w:bottom w:val="nil"/>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100" w:type="dxa"/>
            <w:tcBorders>
              <w:top w:val="nil"/>
              <w:left w:val="nil"/>
              <w:bottom w:val="nil"/>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nil"/>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nil"/>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nil"/>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nil"/>
              <w:right w:val="single" w:sz="4" w:space="0" w:color="auto"/>
            </w:tcBorders>
            <w:shd w:val="clear" w:color="auto" w:fill="auto"/>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r>
      <w:tr w:rsidR="00E554B8" w:rsidRPr="00E554B8" w:rsidTr="00E554B8">
        <w:trPr>
          <w:trHeight w:val="300"/>
        </w:trPr>
        <w:tc>
          <w:tcPr>
            <w:tcW w:w="38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554B8" w:rsidRPr="00E554B8" w:rsidRDefault="00E554B8" w:rsidP="00E554B8">
            <w:pPr>
              <w:ind w:firstLineChars="100" w:firstLine="140"/>
              <w:rPr>
                <w:rFonts w:ascii="Lucida Bright" w:hAnsi="Lucida Bright" w:cs="Calibri"/>
                <w:i/>
                <w:iCs/>
                <w:sz w:val="14"/>
                <w:szCs w:val="14"/>
                <w:lang w:val="es-ES"/>
              </w:rPr>
            </w:pPr>
            <w:r w:rsidRPr="00E554B8">
              <w:rPr>
                <w:rFonts w:ascii="Lucida Bright" w:hAnsi="Lucida Bright" w:cs="Calibri"/>
                <w:i/>
                <w:iCs/>
                <w:sz w:val="14"/>
                <w:szCs w:val="14"/>
                <w:lang w:val="es-ES"/>
              </w:rPr>
              <w:t xml:space="preserve">c) </w:t>
            </w:r>
            <w:r w:rsidR="00416638" w:rsidRPr="00E554B8">
              <w:rPr>
                <w:rFonts w:ascii="Lucida Bright" w:hAnsi="Lucida Bright" w:cs="Calibri"/>
                <w:i/>
                <w:iCs/>
                <w:sz w:val="14"/>
                <w:szCs w:val="14"/>
                <w:lang w:val="es-ES"/>
              </w:rPr>
              <w:t>Créditos</w:t>
            </w:r>
            <w:r w:rsidRPr="00E554B8">
              <w:rPr>
                <w:rFonts w:ascii="Lucida Bright" w:hAnsi="Lucida Bright" w:cs="Calibri"/>
                <w:i/>
                <w:iCs/>
                <w:sz w:val="14"/>
                <w:szCs w:val="14"/>
                <w:lang w:val="es-ES"/>
              </w:rPr>
              <w:t xml:space="preserve"> a l.p. por enajenación de inmovilizado</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186" w:type="dxa"/>
            <w:tcBorders>
              <w:top w:val="single" w:sz="4" w:space="0" w:color="auto"/>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r>
      <w:tr w:rsidR="00E554B8" w:rsidRPr="00E554B8" w:rsidTr="00E554B8">
        <w:trPr>
          <w:trHeight w:val="300"/>
        </w:trPr>
        <w:tc>
          <w:tcPr>
            <w:tcW w:w="38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554B8" w:rsidRPr="00E554B8" w:rsidRDefault="00E554B8" w:rsidP="00E554B8">
            <w:pPr>
              <w:ind w:firstLineChars="100" w:firstLine="140"/>
              <w:rPr>
                <w:rFonts w:ascii="Lucida Bright" w:hAnsi="Lucida Bright" w:cs="Calibri"/>
                <w:i/>
                <w:iCs/>
                <w:sz w:val="14"/>
                <w:szCs w:val="14"/>
                <w:lang w:val="es-ES"/>
              </w:rPr>
            </w:pPr>
            <w:r w:rsidRPr="00E554B8">
              <w:rPr>
                <w:rFonts w:ascii="Lucida Bright" w:hAnsi="Lucida Bright" w:cs="Calibri"/>
                <w:i/>
                <w:iCs/>
                <w:sz w:val="14"/>
                <w:szCs w:val="14"/>
                <w:lang w:val="es-ES"/>
              </w:rPr>
              <w:t>b) Créditos a largo plazo al personal</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jc w:val="right"/>
              <w:rPr>
                <w:rFonts w:ascii="Lucida Bright" w:hAnsi="Lucida Bright" w:cs="Calibri"/>
                <w:i/>
                <w:iCs/>
                <w:sz w:val="14"/>
                <w:szCs w:val="14"/>
                <w:lang w:val="es-ES"/>
              </w:rPr>
            </w:pPr>
            <w:r w:rsidRPr="00E554B8">
              <w:rPr>
                <w:rFonts w:ascii="Lucida Bright" w:hAnsi="Lucida Bright" w:cs="Calibri"/>
                <w:i/>
                <w:iCs/>
                <w:sz w:val="14"/>
                <w:szCs w:val="14"/>
                <w:lang w:val="es-ES"/>
              </w:rPr>
              <w:t xml:space="preserve">9.713,29 </w:t>
            </w:r>
          </w:p>
        </w:tc>
        <w:tc>
          <w:tcPr>
            <w:tcW w:w="1186"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i/>
                <w:iCs/>
                <w:sz w:val="14"/>
                <w:szCs w:val="14"/>
                <w:lang w:val="es-ES"/>
              </w:rPr>
            </w:pPr>
            <w:r w:rsidRPr="00E554B8">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auto" w:fill="auto"/>
            <w:noWrap/>
            <w:vAlign w:val="center"/>
            <w:hideMark/>
          </w:tcPr>
          <w:p w:rsidR="00E554B8" w:rsidRPr="00E554B8" w:rsidRDefault="00E554B8" w:rsidP="00E554B8">
            <w:pPr>
              <w:jc w:val="right"/>
              <w:rPr>
                <w:rFonts w:ascii="Lucida Bright" w:hAnsi="Lucida Bright" w:cs="Calibri"/>
                <w:i/>
                <w:iCs/>
                <w:sz w:val="14"/>
                <w:szCs w:val="14"/>
                <w:lang w:val="es-ES"/>
              </w:rPr>
            </w:pPr>
            <w:r w:rsidRPr="00E554B8">
              <w:rPr>
                <w:rFonts w:ascii="Lucida Bright" w:hAnsi="Lucida Bright" w:cs="Calibri"/>
                <w:i/>
                <w:iCs/>
                <w:sz w:val="14"/>
                <w:szCs w:val="14"/>
                <w:lang w:val="es-ES"/>
              </w:rPr>
              <w:t xml:space="preserve">9.713,29 </w:t>
            </w:r>
          </w:p>
        </w:tc>
      </w:tr>
      <w:tr w:rsidR="00E554B8" w:rsidRPr="00E554B8" w:rsidTr="00E554B8">
        <w:trPr>
          <w:trHeight w:val="300"/>
        </w:trPr>
        <w:tc>
          <w:tcPr>
            <w:tcW w:w="3801" w:type="dxa"/>
            <w:tcBorders>
              <w:top w:val="nil"/>
              <w:left w:val="single" w:sz="4" w:space="0" w:color="auto"/>
              <w:bottom w:val="single" w:sz="4" w:space="0" w:color="auto"/>
              <w:right w:val="nil"/>
            </w:tcBorders>
            <w:shd w:val="clear" w:color="000000" w:fill="FFFFFF"/>
            <w:noWrap/>
            <w:vAlign w:val="center"/>
            <w:hideMark/>
          </w:tcPr>
          <w:p w:rsidR="00E554B8" w:rsidRPr="00E554B8" w:rsidRDefault="00E554B8" w:rsidP="00E554B8">
            <w:pPr>
              <w:jc w:val="center"/>
              <w:rPr>
                <w:rFonts w:ascii="Lucida Bright" w:hAnsi="Lucida Bright" w:cs="Calibri"/>
                <w:b/>
                <w:bCs/>
                <w:sz w:val="14"/>
                <w:szCs w:val="14"/>
                <w:lang w:val="es-ES"/>
              </w:rPr>
            </w:pPr>
            <w:r w:rsidRPr="00E554B8">
              <w:rPr>
                <w:rFonts w:ascii="Lucida Bright" w:hAnsi="Lucida Bright" w:cs="Calibri"/>
                <w:b/>
                <w:bCs/>
                <w:sz w:val="14"/>
                <w:szCs w:val="14"/>
                <w:lang w:val="es-ES"/>
              </w:rPr>
              <w:t>TOTAL</w:t>
            </w:r>
          </w:p>
        </w:tc>
        <w:tc>
          <w:tcPr>
            <w:tcW w:w="53"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rPr>
                <w:rFonts w:ascii="Lucida Bright" w:hAnsi="Lucida Bright" w:cs="Calibri"/>
                <w:b/>
                <w:bCs/>
                <w:sz w:val="14"/>
                <w:szCs w:val="14"/>
                <w:lang w:val="es-ES"/>
              </w:rPr>
            </w:pPr>
            <w:r w:rsidRPr="00E554B8">
              <w:rPr>
                <w:rFonts w:ascii="Lucida Bright" w:hAnsi="Lucida Bright" w:cs="Calibri"/>
                <w:b/>
                <w:b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jc w:val="right"/>
              <w:rPr>
                <w:rFonts w:ascii="Lucida Bright" w:hAnsi="Lucida Bright" w:cs="Calibri"/>
                <w:b/>
                <w:bCs/>
                <w:sz w:val="14"/>
                <w:szCs w:val="14"/>
                <w:lang w:val="es-ES"/>
              </w:rPr>
            </w:pPr>
            <w:r w:rsidRPr="00E554B8">
              <w:rPr>
                <w:rFonts w:ascii="Lucida Bright" w:hAnsi="Lucida Bright" w:cs="Calibri"/>
                <w:b/>
                <w:bCs/>
                <w:sz w:val="14"/>
                <w:szCs w:val="14"/>
                <w:lang w:val="es-ES"/>
              </w:rPr>
              <w:t xml:space="preserve">9.713,29 </w:t>
            </w:r>
          </w:p>
        </w:tc>
        <w:tc>
          <w:tcPr>
            <w:tcW w:w="1186"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jc w:val="right"/>
              <w:rPr>
                <w:rFonts w:ascii="Lucida Bright" w:hAnsi="Lucida Bright" w:cs="Calibri"/>
                <w:b/>
                <w:bCs/>
                <w:sz w:val="14"/>
                <w:szCs w:val="14"/>
                <w:lang w:val="es-ES"/>
              </w:rPr>
            </w:pPr>
            <w:r w:rsidRPr="00E554B8">
              <w:rPr>
                <w:rFonts w:ascii="Lucida Bright" w:hAnsi="Lucida Bright" w:cs="Calibri"/>
                <w:b/>
                <w:bCs/>
                <w:sz w:val="14"/>
                <w:szCs w:val="14"/>
                <w:lang w:val="es-ES"/>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jc w:val="right"/>
              <w:rPr>
                <w:rFonts w:ascii="Lucida Bright" w:hAnsi="Lucida Bright" w:cs="Calibri"/>
                <w:b/>
                <w:bCs/>
                <w:sz w:val="14"/>
                <w:szCs w:val="14"/>
                <w:lang w:val="es-ES"/>
              </w:rPr>
            </w:pPr>
            <w:r w:rsidRPr="00E554B8">
              <w:rPr>
                <w:rFonts w:ascii="Lucida Bright" w:hAnsi="Lucida Bright" w:cs="Calibri"/>
                <w:b/>
                <w:bCs/>
                <w:sz w:val="14"/>
                <w:szCs w:val="14"/>
                <w:lang w:val="es-ES"/>
              </w:rPr>
              <w:t xml:space="preserve">- </w:t>
            </w:r>
          </w:p>
        </w:tc>
        <w:tc>
          <w:tcPr>
            <w:tcW w:w="110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jc w:val="right"/>
              <w:rPr>
                <w:rFonts w:ascii="Lucida Bright" w:hAnsi="Lucida Bright" w:cs="Calibri"/>
                <w:b/>
                <w:bCs/>
                <w:sz w:val="14"/>
                <w:szCs w:val="14"/>
                <w:lang w:val="es-ES"/>
              </w:rPr>
            </w:pPr>
            <w:r w:rsidRPr="00E554B8">
              <w:rPr>
                <w:rFonts w:ascii="Lucida Bright" w:hAnsi="Lucida Bright" w:cs="Calibri"/>
                <w:b/>
                <w:bCs/>
                <w:sz w:val="14"/>
                <w:szCs w:val="14"/>
                <w:lang w:val="es-ES"/>
              </w:rPr>
              <w:t xml:space="preserve">-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jc w:val="right"/>
              <w:rPr>
                <w:rFonts w:ascii="Lucida Bright" w:hAnsi="Lucida Bright" w:cs="Calibri"/>
                <w:b/>
                <w:bCs/>
                <w:sz w:val="14"/>
                <w:szCs w:val="14"/>
                <w:lang w:val="es-ES"/>
              </w:rPr>
            </w:pPr>
            <w:r w:rsidRPr="00E554B8">
              <w:rPr>
                <w:rFonts w:ascii="Lucida Bright" w:hAnsi="Lucida Bright" w:cs="Calibri"/>
                <w:b/>
                <w:bCs/>
                <w:sz w:val="14"/>
                <w:szCs w:val="14"/>
                <w:lang w:val="es-ES"/>
              </w:rPr>
              <w:t xml:space="preserve">-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jc w:val="right"/>
              <w:rPr>
                <w:rFonts w:ascii="Lucida Bright" w:hAnsi="Lucida Bright" w:cs="Calibri"/>
                <w:b/>
                <w:bCs/>
                <w:sz w:val="14"/>
                <w:szCs w:val="14"/>
                <w:lang w:val="es-ES"/>
              </w:rPr>
            </w:pPr>
            <w:r w:rsidRPr="00E554B8">
              <w:rPr>
                <w:rFonts w:ascii="Lucida Bright" w:hAnsi="Lucida Bright" w:cs="Calibri"/>
                <w:b/>
                <w:bCs/>
                <w:sz w:val="14"/>
                <w:szCs w:val="14"/>
                <w:lang w:val="es-ES"/>
              </w:rPr>
              <w:t xml:space="preserve">-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jc w:val="right"/>
              <w:rPr>
                <w:rFonts w:ascii="Lucida Bright" w:hAnsi="Lucida Bright" w:cs="Calibri"/>
                <w:b/>
                <w:bCs/>
                <w:sz w:val="14"/>
                <w:szCs w:val="14"/>
                <w:lang w:val="es-ES"/>
              </w:rPr>
            </w:pPr>
            <w:r w:rsidRPr="00E554B8">
              <w:rPr>
                <w:rFonts w:ascii="Lucida Bright" w:hAnsi="Lucida Bright" w:cs="Calibri"/>
                <w:b/>
                <w:bCs/>
                <w:sz w:val="14"/>
                <w:szCs w:val="14"/>
                <w:lang w:val="es-ES"/>
              </w:rPr>
              <w:t xml:space="preserve">- </w:t>
            </w:r>
          </w:p>
        </w:tc>
        <w:tc>
          <w:tcPr>
            <w:tcW w:w="1020" w:type="dxa"/>
            <w:tcBorders>
              <w:top w:val="nil"/>
              <w:left w:val="nil"/>
              <w:bottom w:val="single" w:sz="4" w:space="0" w:color="auto"/>
              <w:right w:val="single" w:sz="4" w:space="0" w:color="auto"/>
            </w:tcBorders>
            <w:shd w:val="clear" w:color="000000" w:fill="FFFFFF"/>
            <w:noWrap/>
            <w:vAlign w:val="center"/>
            <w:hideMark/>
          </w:tcPr>
          <w:p w:rsidR="00E554B8" w:rsidRPr="00E554B8" w:rsidRDefault="00E554B8" w:rsidP="00E554B8">
            <w:pPr>
              <w:jc w:val="right"/>
              <w:rPr>
                <w:rFonts w:ascii="Lucida Bright" w:hAnsi="Lucida Bright" w:cs="Calibri"/>
                <w:b/>
                <w:bCs/>
                <w:sz w:val="14"/>
                <w:szCs w:val="14"/>
                <w:lang w:val="es-ES"/>
              </w:rPr>
            </w:pPr>
            <w:r w:rsidRPr="00E554B8">
              <w:rPr>
                <w:rFonts w:ascii="Lucida Bright" w:hAnsi="Lucida Bright" w:cs="Calibri"/>
                <w:b/>
                <w:bCs/>
                <w:sz w:val="14"/>
                <w:szCs w:val="14"/>
                <w:lang w:val="es-ES"/>
              </w:rPr>
              <w:t xml:space="preserve">9.713,29 </w:t>
            </w:r>
          </w:p>
        </w:tc>
      </w:tr>
    </w:tbl>
    <w:p w:rsidR="00077612" w:rsidRDefault="00077612">
      <w:pPr>
        <w:tabs>
          <w:tab w:val="right" w:pos="8364"/>
        </w:tabs>
        <w:ind w:left="142" w:firstLine="425"/>
        <w:jc w:val="both"/>
        <w:rPr>
          <w:rFonts w:ascii="NewBaskerville" w:hAnsi="NewBaskerville"/>
        </w:rPr>
      </w:pPr>
    </w:p>
    <w:p w:rsidR="00077612" w:rsidRDefault="00077612">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sectPr w:rsidR="00202455" w:rsidSect="00D42116">
          <w:pgSz w:w="16840" w:h="11907" w:orient="landscape" w:code="9"/>
          <w:pgMar w:top="1276" w:right="1701" w:bottom="1418" w:left="1701" w:header="567" w:footer="720" w:gutter="0"/>
          <w:cols w:space="720"/>
          <w:docGrid w:linePitch="272"/>
        </w:sectPr>
      </w:pPr>
    </w:p>
    <w:p w:rsidR="00202455" w:rsidRDefault="00202455">
      <w:pPr>
        <w:tabs>
          <w:tab w:val="right" w:pos="8364"/>
        </w:tabs>
        <w:ind w:left="142" w:firstLine="425"/>
        <w:jc w:val="both"/>
        <w:rPr>
          <w:rFonts w:ascii="NewBaskerville" w:hAnsi="NewBaskerville"/>
        </w:rPr>
      </w:pPr>
    </w:p>
    <w:p w:rsidR="00077612" w:rsidRDefault="002C4355">
      <w:pPr>
        <w:tabs>
          <w:tab w:val="right" w:pos="8364"/>
        </w:tabs>
        <w:ind w:left="142" w:firstLine="425"/>
        <w:jc w:val="both"/>
        <w:rPr>
          <w:rFonts w:ascii="NewBaskerville" w:hAnsi="NewBaskerville"/>
        </w:rPr>
      </w:pPr>
      <w:r w:rsidRPr="00273586">
        <w:rPr>
          <w:rFonts w:ascii="NewBaskerville" w:hAnsi="NewBaskerville"/>
        </w:rPr>
        <w:t xml:space="preserve">Las </w:t>
      </w:r>
      <w:r w:rsidR="00E3178A" w:rsidRPr="00273586">
        <w:rPr>
          <w:rFonts w:ascii="NewBaskerville" w:hAnsi="NewBaskerville"/>
        </w:rPr>
        <w:t>“</w:t>
      </w:r>
      <w:r w:rsidR="00E3178A" w:rsidRPr="00273586">
        <w:rPr>
          <w:rFonts w:ascii="NewBaskerville" w:hAnsi="NewBaskerville"/>
          <w:b/>
        </w:rPr>
        <w:t>I</w:t>
      </w:r>
      <w:r w:rsidRPr="00273586">
        <w:rPr>
          <w:rFonts w:ascii="NewBaskerville" w:hAnsi="NewBaskerville"/>
          <w:b/>
        </w:rPr>
        <w:t>nversiones financieras a largo plazo</w:t>
      </w:r>
      <w:r w:rsidR="00E3178A" w:rsidRPr="00273586">
        <w:rPr>
          <w:rFonts w:ascii="NewBaskerville" w:hAnsi="NewBaskerville"/>
          <w:b/>
        </w:rPr>
        <w:t>”</w:t>
      </w:r>
      <w:r w:rsidR="00830179" w:rsidRPr="00273586">
        <w:rPr>
          <w:rFonts w:ascii="NewBaskerville" w:hAnsi="NewBaskerville"/>
        </w:rPr>
        <w:t xml:space="preserve"> se  </w:t>
      </w:r>
      <w:r w:rsidRPr="00273586">
        <w:rPr>
          <w:rFonts w:ascii="NewBaskerville" w:hAnsi="NewBaskerville"/>
        </w:rPr>
        <w:t>corresponden a</w:t>
      </w:r>
      <w:r w:rsidR="00077612">
        <w:rPr>
          <w:rFonts w:ascii="NewBaskerville" w:hAnsi="NewBaskerville"/>
        </w:rPr>
        <w:t>:</w:t>
      </w:r>
    </w:p>
    <w:p w:rsidR="00077612" w:rsidRDefault="00077612">
      <w:pPr>
        <w:tabs>
          <w:tab w:val="right" w:pos="8364"/>
        </w:tabs>
        <w:ind w:left="142" w:firstLine="425"/>
        <w:jc w:val="both"/>
        <w:rPr>
          <w:rFonts w:ascii="NewBaskerville" w:hAnsi="NewBaskerville"/>
        </w:rPr>
      </w:pPr>
    </w:p>
    <w:p w:rsidR="002C4355" w:rsidRDefault="00077612">
      <w:pPr>
        <w:tabs>
          <w:tab w:val="right" w:pos="8364"/>
        </w:tabs>
        <w:ind w:left="142" w:firstLine="425"/>
        <w:jc w:val="both"/>
        <w:rPr>
          <w:rFonts w:ascii="NewBaskerville" w:hAnsi="NewBaskerville"/>
        </w:rPr>
      </w:pPr>
      <w:r>
        <w:rPr>
          <w:rFonts w:ascii="NewBaskerville" w:hAnsi="NewBaskerville"/>
        </w:rPr>
        <w:t>C</w:t>
      </w:r>
      <w:r w:rsidR="002C4355" w:rsidRPr="00273586">
        <w:rPr>
          <w:rFonts w:ascii="NewBaskerville" w:hAnsi="NewBaskerville"/>
        </w:rPr>
        <w:t>réditos al personal</w:t>
      </w:r>
      <w:r>
        <w:rPr>
          <w:rFonts w:ascii="NewBaskerville" w:hAnsi="NewBaskerville"/>
        </w:rPr>
        <w:t>:</w:t>
      </w:r>
      <w:r w:rsidR="002C4355" w:rsidRPr="00273586">
        <w:rPr>
          <w:rFonts w:ascii="NewBaskerville" w:hAnsi="NewBaskerville"/>
        </w:rPr>
        <w:t xml:space="preserve"> </w:t>
      </w:r>
      <w:r w:rsidR="00812E0C">
        <w:rPr>
          <w:rFonts w:ascii="NewBaskerville" w:hAnsi="NewBaskerville"/>
        </w:rPr>
        <w:t>N</w:t>
      </w:r>
      <w:r w:rsidR="002C4355" w:rsidRPr="00273586">
        <w:rPr>
          <w:rFonts w:ascii="NewBaskerville" w:hAnsi="NewBaskerville"/>
        </w:rPr>
        <w:t>o se actualizan financieramente dado que el efecto de no actualizar estos flujos de efectivo no es signifi</w:t>
      </w:r>
      <w:r w:rsidR="00CD79D4" w:rsidRPr="00273586">
        <w:rPr>
          <w:rFonts w:ascii="NewBaskerville" w:hAnsi="NewBaskerville"/>
        </w:rPr>
        <w:t>c</w:t>
      </w:r>
      <w:r w:rsidR="0047248E" w:rsidRPr="00273586">
        <w:rPr>
          <w:rFonts w:ascii="NewBaskerville" w:hAnsi="NewBaskerville"/>
        </w:rPr>
        <w:t>ativo. Durante el ejercicio 202</w:t>
      </w:r>
      <w:r w:rsidR="001202FB">
        <w:rPr>
          <w:rFonts w:ascii="NewBaskerville" w:hAnsi="NewBaskerville"/>
        </w:rPr>
        <w:t>4</w:t>
      </w:r>
      <w:r w:rsidR="002C4355" w:rsidRPr="00273586">
        <w:rPr>
          <w:rFonts w:ascii="NewBaskerville" w:hAnsi="NewBaskerville"/>
        </w:rPr>
        <w:t xml:space="preserve"> se han conce</w:t>
      </w:r>
      <w:r w:rsidR="00855AA4" w:rsidRPr="00273586">
        <w:rPr>
          <w:rFonts w:ascii="NewBaskerville" w:hAnsi="NewBaskerville"/>
        </w:rPr>
        <w:t xml:space="preserve">dido préstamos por importe de </w:t>
      </w:r>
      <w:r w:rsidR="001202FB">
        <w:rPr>
          <w:rFonts w:ascii="NewBaskerville" w:hAnsi="NewBaskerville"/>
        </w:rPr>
        <w:t>474</w:t>
      </w:r>
      <w:r w:rsidR="0047248E" w:rsidRPr="00273586">
        <w:rPr>
          <w:rFonts w:ascii="NewBaskerville" w:hAnsi="NewBaskerville"/>
        </w:rPr>
        <w:t>.</w:t>
      </w:r>
      <w:r w:rsidR="001202FB">
        <w:rPr>
          <w:rFonts w:ascii="NewBaskerville" w:hAnsi="NewBaskerville"/>
        </w:rPr>
        <w:t>135</w:t>
      </w:r>
      <w:r>
        <w:rPr>
          <w:rFonts w:ascii="NewBaskerville" w:hAnsi="NewBaskerville"/>
        </w:rPr>
        <w:t>,</w:t>
      </w:r>
      <w:r w:rsidR="001202FB">
        <w:rPr>
          <w:rFonts w:ascii="NewBaskerville" w:hAnsi="NewBaskerville"/>
        </w:rPr>
        <w:t>21</w:t>
      </w:r>
      <w:r w:rsidR="002C4355" w:rsidRPr="00273586">
        <w:rPr>
          <w:rFonts w:ascii="NewBaskerville" w:hAnsi="NewBaskerville"/>
        </w:rPr>
        <w:t xml:space="preserve"> euros y se han traspasado a corto plazo </w:t>
      </w:r>
      <w:r w:rsidR="0047248E" w:rsidRPr="00273586">
        <w:rPr>
          <w:rFonts w:ascii="NewBaskerville" w:hAnsi="NewBaskerville"/>
        </w:rPr>
        <w:t>2</w:t>
      </w:r>
      <w:r w:rsidR="001202FB">
        <w:rPr>
          <w:rFonts w:ascii="NewBaskerville" w:hAnsi="NewBaskerville"/>
        </w:rPr>
        <w:t>84</w:t>
      </w:r>
      <w:r w:rsidR="0047248E" w:rsidRPr="00273586">
        <w:rPr>
          <w:rFonts w:ascii="NewBaskerville" w:hAnsi="NewBaskerville"/>
        </w:rPr>
        <w:t>.</w:t>
      </w:r>
      <w:r w:rsidR="001202FB">
        <w:rPr>
          <w:rFonts w:ascii="NewBaskerville" w:hAnsi="NewBaskerville"/>
        </w:rPr>
        <w:t>662</w:t>
      </w:r>
      <w:r w:rsidR="0047248E" w:rsidRPr="00273586">
        <w:rPr>
          <w:rFonts w:ascii="NewBaskerville" w:hAnsi="NewBaskerville"/>
        </w:rPr>
        <w:t>,</w:t>
      </w:r>
      <w:r w:rsidR="001202FB">
        <w:rPr>
          <w:rFonts w:ascii="NewBaskerville" w:hAnsi="NewBaskerville"/>
        </w:rPr>
        <w:t>40</w:t>
      </w:r>
      <w:r w:rsidR="002C4355" w:rsidRPr="00273586">
        <w:rPr>
          <w:rFonts w:ascii="NewBaskerville" w:hAnsi="NewBaskerville"/>
        </w:rPr>
        <w:t xml:space="preserve"> euros. En el ejercicio 20</w:t>
      </w:r>
      <w:r w:rsidR="0047248E" w:rsidRPr="00273586">
        <w:rPr>
          <w:rFonts w:ascii="NewBaskerville" w:hAnsi="NewBaskerville"/>
        </w:rPr>
        <w:t>2</w:t>
      </w:r>
      <w:r w:rsidR="001202FB">
        <w:rPr>
          <w:rFonts w:ascii="NewBaskerville" w:hAnsi="NewBaskerville"/>
        </w:rPr>
        <w:t>3</w:t>
      </w:r>
      <w:r w:rsidR="0047248E" w:rsidRPr="00273586">
        <w:rPr>
          <w:rFonts w:ascii="NewBaskerville" w:hAnsi="NewBaskerville"/>
        </w:rPr>
        <w:t xml:space="preserve"> </w:t>
      </w:r>
      <w:r w:rsidR="002C4355" w:rsidRPr="00273586">
        <w:rPr>
          <w:rFonts w:ascii="NewBaskerville" w:hAnsi="NewBaskerville"/>
        </w:rPr>
        <w:t xml:space="preserve">se concedieron préstamos por importe de </w:t>
      </w:r>
      <w:r w:rsidR="001202FB">
        <w:rPr>
          <w:rFonts w:ascii="NewBaskerville" w:hAnsi="NewBaskerville"/>
        </w:rPr>
        <w:t>335</w:t>
      </w:r>
      <w:r w:rsidR="0047248E" w:rsidRPr="00273586">
        <w:rPr>
          <w:rFonts w:ascii="NewBaskerville" w:hAnsi="NewBaskerville"/>
        </w:rPr>
        <w:t>.</w:t>
      </w:r>
      <w:r w:rsidR="001202FB">
        <w:rPr>
          <w:rFonts w:ascii="NewBaskerville" w:hAnsi="NewBaskerville"/>
        </w:rPr>
        <w:t>266</w:t>
      </w:r>
      <w:r w:rsidR="0047248E" w:rsidRPr="00273586">
        <w:rPr>
          <w:rFonts w:ascii="NewBaskerville" w:hAnsi="NewBaskerville"/>
        </w:rPr>
        <w:t>,</w:t>
      </w:r>
      <w:r w:rsidR="001202FB">
        <w:rPr>
          <w:rFonts w:ascii="NewBaskerville" w:hAnsi="NewBaskerville"/>
        </w:rPr>
        <w:t>78</w:t>
      </w:r>
      <w:r w:rsidR="00D358AD" w:rsidRPr="00273586">
        <w:rPr>
          <w:rFonts w:ascii="NewBaskerville" w:hAnsi="NewBaskerville"/>
        </w:rPr>
        <w:t xml:space="preserve"> </w:t>
      </w:r>
      <w:r w:rsidR="00BA6314" w:rsidRPr="00273586">
        <w:rPr>
          <w:rFonts w:ascii="NewBaskerville" w:hAnsi="NewBaskerville"/>
        </w:rPr>
        <w:t>euros</w:t>
      </w:r>
      <w:r w:rsidR="002C4355" w:rsidRPr="00273586">
        <w:rPr>
          <w:rFonts w:ascii="NewBaskerville" w:hAnsi="NewBaskerville"/>
        </w:rPr>
        <w:t xml:space="preserve"> y se traspasaron a corto plazo  </w:t>
      </w:r>
      <w:r w:rsidR="0047248E" w:rsidRPr="00273586">
        <w:rPr>
          <w:rFonts w:ascii="NewBaskerville" w:hAnsi="NewBaskerville"/>
        </w:rPr>
        <w:t>2</w:t>
      </w:r>
      <w:r w:rsidR="001202FB">
        <w:rPr>
          <w:rFonts w:ascii="NewBaskerville" w:hAnsi="NewBaskerville"/>
        </w:rPr>
        <w:t>37</w:t>
      </w:r>
      <w:r w:rsidR="0047248E" w:rsidRPr="00273586">
        <w:rPr>
          <w:rFonts w:ascii="NewBaskerville" w:hAnsi="NewBaskerville"/>
        </w:rPr>
        <w:t>.</w:t>
      </w:r>
      <w:r w:rsidR="001202FB">
        <w:rPr>
          <w:rFonts w:ascii="NewBaskerville" w:hAnsi="NewBaskerville"/>
        </w:rPr>
        <w:t>355</w:t>
      </w:r>
      <w:r w:rsidR="0047248E" w:rsidRPr="00273586">
        <w:rPr>
          <w:rFonts w:ascii="NewBaskerville" w:hAnsi="NewBaskerville"/>
        </w:rPr>
        <w:t>,</w:t>
      </w:r>
      <w:r w:rsidR="001202FB">
        <w:rPr>
          <w:rFonts w:ascii="NewBaskerville" w:hAnsi="NewBaskerville"/>
        </w:rPr>
        <w:t>75</w:t>
      </w:r>
      <w:r w:rsidR="00D358AD" w:rsidRPr="00273586">
        <w:rPr>
          <w:rFonts w:ascii="NewBaskerville" w:hAnsi="NewBaskerville"/>
        </w:rPr>
        <w:t xml:space="preserve"> </w:t>
      </w:r>
      <w:r w:rsidR="002C4355" w:rsidRPr="00273586">
        <w:rPr>
          <w:rFonts w:ascii="NewBaskerville" w:hAnsi="NewBaskerville"/>
        </w:rPr>
        <w:t>euros.</w:t>
      </w:r>
      <w:r w:rsidR="00EB094C">
        <w:rPr>
          <w:rFonts w:ascii="NewBaskerville" w:hAnsi="NewBaskerville"/>
        </w:rPr>
        <w:t xml:space="preserve"> A fecha de cierre </w:t>
      </w:r>
      <w:r w:rsidR="001202FB">
        <w:rPr>
          <w:rFonts w:ascii="NewBaskerville" w:hAnsi="NewBaskerville"/>
        </w:rPr>
        <w:t>continúa</w:t>
      </w:r>
      <w:r w:rsidR="00EB094C">
        <w:rPr>
          <w:rFonts w:ascii="NewBaskerville" w:hAnsi="NewBaskerville"/>
        </w:rPr>
        <w:t xml:space="preserve"> una corrección valorativa por importe de 9.713,29 euros, correspondiente al saldo vivo de un anticipo reintegrable (crédito al personal) de un trabajador de la Entidad fallecido, no </w:t>
      </w:r>
      <w:r w:rsidR="009B06A7">
        <w:rPr>
          <w:rFonts w:ascii="NewBaskerville" w:hAnsi="NewBaskerville"/>
        </w:rPr>
        <w:t>estando</w:t>
      </w:r>
      <w:r w:rsidR="00EB094C">
        <w:rPr>
          <w:rFonts w:ascii="NewBaskerville" w:hAnsi="NewBaskerville"/>
        </w:rPr>
        <w:t xml:space="preserve"> asegurada la amortización del crédito por dicha contingencia.   </w:t>
      </w:r>
    </w:p>
    <w:p w:rsidR="00077612" w:rsidRDefault="00077612">
      <w:pPr>
        <w:tabs>
          <w:tab w:val="right" w:pos="8364"/>
        </w:tabs>
        <w:ind w:left="142" w:firstLine="425"/>
        <w:jc w:val="both"/>
        <w:rPr>
          <w:rFonts w:ascii="NewBaskerville" w:hAnsi="NewBaskerville"/>
        </w:rPr>
      </w:pPr>
    </w:p>
    <w:p w:rsidR="00644C2C" w:rsidRDefault="00077612">
      <w:pPr>
        <w:tabs>
          <w:tab w:val="right" w:pos="8364"/>
        </w:tabs>
        <w:ind w:left="142" w:firstLine="425"/>
        <w:jc w:val="both"/>
        <w:rPr>
          <w:rFonts w:ascii="NewBaskerville" w:hAnsi="NewBaskerville"/>
        </w:rPr>
      </w:pPr>
      <w:r>
        <w:rPr>
          <w:rFonts w:ascii="NewBaskerville" w:hAnsi="NewBaskerville"/>
        </w:rPr>
        <w:t xml:space="preserve">Créditos a l/p: </w:t>
      </w:r>
      <w:r w:rsidR="00812E0C">
        <w:rPr>
          <w:rFonts w:ascii="NewBaskerville" w:hAnsi="NewBaskerville"/>
        </w:rPr>
        <w:t>C</w:t>
      </w:r>
      <w:r>
        <w:rPr>
          <w:rFonts w:ascii="NewBaskerville" w:hAnsi="NewBaskerville"/>
        </w:rPr>
        <w:t xml:space="preserve">orresponden a la asistencia financiera </w:t>
      </w:r>
      <w:r w:rsidR="00644C2C">
        <w:rPr>
          <w:rFonts w:ascii="NewBaskerville" w:hAnsi="NewBaskerville"/>
        </w:rPr>
        <w:t xml:space="preserve">para la defensa jurídica de miembros del Consejo de Administración de la APB, según </w:t>
      </w:r>
      <w:r w:rsidR="009B06A7">
        <w:rPr>
          <w:rFonts w:ascii="NewBaskerville" w:hAnsi="NewBaskerville"/>
        </w:rPr>
        <w:t xml:space="preserve">sendos </w:t>
      </w:r>
      <w:r w:rsidR="00644C2C">
        <w:rPr>
          <w:rFonts w:ascii="NewBaskerville" w:hAnsi="NewBaskerville"/>
        </w:rPr>
        <w:t>acuerdo</w:t>
      </w:r>
      <w:r w:rsidR="009B06A7">
        <w:rPr>
          <w:rFonts w:ascii="NewBaskerville" w:hAnsi="NewBaskerville"/>
        </w:rPr>
        <w:t>s</w:t>
      </w:r>
      <w:r w:rsidR="00644C2C">
        <w:rPr>
          <w:rFonts w:ascii="NewBaskerville" w:hAnsi="NewBaskerville"/>
        </w:rPr>
        <w:t xml:space="preserve"> de 27/07/2022</w:t>
      </w:r>
      <w:r w:rsidR="009B06A7">
        <w:rPr>
          <w:rFonts w:ascii="NewBaskerville" w:hAnsi="NewBaskerville"/>
        </w:rPr>
        <w:t xml:space="preserve"> y 28/06/2023</w:t>
      </w:r>
      <w:r w:rsidR="00644C2C">
        <w:rPr>
          <w:rFonts w:ascii="NewBaskerville" w:hAnsi="NewBaskerville"/>
        </w:rPr>
        <w:t xml:space="preserve">. </w:t>
      </w:r>
      <w:r w:rsidR="009B06A7">
        <w:rPr>
          <w:rFonts w:ascii="NewBaskerville" w:hAnsi="NewBaskerville"/>
        </w:rPr>
        <w:t xml:space="preserve">El </w:t>
      </w:r>
      <w:r w:rsidR="00B05F50">
        <w:rPr>
          <w:rFonts w:ascii="NewBaskerville" w:hAnsi="NewBaskerville"/>
        </w:rPr>
        <w:t>saldo acumulado de los importes concedidos a 31/12/2024 es de</w:t>
      </w:r>
      <w:r w:rsidR="00644C2C">
        <w:rPr>
          <w:rFonts w:ascii="NewBaskerville" w:hAnsi="NewBaskerville"/>
        </w:rPr>
        <w:t xml:space="preserve"> </w:t>
      </w:r>
      <w:r w:rsidR="00B05F50">
        <w:rPr>
          <w:rFonts w:ascii="NewBaskerville" w:hAnsi="NewBaskerville"/>
        </w:rPr>
        <w:t>151.570</w:t>
      </w:r>
      <w:r w:rsidR="009B06A7">
        <w:rPr>
          <w:rFonts w:ascii="NewBaskerville" w:hAnsi="NewBaskerville"/>
        </w:rPr>
        <w:t xml:space="preserve">,00 euros, </w:t>
      </w:r>
      <w:r w:rsidR="00B05F50">
        <w:rPr>
          <w:rFonts w:ascii="NewBaskerville" w:hAnsi="NewBaskerville"/>
        </w:rPr>
        <w:t xml:space="preserve">igual a 31/12/2023, no efectuándose nuevas concesiones ni devoluciones durante el </w:t>
      </w:r>
      <w:r w:rsidR="00416638">
        <w:rPr>
          <w:rFonts w:ascii="NewBaskerville" w:hAnsi="NewBaskerville"/>
        </w:rPr>
        <w:t>ejercicio</w:t>
      </w:r>
      <w:r w:rsidR="00B05F50">
        <w:rPr>
          <w:rFonts w:ascii="NewBaskerville" w:hAnsi="NewBaskerville"/>
        </w:rPr>
        <w:t xml:space="preserve"> 2024</w:t>
      </w:r>
      <w:r w:rsidR="00644C2C">
        <w:rPr>
          <w:rFonts w:ascii="NewBaskerville" w:hAnsi="NewBaskerville"/>
        </w:rPr>
        <w:t>. Dicho importe no se actualiza al no ser significativo su efecto.</w:t>
      </w:r>
    </w:p>
    <w:p w:rsidR="00644C2C" w:rsidRDefault="00644C2C">
      <w:pPr>
        <w:tabs>
          <w:tab w:val="right" w:pos="8364"/>
        </w:tabs>
        <w:ind w:left="142" w:firstLine="425"/>
        <w:jc w:val="both"/>
        <w:rPr>
          <w:rFonts w:ascii="NewBaskerville" w:hAnsi="NewBaskerville"/>
        </w:rPr>
      </w:pPr>
    </w:p>
    <w:p w:rsidR="00114C74" w:rsidRDefault="00644C2C">
      <w:pPr>
        <w:tabs>
          <w:tab w:val="right" w:pos="8364"/>
        </w:tabs>
        <w:ind w:left="142" w:firstLine="425"/>
        <w:jc w:val="both"/>
        <w:rPr>
          <w:rFonts w:ascii="NewBaskerville" w:hAnsi="NewBaskerville"/>
        </w:rPr>
      </w:pPr>
      <w:r>
        <w:rPr>
          <w:rFonts w:ascii="NewBaskerville" w:hAnsi="NewBaskerville"/>
        </w:rPr>
        <w:t>Depósitos judiciales constituidos a l/p:</w:t>
      </w:r>
      <w:r w:rsidR="00280B87">
        <w:rPr>
          <w:rFonts w:ascii="NewBaskerville" w:hAnsi="NewBaskerville"/>
        </w:rPr>
        <w:t xml:space="preserve"> </w:t>
      </w:r>
      <w:r w:rsidR="00077AF1">
        <w:rPr>
          <w:rFonts w:ascii="NewBaskerville" w:hAnsi="NewBaskerville"/>
        </w:rPr>
        <w:t>A 31/12/2023 e</w:t>
      </w:r>
      <w:r w:rsidR="00280B87">
        <w:rPr>
          <w:rFonts w:ascii="NewBaskerville" w:hAnsi="NewBaskerville"/>
        </w:rPr>
        <w:t xml:space="preserve">l importe </w:t>
      </w:r>
      <w:r w:rsidR="00077AF1">
        <w:rPr>
          <w:rFonts w:ascii="NewBaskerville" w:hAnsi="NewBaskerville"/>
        </w:rPr>
        <w:t>ascendía a</w:t>
      </w:r>
      <w:r w:rsidR="00280B87">
        <w:rPr>
          <w:rFonts w:ascii="NewBaskerville" w:hAnsi="NewBaskerville"/>
        </w:rPr>
        <w:t xml:space="preserve"> 1.244.438,00 euros</w:t>
      </w:r>
      <w:r>
        <w:rPr>
          <w:rFonts w:ascii="NewBaskerville" w:hAnsi="NewBaskerville"/>
        </w:rPr>
        <w:t xml:space="preserve"> </w:t>
      </w:r>
      <w:r w:rsidR="00077AF1">
        <w:rPr>
          <w:rFonts w:ascii="NewBaskerville" w:hAnsi="NewBaskerville"/>
        </w:rPr>
        <w:t xml:space="preserve">que </w:t>
      </w:r>
      <w:r w:rsidR="00280B87">
        <w:rPr>
          <w:rFonts w:ascii="NewBaskerville" w:hAnsi="NewBaskerville"/>
        </w:rPr>
        <w:t>s</w:t>
      </w:r>
      <w:r w:rsidR="00077AF1">
        <w:rPr>
          <w:rFonts w:ascii="NewBaskerville" w:hAnsi="NewBaskerville"/>
        </w:rPr>
        <w:t>e correspondía</w:t>
      </w:r>
      <w:r w:rsidR="009B06A7">
        <w:rPr>
          <w:rFonts w:ascii="NewBaskerville" w:hAnsi="NewBaskerville"/>
        </w:rPr>
        <w:t xml:space="preserve"> a la consignación efectuada en el ejercicio 2022</w:t>
      </w:r>
      <w:r>
        <w:rPr>
          <w:rFonts w:ascii="NewBaskerville" w:hAnsi="NewBaskerville"/>
        </w:rPr>
        <w:t xml:space="preserve"> </w:t>
      </w:r>
      <w:r w:rsidR="009B06A7">
        <w:rPr>
          <w:rFonts w:ascii="NewBaskerville" w:hAnsi="NewBaskerville"/>
        </w:rPr>
        <w:t>ante</w:t>
      </w:r>
      <w:r>
        <w:rPr>
          <w:rFonts w:ascii="NewBaskerville" w:hAnsi="NewBaskerville"/>
        </w:rPr>
        <w:t xml:space="preserve"> el Juzgado de Primera Instancia nº 18 de Palma de Mallorca </w:t>
      </w:r>
      <w:r w:rsidR="009B06A7">
        <w:rPr>
          <w:rFonts w:ascii="NewBaskerville" w:hAnsi="NewBaskerville"/>
        </w:rPr>
        <w:t>por</w:t>
      </w:r>
      <w:r>
        <w:rPr>
          <w:rFonts w:ascii="NewBaskerville" w:hAnsi="NewBaskerville"/>
        </w:rPr>
        <w:t xml:space="preserve"> la ejecución provisional </w:t>
      </w:r>
      <w:r w:rsidR="004C0EC1">
        <w:rPr>
          <w:rFonts w:ascii="NewBaskerville" w:hAnsi="NewBaskerville"/>
        </w:rPr>
        <w:t xml:space="preserve">260/2022 de la demanda de presentada por la UTE ATRAQUES GRANDES BUQUES. </w:t>
      </w:r>
      <w:r w:rsidR="00077AF1">
        <w:rPr>
          <w:rFonts w:ascii="NewBaskerville" w:hAnsi="NewBaskerville"/>
        </w:rPr>
        <w:t>En el ejercicio 2024 se han consignado:</w:t>
      </w:r>
    </w:p>
    <w:p w:rsidR="00077AF1" w:rsidRDefault="00077AF1" w:rsidP="00077AF1">
      <w:pPr>
        <w:pStyle w:val="Prrafodelista"/>
        <w:numPr>
          <w:ilvl w:val="0"/>
          <w:numId w:val="6"/>
        </w:numPr>
        <w:tabs>
          <w:tab w:val="right" w:pos="8364"/>
        </w:tabs>
        <w:jc w:val="both"/>
        <w:rPr>
          <w:rFonts w:ascii="NewBaskerville" w:hAnsi="NewBaskerville"/>
        </w:rPr>
      </w:pPr>
      <w:r>
        <w:rPr>
          <w:rFonts w:ascii="NewBaskerville" w:hAnsi="NewBaskerville"/>
        </w:rPr>
        <w:t>Ante el Tribunal de Justicia de las Illes Balears Sala de lo Contencioso Administrativo por la ejecución de la sentencia 789/2023 del recurso presentado por la COMPAÑÍA LOGÍSTICA DE CARBUROS, S.A. la cantidad de 1.366.373,54 euros.</w:t>
      </w:r>
    </w:p>
    <w:p w:rsidR="00114C74" w:rsidRPr="00114C74" w:rsidRDefault="00077AF1" w:rsidP="00114C74">
      <w:pPr>
        <w:pStyle w:val="Prrafodelista"/>
        <w:numPr>
          <w:ilvl w:val="0"/>
          <w:numId w:val="6"/>
        </w:numPr>
        <w:tabs>
          <w:tab w:val="right" w:pos="8364"/>
        </w:tabs>
        <w:jc w:val="both"/>
        <w:rPr>
          <w:rFonts w:ascii="NewBaskerville" w:hAnsi="NewBaskerville"/>
        </w:rPr>
      </w:pPr>
      <w:r w:rsidRPr="00114C74">
        <w:rPr>
          <w:rFonts w:ascii="NewBaskerville" w:hAnsi="NewBaskerville"/>
        </w:rPr>
        <w:t xml:space="preserve">Ante el Juzgado de Primera Instancia nº 18 de Palma de Mallorca por la pieza de liquidación de intereses de la ejecución provisional 260/2022 de la demanda presentada por la </w:t>
      </w:r>
      <w:r w:rsidR="00776709" w:rsidRPr="00114C74">
        <w:rPr>
          <w:rFonts w:ascii="NewBaskerville" w:hAnsi="NewBaskerville"/>
        </w:rPr>
        <w:t>UTE ATRAQUES GRANDES BUQUES la cantidad de 21.350,22 euros.</w:t>
      </w:r>
    </w:p>
    <w:p w:rsidR="00776709" w:rsidRDefault="00776709" w:rsidP="00776709">
      <w:pPr>
        <w:tabs>
          <w:tab w:val="right" w:pos="8364"/>
        </w:tabs>
        <w:ind w:firstLine="567"/>
        <w:jc w:val="both"/>
        <w:rPr>
          <w:rFonts w:ascii="NewBaskerville" w:hAnsi="NewBaskerville"/>
        </w:rPr>
      </w:pPr>
      <w:r>
        <w:rPr>
          <w:rFonts w:ascii="NewBaskerville" w:hAnsi="NewBaskerville"/>
        </w:rPr>
        <w:t xml:space="preserve">Dichos importes </w:t>
      </w:r>
      <w:r w:rsidR="00606360">
        <w:rPr>
          <w:rFonts w:ascii="NewBaskerville" w:hAnsi="NewBaskerville"/>
        </w:rPr>
        <w:t>se registraron</w:t>
      </w:r>
      <w:r>
        <w:rPr>
          <w:rFonts w:ascii="NewBaskerville" w:hAnsi="NewBaskerville"/>
        </w:rPr>
        <w:t xml:space="preserve"> por su valor nominal.</w:t>
      </w:r>
    </w:p>
    <w:p w:rsidR="00114C74" w:rsidRDefault="00114C74" w:rsidP="00776709">
      <w:pPr>
        <w:tabs>
          <w:tab w:val="right" w:pos="8364"/>
        </w:tabs>
        <w:ind w:firstLine="567"/>
        <w:jc w:val="both"/>
        <w:rPr>
          <w:rFonts w:ascii="NewBaskerville" w:hAnsi="NewBaskerville"/>
        </w:rPr>
      </w:pPr>
    </w:p>
    <w:p w:rsidR="00776709" w:rsidRDefault="00776709" w:rsidP="00776709">
      <w:pPr>
        <w:tabs>
          <w:tab w:val="right" w:pos="8364"/>
        </w:tabs>
        <w:ind w:firstLine="567"/>
        <w:jc w:val="both"/>
        <w:rPr>
          <w:rFonts w:ascii="NewBaskerville" w:hAnsi="NewBaskerville"/>
        </w:rPr>
      </w:pPr>
      <w:r>
        <w:rPr>
          <w:rFonts w:ascii="NewBaskerville" w:hAnsi="NewBaskerville"/>
        </w:rPr>
        <w:t xml:space="preserve">En el ejercicio 2024 se ha declarado la firmeza de estas sentencias y liquidaciones, cancelándose los depósitos y anotándose su pérdida al tenerse como cantidades abonadas en su ejecución. </w:t>
      </w:r>
      <w:r w:rsidR="004E3E8F">
        <w:rPr>
          <w:rFonts w:ascii="NewBaskerville" w:hAnsi="NewBaskerville"/>
        </w:rPr>
        <w:t>Todas estas cantidades estaban reconocidas en sendas provisiones por responsabilidades, aplicándose a ellas las pérdidas de los depósitos constituidos.</w:t>
      </w:r>
    </w:p>
    <w:p w:rsidR="00830179" w:rsidRPr="00CF32FF" w:rsidRDefault="00644C2C" w:rsidP="004E3E8F">
      <w:pPr>
        <w:tabs>
          <w:tab w:val="right" w:pos="8364"/>
        </w:tabs>
        <w:jc w:val="both"/>
      </w:pPr>
      <w:r w:rsidRPr="00776709">
        <w:rPr>
          <w:rFonts w:ascii="NewBaskerville" w:hAnsi="NewBaskerville"/>
        </w:rPr>
        <w:t xml:space="preserve">  </w:t>
      </w:r>
      <w:r w:rsidR="00077612" w:rsidRPr="00776709">
        <w:rPr>
          <w:rFonts w:ascii="NewBaskerville" w:hAnsi="NewBaskerville"/>
        </w:rPr>
        <w:t xml:space="preserve"> </w:t>
      </w:r>
    </w:p>
    <w:p w:rsidR="007B1941" w:rsidRDefault="007B1941" w:rsidP="007B1941">
      <w:pPr>
        <w:tabs>
          <w:tab w:val="right" w:pos="8364"/>
        </w:tabs>
        <w:ind w:left="142" w:firstLine="425"/>
        <w:jc w:val="both"/>
        <w:rPr>
          <w:rFonts w:ascii="NewBaskerville" w:hAnsi="NewBaskerville"/>
        </w:rPr>
      </w:pPr>
      <w:r w:rsidRPr="00DE41A1">
        <w:rPr>
          <w:rFonts w:ascii="NewBaskerville" w:hAnsi="NewBaskerville"/>
        </w:rPr>
        <w:t xml:space="preserve">Los saldos registrados en el epígrafe de </w:t>
      </w:r>
      <w:r w:rsidRPr="00DE41A1">
        <w:rPr>
          <w:rFonts w:ascii="NewBaskerville" w:hAnsi="NewBaskerville"/>
          <w:b/>
        </w:rPr>
        <w:t>“Deudores comerciales y otras cuentas a cobrar</w:t>
      </w:r>
      <w:r w:rsidRPr="00DE41A1">
        <w:rPr>
          <w:rFonts w:ascii="NewBaskerville" w:hAnsi="NewBaskerville"/>
        </w:rPr>
        <w:t>” corresponden a partidas a cobrar originadas por operaciones comerciales</w:t>
      </w:r>
      <w:r w:rsidR="00DE41A1">
        <w:rPr>
          <w:rFonts w:ascii="NewBaskerville" w:hAnsi="NewBaskerville"/>
        </w:rPr>
        <w:t>, y no comerciales,</w:t>
      </w:r>
      <w:r w:rsidRPr="00DE41A1">
        <w:rPr>
          <w:rFonts w:ascii="NewBaskerville" w:hAnsi="NewBaskerville"/>
        </w:rPr>
        <w:t xml:space="preserve"> pendientes de cobro.</w:t>
      </w:r>
      <w:r w:rsidR="009F7ED9">
        <w:rPr>
          <w:rFonts w:ascii="NewBaskerville" w:hAnsi="NewBaskerville"/>
        </w:rPr>
        <w:t xml:space="preserve"> Correspondiéndose a activos financieros a corto plazo:</w:t>
      </w:r>
    </w:p>
    <w:p w:rsidR="004172A5" w:rsidRPr="00DE41A1" w:rsidRDefault="004172A5" w:rsidP="007B1941">
      <w:pPr>
        <w:tabs>
          <w:tab w:val="right" w:pos="8364"/>
        </w:tabs>
        <w:ind w:left="142" w:firstLine="425"/>
        <w:jc w:val="both"/>
        <w:rPr>
          <w:rFonts w:ascii="NewBaskerville" w:hAnsi="NewBaskerville"/>
        </w:rPr>
      </w:pPr>
    </w:p>
    <w:tbl>
      <w:tblPr>
        <w:tblW w:w="6620" w:type="dxa"/>
        <w:tblInd w:w="70" w:type="dxa"/>
        <w:tblCellMar>
          <w:left w:w="70" w:type="dxa"/>
          <w:right w:w="70" w:type="dxa"/>
        </w:tblCellMar>
        <w:tblLook w:val="04A0" w:firstRow="1" w:lastRow="0" w:firstColumn="1" w:lastColumn="0" w:noHBand="0" w:noVBand="1"/>
      </w:tblPr>
      <w:tblGrid>
        <w:gridCol w:w="4060"/>
        <w:gridCol w:w="1300"/>
        <w:gridCol w:w="1260"/>
      </w:tblGrid>
      <w:tr w:rsidR="00EA7B71" w:rsidRPr="00EA7B71" w:rsidTr="00EA7B71">
        <w:trPr>
          <w:trHeight w:val="300"/>
        </w:trPr>
        <w:tc>
          <w:tcPr>
            <w:tcW w:w="4060" w:type="dxa"/>
            <w:tcBorders>
              <w:top w:val="nil"/>
              <w:left w:val="nil"/>
              <w:bottom w:val="nil"/>
              <w:right w:val="nil"/>
            </w:tcBorders>
            <w:shd w:val="clear" w:color="auto" w:fill="auto"/>
            <w:noWrap/>
            <w:vAlign w:val="bottom"/>
            <w:hideMark/>
          </w:tcPr>
          <w:p w:rsidR="00EA7B71" w:rsidRPr="00EA7B71" w:rsidRDefault="00EA7B71" w:rsidP="00EA7B71">
            <w:pPr>
              <w:rPr>
                <w:rFonts w:ascii="Calibri" w:hAnsi="Calibri" w:cs="Calibri"/>
                <w:color w:val="000000"/>
                <w:sz w:val="22"/>
                <w:szCs w:val="22"/>
                <w:lang w:val="es-ES"/>
              </w:rPr>
            </w:pPr>
          </w:p>
        </w:tc>
        <w:tc>
          <w:tcPr>
            <w:tcW w:w="13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A7B71" w:rsidRPr="00EA7B71" w:rsidRDefault="00EA7B71" w:rsidP="00EA7B71">
            <w:pPr>
              <w:jc w:val="center"/>
              <w:rPr>
                <w:rFonts w:ascii="Lucida Bright" w:hAnsi="Lucida Bright" w:cs="Calibri"/>
                <w:b/>
                <w:bCs/>
                <w:color w:val="000000"/>
                <w:sz w:val="14"/>
                <w:szCs w:val="14"/>
                <w:lang w:val="es-ES"/>
              </w:rPr>
            </w:pPr>
            <w:r w:rsidRPr="00EA7B71">
              <w:rPr>
                <w:rFonts w:ascii="Lucida Bright" w:hAnsi="Lucida Bright" w:cs="Calibri"/>
                <w:b/>
                <w:bCs/>
                <w:color w:val="000000"/>
                <w:sz w:val="14"/>
                <w:szCs w:val="14"/>
                <w:lang w:val="es-ES"/>
              </w:rPr>
              <w:t>2024</w:t>
            </w:r>
          </w:p>
        </w:tc>
        <w:tc>
          <w:tcPr>
            <w:tcW w:w="1260" w:type="dxa"/>
            <w:tcBorders>
              <w:top w:val="single" w:sz="4" w:space="0" w:color="auto"/>
              <w:left w:val="nil"/>
              <w:bottom w:val="single" w:sz="4" w:space="0" w:color="auto"/>
              <w:right w:val="single" w:sz="4" w:space="0" w:color="auto"/>
            </w:tcBorders>
            <w:shd w:val="clear" w:color="000000" w:fill="CCFFCC"/>
            <w:noWrap/>
            <w:vAlign w:val="center"/>
            <w:hideMark/>
          </w:tcPr>
          <w:p w:rsidR="00EA7B71" w:rsidRPr="00EA7B71" w:rsidRDefault="00EA7B71" w:rsidP="00EA7B71">
            <w:pPr>
              <w:jc w:val="center"/>
              <w:rPr>
                <w:rFonts w:ascii="Lucida Bright" w:hAnsi="Lucida Bright" w:cs="Calibri"/>
                <w:b/>
                <w:bCs/>
                <w:color w:val="000000"/>
                <w:sz w:val="14"/>
                <w:szCs w:val="14"/>
                <w:lang w:val="es-ES"/>
              </w:rPr>
            </w:pPr>
            <w:r w:rsidRPr="00EA7B71">
              <w:rPr>
                <w:rFonts w:ascii="Lucida Bright" w:hAnsi="Lucida Bright" w:cs="Calibri"/>
                <w:b/>
                <w:bCs/>
                <w:color w:val="000000"/>
                <w:sz w:val="14"/>
                <w:szCs w:val="14"/>
                <w:lang w:val="es-ES"/>
              </w:rPr>
              <w:t>2023</w:t>
            </w:r>
          </w:p>
        </w:tc>
      </w:tr>
      <w:tr w:rsidR="00EA7B71" w:rsidRPr="00EA7B71" w:rsidTr="00EA7B71">
        <w:trPr>
          <w:trHeight w:val="300"/>
        </w:trPr>
        <w:tc>
          <w:tcPr>
            <w:tcW w:w="4060"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A7B71" w:rsidRPr="00EA7B71" w:rsidRDefault="00EA7B71" w:rsidP="00EA7B71">
            <w:pPr>
              <w:rPr>
                <w:rFonts w:ascii="Lucida Bright" w:hAnsi="Lucida Bright" w:cs="Calibri"/>
                <w:b/>
                <w:bCs/>
                <w:sz w:val="14"/>
                <w:szCs w:val="14"/>
                <w:lang w:val="es-ES"/>
              </w:rPr>
            </w:pPr>
            <w:r w:rsidRPr="00EA7B71">
              <w:rPr>
                <w:rFonts w:ascii="Lucida Bright" w:hAnsi="Lucida Bright" w:cs="Calibri"/>
                <w:b/>
                <w:bCs/>
                <w:sz w:val="14"/>
                <w:szCs w:val="14"/>
                <w:lang w:val="es-ES"/>
              </w:rPr>
              <w:t>III. Deudores comerciales y otras cuentas a cobrar</w:t>
            </w:r>
          </w:p>
        </w:tc>
        <w:tc>
          <w:tcPr>
            <w:tcW w:w="1300" w:type="dxa"/>
            <w:tcBorders>
              <w:top w:val="nil"/>
              <w:left w:val="nil"/>
              <w:bottom w:val="single" w:sz="4" w:space="0" w:color="auto"/>
              <w:right w:val="single" w:sz="4" w:space="0" w:color="auto"/>
            </w:tcBorders>
            <w:shd w:val="clear" w:color="000000" w:fill="CCFFCC"/>
            <w:noWrap/>
            <w:vAlign w:val="bottom"/>
            <w:hideMark/>
          </w:tcPr>
          <w:p w:rsidR="00EA7B71" w:rsidRPr="00EA7B71" w:rsidRDefault="00EA7B71" w:rsidP="00EA7B71">
            <w:pPr>
              <w:jc w:val="right"/>
              <w:rPr>
                <w:rFonts w:ascii="Lucida Bright" w:hAnsi="Lucida Bright" w:cs="Calibri"/>
                <w:b/>
                <w:bCs/>
                <w:sz w:val="14"/>
                <w:szCs w:val="14"/>
                <w:lang w:val="es-ES"/>
              </w:rPr>
            </w:pPr>
            <w:r w:rsidRPr="00EA7B71">
              <w:rPr>
                <w:rFonts w:ascii="Lucida Bright" w:hAnsi="Lucida Bright" w:cs="Calibri"/>
                <w:b/>
                <w:bCs/>
                <w:sz w:val="14"/>
                <w:szCs w:val="14"/>
                <w:lang w:val="es-ES"/>
              </w:rPr>
              <w:t xml:space="preserve">12.657.339,87 </w:t>
            </w:r>
          </w:p>
        </w:tc>
        <w:tc>
          <w:tcPr>
            <w:tcW w:w="1260" w:type="dxa"/>
            <w:tcBorders>
              <w:top w:val="nil"/>
              <w:left w:val="nil"/>
              <w:bottom w:val="single" w:sz="4" w:space="0" w:color="auto"/>
              <w:right w:val="single" w:sz="4" w:space="0" w:color="auto"/>
            </w:tcBorders>
            <w:shd w:val="clear" w:color="000000" w:fill="CCFFCC"/>
            <w:noWrap/>
            <w:vAlign w:val="bottom"/>
            <w:hideMark/>
          </w:tcPr>
          <w:p w:rsidR="00EA7B71" w:rsidRPr="00EA7B71" w:rsidRDefault="00EA7B71" w:rsidP="00EA7B71">
            <w:pPr>
              <w:jc w:val="right"/>
              <w:rPr>
                <w:rFonts w:ascii="Lucida Bright" w:hAnsi="Lucida Bright" w:cs="Calibri"/>
                <w:b/>
                <w:bCs/>
                <w:sz w:val="14"/>
                <w:szCs w:val="14"/>
                <w:lang w:val="es-ES"/>
              </w:rPr>
            </w:pPr>
            <w:r w:rsidRPr="00EA7B71">
              <w:rPr>
                <w:rFonts w:ascii="Lucida Bright" w:hAnsi="Lucida Bright" w:cs="Calibri"/>
                <w:b/>
                <w:bCs/>
                <w:sz w:val="14"/>
                <w:szCs w:val="14"/>
                <w:lang w:val="es-ES"/>
              </w:rPr>
              <w:t xml:space="preserve">16.036.203,30 </w:t>
            </w:r>
          </w:p>
        </w:tc>
      </w:tr>
      <w:tr w:rsidR="00EA7B71" w:rsidRPr="00EA7B71" w:rsidTr="00EA7B71">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center"/>
            <w:hideMark/>
          </w:tcPr>
          <w:p w:rsidR="00EA7B71" w:rsidRPr="00EA7B71" w:rsidRDefault="00EA7B71" w:rsidP="00EA7B71">
            <w:pPr>
              <w:rPr>
                <w:rFonts w:ascii="Lucida Bright" w:hAnsi="Lucida Bright" w:cs="Calibri"/>
                <w:b/>
                <w:bCs/>
                <w:sz w:val="14"/>
                <w:szCs w:val="14"/>
                <w:lang w:val="es-ES"/>
              </w:rPr>
            </w:pPr>
            <w:r w:rsidRPr="00EA7B71">
              <w:rPr>
                <w:rFonts w:ascii="Lucida Bright" w:hAnsi="Lucida Bright" w:cs="Calibri"/>
                <w:b/>
                <w:bCs/>
                <w:sz w:val="14"/>
                <w:szCs w:val="14"/>
                <w:lang w:val="es-ES"/>
              </w:rPr>
              <w:t>1. Clientes por ventas y prestaciones de servicios</w:t>
            </w:r>
          </w:p>
        </w:tc>
        <w:tc>
          <w:tcPr>
            <w:tcW w:w="130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jc w:val="right"/>
              <w:rPr>
                <w:rFonts w:ascii="Lucida Bright" w:hAnsi="Lucida Bright" w:cs="Calibri"/>
                <w:b/>
                <w:bCs/>
                <w:sz w:val="14"/>
                <w:szCs w:val="14"/>
                <w:lang w:val="es-ES"/>
              </w:rPr>
            </w:pPr>
            <w:r w:rsidRPr="00EA7B71">
              <w:rPr>
                <w:rFonts w:ascii="Lucida Bright" w:hAnsi="Lucida Bright" w:cs="Calibri"/>
                <w:b/>
                <w:bCs/>
                <w:sz w:val="14"/>
                <w:szCs w:val="14"/>
                <w:lang w:val="es-ES"/>
              </w:rPr>
              <w:t xml:space="preserve">12.016.438,19 </w:t>
            </w:r>
          </w:p>
        </w:tc>
        <w:tc>
          <w:tcPr>
            <w:tcW w:w="126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jc w:val="right"/>
              <w:rPr>
                <w:rFonts w:ascii="Lucida Bright" w:hAnsi="Lucida Bright" w:cs="Calibri"/>
                <w:b/>
                <w:bCs/>
                <w:sz w:val="14"/>
                <w:szCs w:val="14"/>
                <w:lang w:val="es-ES"/>
              </w:rPr>
            </w:pPr>
            <w:r w:rsidRPr="00EA7B71">
              <w:rPr>
                <w:rFonts w:ascii="Lucida Bright" w:hAnsi="Lucida Bright" w:cs="Calibri"/>
                <w:b/>
                <w:bCs/>
                <w:sz w:val="14"/>
                <w:szCs w:val="14"/>
                <w:lang w:val="es-ES"/>
              </w:rPr>
              <w:t xml:space="preserve">15.713.146,85 </w:t>
            </w:r>
          </w:p>
        </w:tc>
      </w:tr>
      <w:tr w:rsidR="00EA7B71" w:rsidRPr="00EA7B71" w:rsidTr="00EA7B71">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EA7B71" w:rsidRPr="00EA7B71" w:rsidRDefault="00EA7B71" w:rsidP="00EA7B71">
            <w:pPr>
              <w:rPr>
                <w:rFonts w:ascii="Lucida Bright" w:hAnsi="Lucida Bright" w:cs="Calibri"/>
                <w:sz w:val="14"/>
                <w:szCs w:val="14"/>
                <w:lang w:val="es-ES"/>
              </w:rPr>
            </w:pPr>
            <w:r w:rsidRPr="00EA7B71">
              <w:rPr>
                <w:rFonts w:ascii="Lucida Bright" w:hAnsi="Lucida Bright" w:cs="Calibri"/>
                <w:sz w:val="14"/>
                <w:szCs w:val="14"/>
                <w:lang w:val="es-ES"/>
              </w:rPr>
              <w:t>Clientes</w:t>
            </w:r>
          </w:p>
        </w:tc>
        <w:tc>
          <w:tcPr>
            <w:tcW w:w="130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jc w:val="right"/>
              <w:rPr>
                <w:rFonts w:ascii="Lucida Bright" w:hAnsi="Lucida Bright" w:cs="Calibri"/>
                <w:sz w:val="14"/>
                <w:szCs w:val="14"/>
                <w:lang w:val="es-ES"/>
              </w:rPr>
            </w:pPr>
            <w:r w:rsidRPr="00EA7B71">
              <w:rPr>
                <w:rFonts w:ascii="Lucida Bright" w:hAnsi="Lucida Bright" w:cs="Calibri"/>
                <w:sz w:val="14"/>
                <w:szCs w:val="14"/>
                <w:lang w:val="es-ES"/>
              </w:rPr>
              <w:t xml:space="preserve">12.881.643,09 </w:t>
            </w:r>
          </w:p>
        </w:tc>
        <w:tc>
          <w:tcPr>
            <w:tcW w:w="126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jc w:val="right"/>
              <w:rPr>
                <w:rFonts w:ascii="Lucida Bright" w:hAnsi="Lucida Bright" w:cs="Calibri"/>
                <w:sz w:val="14"/>
                <w:szCs w:val="14"/>
                <w:lang w:val="es-ES"/>
              </w:rPr>
            </w:pPr>
            <w:r w:rsidRPr="00EA7B71">
              <w:rPr>
                <w:rFonts w:ascii="Lucida Bright" w:hAnsi="Lucida Bright" w:cs="Calibri"/>
                <w:sz w:val="14"/>
                <w:szCs w:val="14"/>
                <w:lang w:val="es-ES"/>
              </w:rPr>
              <w:t xml:space="preserve">16.715.453,88 </w:t>
            </w:r>
          </w:p>
        </w:tc>
      </w:tr>
      <w:tr w:rsidR="00EA7B71" w:rsidRPr="00EA7B71" w:rsidTr="00EA7B71">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EA7B71" w:rsidRPr="00EA7B71" w:rsidRDefault="00EA7B71" w:rsidP="00EA7B71">
            <w:pPr>
              <w:rPr>
                <w:rFonts w:ascii="Lucida Bright" w:hAnsi="Lucida Bright" w:cs="Calibri"/>
                <w:sz w:val="14"/>
                <w:szCs w:val="14"/>
                <w:lang w:val="es-ES"/>
              </w:rPr>
            </w:pPr>
            <w:r w:rsidRPr="00EA7B71">
              <w:rPr>
                <w:rFonts w:ascii="Lucida Bright" w:hAnsi="Lucida Bright" w:cs="Calibri"/>
                <w:sz w:val="14"/>
                <w:szCs w:val="14"/>
                <w:lang w:val="es-ES"/>
              </w:rPr>
              <w:t>Deterioro de valor</w:t>
            </w:r>
          </w:p>
        </w:tc>
        <w:tc>
          <w:tcPr>
            <w:tcW w:w="130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jc w:val="right"/>
              <w:rPr>
                <w:rFonts w:ascii="Lucida Bright" w:hAnsi="Lucida Bright" w:cs="Calibri"/>
                <w:sz w:val="14"/>
                <w:szCs w:val="14"/>
                <w:lang w:val="es-ES"/>
              </w:rPr>
            </w:pPr>
            <w:r w:rsidRPr="00EA7B71">
              <w:rPr>
                <w:rFonts w:ascii="Lucida Bright" w:hAnsi="Lucida Bright" w:cs="Calibri"/>
                <w:sz w:val="14"/>
                <w:szCs w:val="14"/>
                <w:lang w:val="es-ES"/>
              </w:rPr>
              <w:t xml:space="preserve">(865.204,90) </w:t>
            </w:r>
          </w:p>
        </w:tc>
        <w:tc>
          <w:tcPr>
            <w:tcW w:w="126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jc w:val="right"/>
              <w:rPr>
                <w:rFonts w:ascii="Lucida Bright" w:hAnsi="Lucida Bright" w:cs="Calibri"/>
                <w:sz w:val="14"/>
                <w:szCs w:val="14"/>
                <w:lang w:val="es-ES"/>
              </w:rPr>
            </w:pPr>
            <w:r w:rsidRPr="00EA7B71">
              <w:rPr>
                <w:rFonts w:ascii="Lucida Bright" w:hAnsi="Lucida Bright" w:cs="Calibri"/>
                <w:sz w:val="14"/>
                <w:szCs w:val="14"/>
                <w:lang w:val="es-ES"/>
              </w:rPr>
              <w:t xml:space="preserve">(1.002.307,03) </w:t>
            </w:r>
          </w:p>
        </w:tc>
      </w:tr>
      <w:tr w:rsidR="00EA7B71" w:rsidRPr="00EA7B71" w:rsidTr="00EA7B71">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center"/>
            <w:hideMark/>
          </w:tcPr>
          <w:p w:rsidR="00EA7B71" w:rsidRPr="00EA7B71" w:rsidRDefault="00EA7B71" w:rsidP="00EA7B71">
            <w:pPr>
              <w:rPr>
                <w:rFonts w:ascii="Lucida Bright" w:hAnsi="Lucida Bright" w:cs="Calibri"/>
                <w:b/>
                <w:bCs/>
                <w:sz w:val="14"/>
                <w:szCs w:val="14"/>
                <w:lang w:val="es-ES"/>
              </w:rPr>
            </w:pPr>
            <w:r w:rsidRPr="00EA7B71">
              <w:rPr>
                <w:rFonts w:ascii="Lucida Bright" w:hAnsi="Lucida Bright" w:cs="Calibri"/>
                <w:b/>
                <w:bCs/>
                <w:sz w:val="14"/>
                <w:szCs w:val="14"/>
                <w:lang w:val="es-ES"/>
              </w:rPr>
              <w:t>2. Clientes y deudores, empr. del grupo y asociadas</w:t>
            </w:r>
          </w:p>
        </w:tc>
        <w:tc>
          <w:tcPr>
            <w:tcW w:w="130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jc w:val="right"/>
              <w:rPr>
                <w:rFonts w:ascii="Lucida Bright" w:hAnsi="Lucida Bright" w:cs="Calibri"/>
                <w:b/>
                <w:bCs/>
                <w:sz w:val="14"/>
                <w:szCs w:val="14"/>
                <w:lang w:val="es-ES"/>
              </w:rPr>
            </w:pPr>
            <w:r w:rsidRPr="00EA7B71">
              <w:rPr>
                <w:rFonts w:ascii="Lucida Bright" w:hAnsi="Lucida Bright" w:cs="Calibri"/>
                <w:b/>
                <w:bCs/>
                <w:sz w:val="14"/>
                <w:szCs w:val="14"/>
                <w:lang w:val="es-ES"/>
              </w:rPr>
              <w:t xml:space="preserve">- </w:t>
            </w:r>
          </w:p>
        </w:tc>
        <w:tc>
          <w:tcPr>
            <w:tcW w:w="126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jc w:val="right"/>
              <w:rPr>
                <w:rFonts w:ascii="Lucida Bright" w:hAnsi="Lucida Bright" w:cs="Calibri"/>
                <w:b/>
                <w:bCs/>
                <w:sz w:val="14"/>
                <w:szCs w:val="14"/>
                <w:lang w:val="es-ES"/>
              </w:rPr>
            </w:pPr>
            <w:r w:rsidRPr="00EA7B71">
              <w:rPr>
                <w:rFonts w:ascii="Lucida Bright" w:hAnsi="Lucida Bright" w:cs="Calibri"/>
                <w:b/>
                <w:bCs/>
                <w:sz w:val="14"/>
                <w:szCs w:val="14"/>
                <w:lang w:val="es-ES"/>
              </w:rPr>
              <w:t xml:space="preserve">- </w:t>
            </w:r>
          </w:p>
        </w:tc>
      </w:tr>
      <w:tr w:rsidR="00EA7B71" w:rsidRPr="00EA7B71" w:rsidTr="00EA7B71">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EA7B71" w:rsidRPr="00EA7B71" w:rsidRDefault="00EA7B71" w:rsidP="00EA7B71">
            <w:pPr>
              <w:rPr>
                <w:rFonts w:ascii="Lucida Bright" w:hAnsi="Lucida Bright" w:cs="Calibri"/>
                <w:sz w:val="14"/>
                <w:szCs w:val="14"/>
                <w:lang w:val="es-ES"/>
              </w:rPr>
            </w:pPr>
            <w:r w:rsidRPr="00EA7B71">
              <w:rPr>
                <w:rFonts w:ascii="Lucida Bright" w:hAnsi="Lucida Bright" w:cs="Calibri"/>
                <w:sz w:val="14"/>
                <w:szCs w:val="14"/>
                <w:lang w:val="es-ES"/>
              </w:rPr>
              <w:t>OPPE - deudor principales e intereses litigios tarifarios</w:t>
            </w:r>
          </w:p>
        </w:tc>
        <w:tc>
          <w:tcPr>
            <w:tcW w:w="130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rPr>
                <w:rFonts w:ascii="Lucida Bright" w:hAnsi="Lucida Bright" w:cs="Calibri"/>
                <w:sz w:val="14"/>
                <w:szCs w:val="14"/>
                <w:lang w:val="es-ES"/>
              </w:rPr>
            </w:pPr>
            <w:r w:rsidRPr="00EA7B71">
              <w:rPr>
                <w:rFonts w:ascii="Lucida Bright" w:hAnsi="Lucida Bright" w:cs="Calibri"/>
                <w:sz w:val="14"/>
                <w:szCs w:val="14"/>
                <w:lang w:val="es-ES"/>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rPr>
                <w:rFonts w:ascii="Lucida Bright" w:hAnsi="Lucida Bright" w:cs="Calibri"/>
                <w:sz w:val="14"/>
                <w:szCs w:val="14"/>
                <w:lang w:val="es-ES"/>
              </w:rPr>
            </w:pPr>
            <w:r w:rsidRPr="00EA7B71">
              <w:rPr>
                <w:rFonts w:ascii="Lucida Bright" w:hAnsi="Lucida Bright" w:cs="Calibri"/>
                <w:sz w:val="14"/>
                <w:szCs w:val="14"/>
                <w:lang w:val="es-ES"/>
              </w:rPr>
              <w:t> </w:t>
            </w:r>
          </w:p>
        </w:tc>
      </w:tr>
      <w:tr w:rsidR="00EA7B71" w:rsidRPr="00EA7B71" w:rsidTr="00EA7B71">
        <w:trPr>
          <w:trHeight w:val="300"/>
        </w:trPr>
        <w:tc>
          <w:tcPr>
            <w:tcW w:w="4060" w:type="dxa"/>
            <w:tcBorders>
              <w:top w:val="nil"/>
              <w:left w:val="single" w:sz="4" w:space="0" w:color="auto"/>
              <w:bottom w:val="single" w:sz="4" w:space="0" w:color="auto"/>
              <w:right w:val="single" w:sz="4" w:space="0" w:color="auto"/>
            </w:tcBorders>
            <w:shd w:val="clear" w:color="000000" w:fill="FFFFFF"/>
            <w:vAlign w:val="center"/>
            <w:hideMark/>
          </w:tcPr>
          <w:p w:rsidR="00EA7B71" w:rsidRPr="00EA7B71" w:rsidRDefault="00EA7B71" w:rsidP="00EA7B71">
            <w:pPr>
              <w:rPr>
                <w:rFonts w:ascii="Lucida Bright" w:hAnsi="Lucida Bright" w:cs="Calibri"/>
                <w:b/>
                <w:bCs/>
                <w:sz w:val="14"/>
                <w:szCs w:val="14"/>
                <w:lang w:val="es-ES"/>
              </w:rPr>
            </w:pPr>
            <w:r w:rsidRPr="00EA7B71">
              <w:rPr>
                <w:rFonts w:ascii="Lucida Bright" w:hAnsi="Lucida Bright" w:cs="Calibri"/>
                <w:b/>
                <w:bCs/>
                <w:sz w:val="14"/>
                <w:szCs w:val="14"/>
                <w:lang w:val="es-ES"/>
              </w:rPr>
              <w:t>3. Deudores varios</w:t>
            </w:r>
          </w:p>
        </w:tc>
        <w:tc>
          <w:tcPr>
            <w:tcW w:w="130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jc w:val="right"/>
              <w:rPr>
                <w:rFonts w:ascii="Lucida Bright" w:hAnsi="Lucida Bright" w:cs="Calibri"/>
                <w:b/>
                <w:bCs/>
                <w:sz w:val="14"/>
                <w:szCs w:val="14"/>
                <w:lang w:val="es-ES"/>
              </w:rPr>
            </w:pPr>
            <w:r w:rsidRPr="00EA7B71">
              <w:rPr>
                <w:rFonts w:ascii="Lucida Bright" w:hAnsi="Lucida Bright" w:cs="Calibri"/>
                <w:b/>
                <w:bCs/>
                <w:sz w:val="14"/>
                <w:szCs w:val="14"/>
                <w:lang w:val="es-ES"/>
              </w:rPr>
              <w:t xml:space="preserve">640.901,68 </w:t>
            </w:r>
          </w:p>
        </w:tc>
        <w:tc>
          <w:tcPr>
            <w:tcW w:w="126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jc w:val="right"/>
              <w:rPr>
                <w:rFonts w:ascii="Lucida Bright" w:hAnsi="Lucida Bright" w:cs="Calibri"/>
                <w:b/>
                <w:bCs/>
                <w:sz w:val="14"/>
                <w:szCs w:val="14"/>
                <w:lang w:val="es-ES"/>
              </w:rPr>
            </w:pPr>
            <w:r w:rsidRPr="00EA7B71">
              <w:rPr>
                <w:rFonts w:ascii="Lucida Bright" w:hAnsi="Lucida Bright" w:cs="Calibri"/>
                <w:b/>
                <w:bCs/>
                <w:sz w:val="14"/>
                <w:szCs w:val="14"/>
                <w:lang w:val="es-ES"/>
              </w:rPr>
              <w:t xml:space="preserve">323.056,45 </w:t>
            </w:r>
          </w:p>
        </w:tc>
      </w:tr>
      <w:tr w:rsidR="00EA7B71" w:rsidRPr="00EA7B71" w:rsidTr="00EA7B71">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EA7B71" w:rsidRPr="00EA7B71" w:rsidRDefault="00EA7B71" w:rsidP="00EA7B71">
            <w:pPr>
              <w:rPr>
                <w:rFonts w:ascii="Lucida Bright" w:hAnsi="Lucida Bright" w:cs="Calibri"/>
                <w:sz w:val="14"/>
                <w:szCs w:val="14"/>
                <w:lang w:val="es-ES"/>
              </w:rPr>
            </w:pPr>
            <w:r w:rsidRPr="00EA7B71">
              <w:rPr>
                <w:rFonts w:ascii="Lucida Bright" w:hAnsi="Lucida Bright" w:cs="Calibri"/>
                <w:sz w:val="14"/>
                <w:szCs w:val="14"/>
                <w:lang w:val="es-ES"/>
              </w:rPr>
              <w:t>Deudores varios</w:t>
            </w:r>
          </w:p>
        </w:tc>
        <w:tc>
          <w:tcPr>
            <w:tcW w:w="130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jc w:val="right"/>
              <w:rPr>
                <w:rFonts w:ascii="Lucida Bright" w:hAnsi="Lucida Bright" w:cs="Calibri"/>
                <w:sz w:val="14"/>
                <w:szCs w:val="14"/>
                <w:lang w:val="es-ES"/>
              </w:rPr>
            </w:pPr>
            <w:r w:rsidRPr="00EA7B71">
              <w:rPr>
                <w:rFonts w:ascii="Lucida Bright" w:hAnsi="Lucida Bright" w:cs="Calibri"/>
                <w:sz w:val="14"/>
                <w:szCs w:val="14"/>
                <w:lang w:val="es-ES"/>
              </w:rPr>
              <w:t xml:space="preserve">262.517,01 </w:t>
            </w:r>
          </w:p>
        </w:tc>
        <w:tc>
          <w:tcPr>
            <w:tcW w:w="126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jc w:val="right"/>
              <w:rPr>
                <w:rFonts w:ascii="Lucida Bright" w:hAnsi="Lucida Bright" w:cs="Calibri"/>
                <w:sz w:val="14"/>
                <w:szCs w:val="14"/>
                <w:lang w:val="es-ES"/>
              </w:rPr>
            </w:pPr>
            <w:r w:rsidRPr="00EA7B71">
              <w:rPr>
                <w:rFonts w:ascii="Lucida Bright" w:hAnsi="Lucida Bright" w:cs="Calibri"/>
                <w:sz w:val="14"/>
                <w:szCs w:val="14"/>
                <w:lang w:val="es-ES"/>
              </w:rPr>
              <w:t xml:space="preserve">113.333,33 </w:t>
            </w:r>
          </w:p>
        </w:tc>
      </w:tr>
      <w:tr w:rsidR="00EA7B71" w:rsidRPr="00EA7B71" w:rsidTr="00EA7B71">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EA7B71" w:rsidRPr="00EA7B71" w:rsidRDefault="00EA7B71" w:rsidP="00EA7B71">
            <w:pPr>
              <w:rPr>
                <w:rFonts w:ascii="Lucida Bright" w:hAnsi="Lucida Bright" w:cs="Calibri"/>
                <w:sz w:val="14"/>
                <w:szCs w:val="14"/>
                <w:lang w:val="es-ES"/>
              </w:rPr>
            </w:pPr>
            <w:r w:rsidRPr="00EA7B71">
              <w:rPr>
                <w:rFonts w:ascii="Lucida Bright" w:hAnsi="Lucida Bright" w:cs="Calibri"/>
                <w:sz w:val="14"/>
                <w:szCs w:val="14"/>
                <w:lang w:val="es-ES"/>
              </w:rPr>
              <w:t>Anticipos a acreedores</w:t>
            </w:r>
          </w:p>
        </w:tc>
        <w:tc>
          <w:tcPr>
            <w:tcW w:w="130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jc w:val="right"/>
              <w:rPr>
                <w:rFonts w:ascii="Lucida Bright" w:hAnsi="Lucida Bright" w:cs="Calibri"/>
                <w:sz w:val="14"/>
                <w:szCs w:val="14"/>
                <w:lang w:val="es-ES"/>
              </w:rPr>
            </w:pPr>
            <w:r w:rsidRPr="00EA7B71">
              <w:rPr>
                <w:rFonts w:ascii="Lucida Bright" w:hAnsi="Lucida Bright" w:cs="Calibri"/>
                <w:sz w:val="14"/>
                <w:szCs w:val="14"/>
                <w:lang w:val="es-ES"/>
              </w:rPr>
              <w:t xml:space="preserve">138.206,14 </w:t>
            </w:r>
          </w:p>
        </w:tc>
        <w:tc>
          <w:tcPr>
            <w:tcW w:w="126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jc w:val="right"/>
              <w:rPr>
                <w:rFonts w:ascii="Lucida Bright" w:hAnsi="Lucida Bright" w:cs="Calibri"/>
                <w:sz w:val="14"/>
                <w:szCs w:val="14"/>
                <w:lang w:val="es-ES"/>
              </w:rPr>
            </w:pPr>
            <w:r w:rsidRPr="00EA7B71">
              <w:rPr>
                <w:rFonts w:ascii="Lucida Bright" w:hAnsi="Lucida Bright" w:cs="Calibri"/>
                <w:sz w:val="14"/>
                <w:szCs w:val="14"/>
                <w:lang w:val="es-ES"/>
              </w:rPr>
              <w:t xml:space="preserve">2.049,45 </w:t>
            </w:r>
          </w:p>
        </w:tc>
      </w:tr>
      <w:tr w:rsidR="00EA7B71" w:rsidRPr="00EA7B71" w:rsidTr="00EA7B71">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EA7B71" w:rsidRPr="00EA7B71" w:rsidRDefault="00EA7B71" w:rsidP="00EA7B71">
            <w:pPr>
              <w:rPr>
                <w:rFonts w:ascii="Lucida Bright" w:hAnsi="Lucida Bright" w:cs="Calibri"/>
                <w:sz w:val="14"/>
                <w:szCs w:val="14"/>
                <w:lang w:val="es-ES"/>
              </w:rPr>
            </w:pPr>
            <w:r w:rsidRPr="00EA7B71">
              <w:rPr>
                <w:rFonts w:ascii="Lucida Bright" w:hAnsi="Lucida Bright" w:cs="Calibri"/>
                <w:sz w:val="14"/>
                <w:szCs w:val="14"/>
                <w:lang w:val="es-ES"/>
              </w:rPr>
              <w:t>Créditos al personal</w:t>
            </w:r>
          </w:p>
        </w:tc>
        <w:tc>
          <w:tcPr>
            <w:tcW w:w="130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jc w:val="right"/>
              <w:rPr>
                <w:rFonts w:ascii="Lucida Bright" w:hAnsi="Lucida Bright" w:cs="Calibri"/>
                <w:sz w:val="14"/>
                <w:szCs w:val="14"/>
                <w:lang w:val="es-ES"/>
              </w:rPr>
            </w:pPr>
            <w:r w:rsidRPr="00EA7B71">
              <w:rPr>
                <w:rFonts w:ascii="Lucida Bright" w:hAnsi="Lucida Bright" w:cs="Calibri"/>
                <w:sz w:val="14"/>
                <w:szCs w:val="14"/>
                <w:lang w:val="es-ES"/>
              </w:rPr>
              <w:t xml:space="preserve">240.178,53 </w:t>
            </w:r>
          </w:p>
        </w:tc>
        <w:tc>
          <w:tcPr>
            <w:tcW w:w="126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jc w:val="right"/>
              <w:rPr>
                <w:rFonts w:ascii="Lucida Bright" w:hAnsi="Lucida Bright" w:cs="Calibri"/>
                <w:sz w:val="14"/>
                <w:szCs w:val="14"/>
                <w:lang w:val="es-ES"/>
              </w:rPr>
            </w:pPr>
            <w:r w:rsidRPr="00EA7B71">
              <w:rPr>
                <w:rFonts w:ascii="Lucida Bright" w:hAnsi="Lucida Bright" w:cs="Calibri"/>
                <w:sz w:val="14"/>
                <w:szCs w:val="14"/>
                <w:lang w:val="es-ES"/>
              </w:rPr>
              <w:t xml:space="preserve">205.531,59 </w:t>
            </w:r>
          </w:p>
        </w:tc>
      </w:tr>
      <w:tr w:rsidR="00EA7B71" w:rsidRPr="00EA7B71" w:rsidTr="00EA7B71">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EA7B71" w:rsidRPr="00EA7B71" w:rsidRDefault="00EA7B71" w:rsidP="00EA7B71">
            <w:pPr>
              <w:rPr>
                <w:rFonts w:ascii="Lucida Bright" w:hAnsi="Lucida Bright" w:cs="Calibri"/>
                <w:sz w:val="14"/>
                <w:szCs w:val="14"/>
                <w:lang w:val="es-ES"/>
              </w:rPr>
            </w:pPr>
            <w:r w:rsidRPr="00EA7B71">
              <w:rPr>
                <w:rFonts w:ascii="Lucida Bright" w:hAnsi="Lucida Bright" w:cs="Calibri"/>
                <w:sz w:val="14"/>
                <w:szCs w:val="14"/>
                <w:lang w:val="es-ES"/>
              </w:rPr>
              <w:t>Anticipos remuneraciones</w:t>
            </w:r>
          </w:p>
        </w:tc>
        <w:tc>
          <w:tcPr>
            <w:tcW w:w="130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rPr>
                <w:rFonts w:ascii="Lucida Bright" w:hAnsi="Lucida Bright" w:cs="Calibri"/>
                <w:sz w:val="14"/>
                <w:szCs w:val="14"/>
                <w:lang w:val="es-ES"/>
              </w:rPr>
            </w:pPr>
            <w:r w:rsidRPr="00EA7B71">
              <w:rPr>
                <w:rFonts w:ascii="Lucida Bright" w:hAnsi="Lucida Bright" w:cs="Calibri"/>
                <w:sz w:val="14"/>
                <w:szCs w:val="14"/>
                <w:lang w:val="es-ES"/>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jc w:val="right"/>
              <w:rPr>
                <w:rFonts w:ascii="Lucida Bright" w:hAnsi="Lucida Bright" w:cs="Calibri"/>
                <w:sz w:val="14"/>
                <w:szCs w:val="14"/>
                <w:lang w:val="es-ES"/>
              </w:rPr>
            </w:pPr>
            <w:r w:rsidRPr="00EA7B71">
              <w:rPr>
                <w:rFonts w:ascii="Lucida Bright" w:hAnsi="Lucida Bright" w:cs="Calibri"/>
                <w:sz w:val="14"/>
                <w:szCs w:val="14"/>
                <w:lang w:val="es-ES"/>
              </w:rPr>
              <w:t xml:space="preserve">2.142,08 </w:t>
            </w:r>
          </w:p>
        </w:tc>
      </w:tr>
    </w:tbl>
    <w:p w:rsidR="00D71A08" w:rsidRDefault="00D71A08" w:rsidP="007B1941">
      <w:pPr>
        <w:tabs>
          <w:tab w:val="right" w:pos="8364"/>
        </w:tabs>
        <w:ind w:left="142" w:firstLine="425"/>
        <w:jc w:val="both"/>
      </w:pPr>
    </w:p>
    <w:p w:rsidR="00552C82" w:rsidRDefault="00552C82" w:rsidP="007B1941">
      <w:pPr>
        <w:tabs>
          <w:tab w:val="right" w:pos="8364"/>
        </w:tabs>
        <w:ind w:left="142" w:firstLine="425"/>
        <w:jc w:val="both"/>
      </w:pPr>
    </w:p>
    <w:p w:rsidR="007B1941" w:rsidRPr="00F52C8E" w:rsidRDefault="007B1941" w:rsidP="007B1941">
      <w:pPr>
        <w:tabs>
          <w:tab w:val="right" w:pos="8364"/>
        </w:tabs>
        <w:ind w:left="142" w:firstLine="425"/>
        <w:jc w:val="both"/>
        <w:rPr>
          <w:rFonts w:ascii="NewBaskerville" w:hAnsi="NewBaskerville"/>
        </w:rPr>
      </w:pPr>
      <w:r w:rsidRPr="00F52C8E">
        <w:rPr>
          <w:rFonts w:ascii="NewBaskerville" w:hAnsi="NewBaskerville"/>
        </w:rPr>
        <w:t xml:space="preserve">Criterios aplicados para calcular las correcciones relativas a deudores </w:t>
      </w:r>
      <w:r w:rsidR="008155BC" w:rsidRPr="00F52C8E">
        <w:rPr>
          <w:rFonts w:ascii="NewBaskerville" w:hAnsi="NewBaskerville"/>
        </w:rPr>
        <w:t>comerciales:</w:t>
      </w:r>
      <w:r w:rsidR="00BA6314" w:rsidRPr="00F52C8E">
        <w:rPr>
          <w:rFonts w:ascii="NewBaskerville" w:hAnsi="NewBaskerville"/>
        </w:rPr>
        <w:t xml:space="preserve"> e</w:t>
      </w:r>
      <w:r w:rsidRPr="00F52C8E">
        <w:rPr>
          <w:rFonts w:ascii="NewBaskerville" w:hAnsi="NewBaskerville"/>
        </w:rPr>
        <w:t xml:space="preserve">l riesgo de fallidos existentes en los saldos de clientes se calculan por el método de la dotación específica, por el que se estima el </w:t>
      </w:r>
      <w:r w:rsidR="00EA7B71">
        <w:rPr>
          <w:rFonts w:ascii="NewBaskerville" w:hAnsi="NewBaskerville"/>
        </w:rPr>
        <w:t>deterioro</w:t>
      </w:r>
      <w:r w:rsidRPr="00F52C8E">
        <w:rPr>
          <w:rFonts w:ascii="NewBaskerville" w:hAnsi="NewBaskerville"/>
        </w:rPr>
        <w:t xml:space="preserve"> mediante un sistema individualizado de análisis y seguimiento de saldos de dudoso cobro, sobre el que se aplican porcentajes de dotación en función de la antigüedad de la deuda desde el vencimiento.</w:t>
      </w:r>
    </w:p>
    <w:p w:rsidR="00C82D5D" w:rsidRPr="00F52C8E" w:rsidRDefault="00C82D5D" w:rsidP="007B1941">
      <w:pPr>
        <w:tabs>
          <w:tab w:val="right" w:pos="8364"/>
        </w:tabs>
        <w:ind w:left="142" w:firstLine="425"/>
        <w:jc w:val="both"/>
        <w:rPr>
          <w:rFonts w:ascii="NewBaskerville" w:hAnsi="NewBaskerville"/>
        </w:rPr>
      </w:pPr>
    </w:p>
    <w:p w:rsidR="007B1941" w:rsidRPr="00F52C8E" w:rsidRDefault="007B1941" w:rsidP="007B1941">
      <w:pPr>
        <w:tabs>
          <w:tab w:val="center" w:pos="1843"/>
          <w:tab w:val="center" w:pos="5671"/>
          <w:tab w:val="center" w:pos="7797"/>
        </w:tabs>
        <w:spacing w:after="120"/>
        <w:ind w:left="709" w:hanging="142"/>
        <w:jc w:val="both"/>
        <w:rPr>
          <w:rFonts w:ascii="NewBaskerville" w:hAnsi="NewBaskerville"/>
          <w:b/>
        </w:rPr>
      </w:pPr>
      <w:r w:rsidRPr="00F52C8E">
        <w:rPr>
          <w:rFonts w:ascii="NewBaskerville" w:hAnsi="NewBaskerville"/>
        </w:rPr>
        <w:t xml:space="preserve">- </w:t>
      </w:r>
      <w:r w:rsidRPr="00F52C8E">
        <w:rPr>
          <w:rFonts w:ascii="NewBaskerville" w:hAnsi="NewBaskerville"/>
        </w:rPr>
        <w:tab/>
        <w:t xml:space="preserve">Ingresos de naturaleza privada </w:t>
      </w:r>
    </w:p>
    <w:p w:rsidR="007B1941" w:rsidRPr="00F52C8E" w:rsidRDefault="007B1941" w:rsidP="007B1941">
      <w:pPr>
        <w:tabs>
          <w:tab w:val="decimal" w:pos="3828"/>
          <w:tab w:val="center" w:pos="5671"/>
          <w:tab w:val="center" w:pos="7797"/>
        </w:tabs>
        <w:ind w:left="1134" w:hanging="425"/>
        <w:jc w:val="both"/>
        <w:rPr>
          <w:rFonts w:ascii="NewBaskerville" w:hAnsi="NewBaskerville"/>
        </w:rPr>
      </w:pPr>
      <w:r w:rsidRPr="00F52C8E">
        <w:rPr>
          <w:rFonts w:ascii="NewBaskerville" w:hAnsi="NewBaskerville"/>
        </w:rPr>
        <w:t>1. -</w:t>
      </w:r>
      <w:r w:rsidRPr="00F52C8E">
        <w:rPr>
          <w:rFonts w:ascii="NewBaskerville" w:hAnsi="NewBaskerville"/>
        </w:rPr>
        <w:tab/>
        <w:t xml:space="preserve">Entre 0 y 6 meses:           </w:t>
      </w:r>
      <w:r w:rsidR="00B06355" w:rsidRPr="00F52C8E">
        <w:rPr>
          <w:rFonts w:ascii="NewBaskerville" w:hAnsi="NewBaskerville"/>
        </w:rPr>
        <w:tab/>
      </w:r>
      <w:r w:rsidRPr="00F52C8E">
        <w:rPr>
          <w:rFonts w:ascii="NewBaskerville" w:hAnsi="NewBaskerville"/>
        </w:rPr>
        <w:t>0%</w:t>
      </w:r>
    </w:p>
    <w:p w:rsidR="007B1941" w:rsidRPr="00F52C8E" w:rsidRDefault="007B1941" w:rsidP="007B1941">
      <w:pPr>
        <w:tabs>
          <w:tab w:val="decimal" w:pos="3828"/>
          <w:tab w:val="center" w:pos="5671"/>
          <w:tab w:val="center" w:pos="7797"/>
        </w:tabs>
        <w:ind w:left="1134" w:hanging="425"/>
        <w:jc w:val="both"/>
        <w:rPr>
          <w:rFonts w:ascii="NewBaskerville" w:hAnsi="NewBaskerville"/>
        </w:rPr>
      </w:pPr>
      <w:r w:rsidRPr="00F52C8E">
        <w:rPr>
          <w:rFonts w:ascii="NewBaskerville" w:hAnsi="NewBaskerville"/>
        </w:rPr>
        <w:t>2. -</w:t>
      </w:r>
      <w:r w:rsidRPr="00F52C8E">
        <w:rPr>
          <w:rFonts w:ascii="NewBaskerville" w:hAnsi="NewBaskerville"/>
        </w:rPr>
        <w:tab/>
      </w:r>
      <w:r w:rsidR="008155BC" w:rsidRPr="00F52C8E">
        <w:rPr>
          <w:rFonts w:ascii="NewBaskerville" w:hAnsi="NewBaskerville"/>
        </w:rPr>
        <w:t>Más</w:t>
      </w:r>
      <w:r w:rsidRPr="00F52C8E">
        <w:rPr>
          <w:rFonts w:ascii="NewBaskerville" w:hAnsi="NewBaskerville"/>
        </w:rPr>
        <w:t xml:space="preserve"> de 6 meses:</w:t>
      </w:r>
      <w:r w:rsidRPr="00F52C8E">
        <w:rPr>
          <w:rFonts w:ascii="NewBaskerville" w:hAnsi="NewBaskerville"/>
        </w:rPr>
        <w:tab/>
        <w:t>100%</w:t>
      </w:r>
    </w:p>
    <w:p w:rsidR="00AB0BEB" w:rsidRPr="00F52C8E" w:rsidRDefault="00AB0BEB" w:rsidP="007B1941">
      <w:pPr>
        <w:tabs>
          <w:tab w:val="decimal" w:pos="3828"/>
          <w:tab w:val="center" w:pos="5671"/>
          <w:tab w:val="center" w:pos="7797"/>
        </w:tabs>
        <w:ind w:left="1134" w:hanging="425"/>
        <w:jc w:val="both"/>
        <w:rPr>
          <w:rFonts w:ascii="NewBaskerville" w:hAnsi="NewBaskerville"/>
        </w:rPr>
      </w:pPr>
    </w:p>
    <w:p w:rsidR="007B1941" w:rsidRPr="00F52C8E" w:rsidRDefault="007B1941" w:rsidP="007B1941">
      <w:pPr>
        <w:tabs>
          <w:tab w:val="center" w:pos="5671"/>
          <w:tab w:val="center" w:pos="7797"/>
        </w:tabs>
        <w:spacing w:before="120"/>
        <w:ind w:left="709" w:hanging="141"/>
        <w:jc w:val="both"/>
        <w:rPr>
          <w:rFonts w:ascii="NewBaskerville" w:hAnsi="NewBaskerville"/>
        </w:rPr>
      </w:pPr>
      <w:r w:rsidRPr="00F52C8E">
        <w:rPr>
          <w:rFonts w:ascii="NewBaskerville" w:hAnsi="NewBaskerville"/>
        </w:rPr>
        <w:t>-</w:t>
      </w:r>
      <w:r w:rsidRPr="00F52C8E">
        <w:rPr>
          <w:rFonts w:ascii="NewBaskerville" w:hAnsi="NewBaskerville"/>
        </w:rPr>
        <w:tab/>
        <w:t>Ingresos de naturaleza pública</w:t>
      </w:r>
    </w:p>
    <w:p w:rsidR="007B1941" w:rsidRPr="00F52C8E" w:rsidRDefault="007B1941" w:rsidP="007B1941">
      <w:pPr>
        <w:tabs>
          <w:tab w:val="decimal" w:pos="3828"/>
          <w:tab w:val="center" w:pos="5671"/>
          <w:tab w:val="center" w:pos="7797"/>
        </w:tabs>
        <w:spacing w:before="120"/>
        <w:ind w:left="1134" w:hanging="425"/>
        <w:jc w:val="both"/>
        <w:rPr>
          <w:rFonts w:ascii="NewBaskerville" w:hAnsi="NewBaskerville"/>
        </w:rPr>
      </w:pPr>
      <w:r w:rsidRPr="00F52C8E">
        <w:rPr>
          <w:rFonts w:ascii="NewBaskerville" w:hAnsi="NewBaskerville"/>
        </w:rPr>
        <w:t>1. -</w:t>
      </w:r>
      <w:r w:rsidRPr="00F52C8E">
        <w:rPr>
          <w:rFonts w:ascii="NewBaskerville" w:hAnsi="NewBaskerville"/>
        </w:rPr>
        <w:tab/>
        <w:t xml:space="preserve">de 0 a 12 meses:        </w:t>
      </w:r>
      <w:r w:rsidR="00B06355" w:rsidRPr="00F52C8E">
        <w:rPr>
          <w:rFonts w:ascii="NewBaskerville" w:hAnsi="NewBaskerville"/>
        </w:rPr>
        <w:tab/>
      </w:r>
      <w:r w:rsidRPr="00F52C8E">
        <w:rPr>
          <w:rFonts w:ascii="NewBaskerville" w:hAnsi="NewBaskerville"/>
        </w:rPr>
        <w:t xml:space="preserve">       0%</w:t>
      </w:r>
    </w:p>
    <w:p w:rsidR="007B1941" w:rsidRPr="00F52C8E" w:rsidRDefault="007B1941" w:rsidP="007B1941">
      <w:pPr>
        <w:tabs>
          <w:tab w:val="decimal" w:pos="3828"/>
          <w:tab w:val="center" w:pos="5671"/>
          <w:tab w:val="center" w:pos="7797"/>
        </w:tabs>
        <w:ind w:left="1134" w:hanging="425"/>
        <w:jc w:val="both"/>
        <w:rPr>
          <w:rFonts w:ascii="NewBaskerville" w:hAnsi="NewBaskerville"/>
        </w:rPr>
      </w:pPr>
      <w:r w:rsidRPr="00F52C8E">
        <w:rPr>
          <w:rFonts w:ascii="NewBaskerville" w:hAnsi="NewBaskerville"/>
        </w:rPr>
        <w:t>2. -</w:t>
      </w:r>
      <w:r w:rsidRPr="00F52C8E">
        <w:rPr>
          <w:rFonts w:ascii="NewBaskerville" w:hAnsi="NewBaskerville"/>
        </w:rPr>
        <w:tab/>
        <w:t>de 12 a 24 meses:</w:t>
      </w:r>
      <w:r w:rsidRPr="00F52C8E">
        <w:rPr>
          <w:rFonts w:ascii="NewBaskerville" w:hAnsi="NewBaskerville"/>
        </w:rPr>
        <w:tab/>
        <w:t>50%</w:t>
      </w:r>
    </w:p>
    <w:p w:rsidR="007B1941" w:rsidRPr="00F52C8E" w:rsidRDefault="007B1941" w:rsidP="007B1941">
      <w:pPr>
        <w:tabs>
          <w:tab w:val="decimal" w:pos="3828"/>
          <w:tab w:val="center" w:pos="5671"/>
          <w:tab w:val="center" w:pos="7797"/>
        </w:tabs>
        <w:ind w:left="1134" w:hanging="425"/>
        <w:jc w:val="both"/>
        <w:rPr>
          <w:rFonts w:ascii="NewBaskerville" w:hAnsi="NewBaskerville"/>
        </w:rPr>
      </w:pPr>
      <w:r w:rsidRPr="00F52C8E">
        <w:rPr>
          <w:rFonts w:ascii="NewBaskerville" w:hAnsi="NewBaskerville"/>
        </w:rPr>
        <w:t>3. -</w:t>
      </w:r>
      <w:r w:rsidRPr="00F52C8E">
        <w:rPr>
          <w:rFonts w:ascii="NewBaskerville" w:hAnsi="NewBaskerville"/>
        </w:rPr>
        <w:tab/>
        <w:t>de más de 24 meses:</w:t>
      </w:r>
      <w:r w:rsidRPr="00F52C8E">
        <w:rPr>
          <w:rFonts w:ascii="NewBaskerville" w:hAnsi="NewBaskerville"/>
        </w:rPr>
        <w:tab/>
        <w:t>100%</w:t>
      </w:r>
    </w:p>
    <w:p w:rsidR="007B1941" w:rsidRPr="00F52C8E" w:rsidRDefault="007B1941" w:rsidP="007B1941">
      <w:pPr>
        <w:tabs>
          <w:tab w:val="decimal" w:pos="3828"/>
          <w:tab w:val="center" w:pos="5671"/>
          <w:tab w:val="center" w:pos="7797"/>
        </w:tabs>
        <w:jc w:val="both"/>
        <w:rPr>
          <w:rFonts w:ascii="NewBaskerville" w:hAnsi="NewBaskerville"/>
        </w:rPr>
      </w:pPr>
    </w:p>
    <w:p w:rsidR="007B1941" w:rsidRPr="00CF32FF" w:rsidRDefault="007B1941" w:rsidP="007B1941">
      <w:pPr>
        <w:tabs>
          <w:tab w:val="decimal" w:pos="3828"/>
          <w:tab w:val="center" w:pos="5671"/>
          <w:tab w:val="center" w:pos="7797"/>
        </w:tabs>
        <w:spacing w:before="120"/>
        <w:ind w:firstLine="540"/>
        <w:jc w:val="both"/>
        <w:rPr>
          <w:b/>
          <w:bCs/>
        </w:rPr>
      </w:pPr>
      <w:r w:rsidRPr="00F52C8E">
        <w:rPr>
          <w:rFonts w:ascii="NewBaskerville" w:hAnsi="NewBaskerville"/>
        </w:rPr>
        <w:t>Este cálculo se considera mínimo por lo que en el caso de que se tenga conocimiento de que una empresa ha presentado solicitud de concurso de acreedores o haya riesgo importante de impago se ha optado por incrementar la provisión por el importe de la totalidad de lo adeudado.</w:t>
      </w:r>
    </w:p>
    <w:p w:rsidR="007B1941" w:rsidRPr="00CF32FF" w:rsidRDefault="007B1941" w:rsidP="007B1941">
      <w:pPr>
        <w:tabs>
          <w:tab w:val="right" w:pos="8364"/>
        </w:tabs>
        <w:jc w:val="both"/>
        <w:rPr>
          <w:b/>
          <w:bCs/>
        </w:rPr>
      </w:pPr>
    </w:p>
    <w:p w:rsidR="00F52C8E" w:rsidRDefault="00F52C8E">
      <w:pPr>
        <w:tabs>
          <w:tab w:val="right" w:pos="8364"/>
        </w:tabs>
        <w:ind w:left="142" w:firstLine="425"/>
        <w:jc w:val="both"/>
      </w:pPr>
    </w:p>
    <w:p w:rsidR="00F52C8E" w:rsidRDefault="006E51A7">
      <w:pPr>
        <w:tabs>
          <w:tab w:val="right" w:pos="8364"/>
        </w:tabs>
        <w:ind w:left="142" w:firstLine="425"/>
        <w:jc w:val="both"/>
        <w:rPr>
          <w:rFonts w:ascii="NewBaskerville" w:hAnsi="NewBaskerville"/>
        </w:rPr>
      </w:pPr>
      <w:r>
        <w:rPr>
          <w:rFonts w:ascii="NewBaskerville" w:hAnsi="NewBaskerville"/>
        </w:rPr>
        <w:t xml:space="preserve">En el epígrafe de </w:t>
      </w:r>
      <w:r>
        <w:rPr>
          <w:rFonts w:ascii="NewBaskerville" w:hAnsi="NewBaskerville"/>
          <w:b/>
        </w:rPr>
        <w:t xml:space="preserve">“Inversiones en empresas del grupo y asociadas a corto plazo” </w:t>
      </w:r>
      <w:r>
        <w:rPr>
          <w:rFonts w:ascii="NewBaskerville" w:hAnsi="NewBaskerville"/>
        </w:rPr>
        <w:t>se han registrado los saldos a corto plazo del FFATP, siendo:</w:t>
      </w:r>
    </w:p>
    <w:p w:rsidR="004172A5" w:rsidRDefault="004172A5">
      <w:pPr>
        <w:tabs>
          <w:tab w:val="right" w:pos="8364"/>
        </w:tabs>
        <w:ind w:left="142" w:firstLine="425"/>
        <w:jc w:val="both"/>
        <w:rPr>
          <w:rFonts w:ascii="NewBaskerville" w:hAnsi="NewBaskerville"/>
        </w:rPr>
      </w:pPr>
    </w:p>
    <w:tbl>
      <w:tblPr>
        <w:tblW w:w="6460" w:type="dxa"/>
        <w:tblInd w:w="70" w:type="dxa"/>
        <w:tblCellMar>
          <w:left w:w="70" w:type="dxa"/>
          <w:right w:w="70" w:type="dxa"/>
        </w:tblCellMar>
        <w:tblLook w:val="04A0" w:firstRow="1" w:lastRow="0" w:firstColumn="1" w:lastColumn="0" w:noHBand="0" w:noVBand="1"/>
      </w:tblPr>
      <w:tblGrid>
        <w:gridCol w:w="4060"/>
        <w:gridCol w:w="1200"/>
        <w:gridCol w:w="1200"/>
      </w:tblGrid>
      <w:tr w:rsidR="00EA7B71" w:rsidRPr="00EA7B71" w:rsidTr="00EA7B71">
        <w:trPr>
          <w:trHeight w:val="300"/>
        </w:trPr>
        <w:tc>
          <w:tcPr>
            <w:tcW w:w="4060" w:type="dxa"/>
            <w:tcBorders>
              <w:top w:val="nil"/>
              <w:left w:val="nil"/>
              <w:bottom w:val="nil"/>
              <w:right w:val="nil"/>
            </w:tcBorders>
            <w:shd w:val="clear" w:color="auto" w:fill="auto"/>
            <w:noWrap/>
            <w:vAlign w:val="bottom"/>
            <w:hideMark/>
          </w:tcPr>
          <w:p w:rsidR="00EA7B71" w:rsidRPr="00EA7B71" w:rsidRDefault="00EA7B71" w:rsidP="00EA7B71">
            <w:pPr>
              <w:rPr>
                <w:rFonts w:ascii="Calibri" w:hAnsi="Calibri" w:cs="Calibri"/>
                <w:color w:val="000000"/>
                <w:sz w:val="22"/>
                <w:szCs w:val="22"/>
                <w:lang w:val="es-ES"/>
              </w:rPr>
            </w:pPr>
          </w:p>
        </w:tc>
        <w:tc>
          <w:tcPr>
            <w:tcW w:w="12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A7B71" w:rsidRPr="00EA7B71" w:rsidRDefault="00EA7B71" w:rsidP="00EA7B71">
            <w:pPr>
              <w:jc w:val="center"/>
              <w:rPr>
                <w:rFonts w:ascii="Lucida Bright" w:hAnsi="Lucida Bright" w:cs="Calibri"/>
                <w:b/>
                <w:bCs/>
                <w:color w:val="000000"/>
                <w:sz w:val="14"/>
                <w:szCs w:val="14"/>
                <w:lang w:val="es-ES"/>
              </w:rPr>
            </w:pPr>
            <w:r w:rsidRPr="00EA7B71">
              <w:rPr>
                <w:rFonts w:ascii="Lucida Bright" w:hAnsi="Lucida Bright" w:cs="Calibri"/>
                <w:b/>
                <w:bCs/>
                <w:color w:val="000000"/>
                <w:sz w:val="14"/>
                <w:szCs w:val="14"/>
                <w:lang w:val="es-ES"/>
              </w:rPr>
              <w:t>2024</w:t>
            </w:r>
          </w:p>
        </w:tc>
        <w:tc>
          <w:tcPr>
            <w:tcW w:w="1200" w:type="dxa"/>
            <w:tcBorders>
              <w:top w:val="single" w:sz="4" w:space="0" w:color="auto"/>
              <w:left w:val="nil"/>
              <w:bottom w:val="single" w:sz="4" w:space="0" w:color="auto"/>
              <w:right w:val="single" w:sz="4" w:space="0" w:color="auto"/>
            </w:tcBorders>
            <w:shd w:val="clear" w:color="000000" w:fill="CCFFCC"/>
            <w:noWrap/>
            <w:vAlign w:val="center"/>
            <w:hideMark/>
          </w:tcPr>
          <w:p w:rsidR="00EA7B71" w:rsidRPr="00EA7B71" w:rsidRDefault="00EA7B71" w:rsidP="00EA7B71">
            <w:pPr>
              <w:jc w:val="center"/>
              <w:rPr>
                <w:rFonts w:ascii="Lucida Bright" w:hAnsi="Lucida Bright" w:cs="Calibri"/>
                <w:b/>
                <w:bCs/>
                <w:color w:val="000000"/>
                <w:sz w:val="14"/>
                <w:szCs w:val="14"/>
                <w:lang w:val="es-ES"/>
              </w:rPr>
            </w:pPr>
            <w:r w:rsidRPr="00EA7B71">
              <w:rPr>
                <w:rFonts w:ascii="Lucida Bright" w:hAnsi="Lucida Bright" w:cs="Calibri"/>
                <w:b/>
                <w:bCs/>
                <w:color w:val="000000"/>
                <w:sz w:val="14"/>
                <w:szCs w:val="14"/>
                <w:lang w:val="es-ES"/>
              </w:rPr>
              <w:t>2023</w:t>
            </w:r>
          </w:p>
        </w:tc>
      </w:tr>
      <w:tr w:rsidR="00EA7B71" w:rsidRPr="00EA7B71" w:rsidTr="00EA7B71">
        <w:trPr>
          <w:trHeight w:val="300"/>
        </w:trPr>
        <w:tc>
          <w:tcPr>
            <w:tcW w:w="4060"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A7B71" w:rsidRPr="00EA7B71" w:rsidRDefault="00EA7B71" w:rsidP="00EA7B71">
            <w:pPr>
              <w:rPr>
                <w:rFonts w:ascii="Lucida Bright" w:hAnsi="Lucida Bright" w:cs="Calibri"/>
                <w:b/>
                <w:bCs/>
                <w:sz w:val="14"/>
                <w:szCs w:val="14"/>
                <w:lang w:val="es-ES"/>
              </w:rPr>
            </w:pPr>
            <w:r w:rsidRPr="00EA7B71">
              <w:rPr>
                <w:rFonts w:ascii="Lucida Bright" w:hAnsi="Lucida Bright" w:cs="Calibri"/>
                <w:b/>
                <w:bCs/>
                <w:sz w:val="14"/>
                <w:szCs w:val="14"/>
                <w:lang w:val="es-ES"/>
              </w:rPr>
              <w:t>IV. Inversiones en empr. del grupo y asociadas a c.p.</w:t>
            </w:r>
          </w:p>
        </w:tc>
        <w:tc>
          <w:tcPr>
            <w:tcW w:w="1200" w:type="dxa"/>
            <w:tcBorders>
              <w:top w:val="nil"/>
              <w:left w:val="nil"/>
              <w:bottom w:val="single" w:sz="4" w:space="0" w:color="auto"/>
              <w:right w:val="single" w:sz="4" w:space="0" w:color="auto"/>
            </w:tcBorders>
            <w:shd w:val="clear" w:color="000000" w:fill="CCFFCC"/>
            <w:noWrap/>
            <w:vAlign w:val="bottom"/>
            <w:hideMark/>
          </w:tcPr>
          <w:p w:rsidR="00EA7B71" w:rsidRPr="00EA7B71" w:rsidRDefault="00EA7B71" w:rsidP="00EA7B71">
            <w:pPr>
              <w:jc w:val="right"/>
              <w:rPr>
                <w:rFonts w:ascii="Lucida Bright" w:hAnsi="Lucida Bright" w:cs="Calibri"/>
                <w:b/>
                <w:bCs/>
                <w:sz w:val="14"/>
                <w:szCs w:val="14"/>
                <w:lang w:val="es-ES"/>
              </w:rPr>
            </w:pPr>
            <w:r w:rsidRPr="00EA7B71">
              <w:rPr>
                <w:rFonts w:ascii="Lucida Bright" w:hAnsi="Lucida Bright" w:cs="Calibri"/>
                <w:b/>
                <w:bCs/>
                <w:sz w:val="14"/>
                <w:szCs w:val="14"/>
                <w:lang w:val="es-ES"/>
              </w:rPr>
              <w:t xml:space="preserve">334.365,91 </w:t>
            </w:r>
          </w:p>
        </w:tc>
        <w:tc>
          <w:tcPr>
            <w:tcW w:w="1200" w:type="dxa"/>
            <w:tcBorders>
              <w:top w:val="nil"/>
              <w:left w:val="nil"/>
              <w:bottom w:val="single" w:sz="4" w:space="0" w:color="auto"/>
              <w:right w:val="single" w:sz="4" w:space="0" w:color="auto"/>
            </w:tcBorders>
            <w:shd w:val="clear" w:color="000000" w:fill="CCFFCC"/>
            <w:noWrap/>
            <w:vAlign w:val="bottom"/>
            <w:hideMark/>
          </w:tcPr>
          <w:p w:rsidR="00EA7B71" w:rsidRPr="00EA7B71" w:rsidRDefault="00EA7B71" w:rsidP="00EA7B71">
            <w:pPr>
              <w:jc w:val="right"/>
              <w:rPr>
                <w:rFonts w:ascii="Lucida Bright" w:hAnsi="Lucida Bright" w:cs="Calibri"/>
                <w:b/>
                <w:bCs/>
                <w:sz w:val="14"/>
                <w:szCs w:val="14"/>
                <w:lang w:val="es-ES"/>
              </w:rPr>
            </w:pPr>
            <w:r w:rsidRPr="00EA7B71">
              <w:rPr>
                <w:rFonts w:ascii="Lucida Bright" w:hAnsi="Lucida Bright" w:cs="Calibri"/>
                <w:b/>
                <w:bCs/>
                <w:sz w:val="14"/>
                <w:szCs w:val="14"/>
                <w:lang w:val="es-ES"/>
              </w:rPr>
              <w:t xml:space="preserve">110.571,99 </w:t>
            </w:r>
          </w:p>
        </w:tc>
      </w:tr>
      <w:tr w:rsidR="00EA7B71" w:rsidRPr="00EA7B71" w:rsidTr="00EA7B71">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EA7B71" w:rsidRPr="00EA7B71" w:rsidRDefault="00EA7B71" w:rsidP="00EA7B71">
            <w:pPr>
              <w:rPr>
                <w:rFonts w:ascii="Lucida Bright" w:hAnsi="Lucida Bright" w:cs="Calibri"/>
                <w:sz w:val="14"/>
                <w:szCs w:val="14"/>
                <w:lang w:val="es-ES"/>
              </w:rPr>
            </w:pPr>
            <w:r w:rsidRPr="00EA7B71">
              <w:rPr>
                <w:rFonts w:ascii="Lucida Bright" w:hAnsi="Lucida Bright" w:cs="Calibri"/>
                <w:sz w:val="14"/>
                <w:szCs w:val="14"/>
                <w:lang w:val="es-ES"/>
              </w:rPr>
              <w:t>Préstamos a c.p. concedidos al FFATP</w:t>
            </w:r>
          </w:p>
        </w:tc>
        <w:tc>
          <w:tcPr>
            <w:tcW w:w="120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jc w:val="right"/>
              <w:rPr>
                <w:rFonts w:ascii="Lucida Bright" w:hAnsi="Lucida Bright" w:cs="Calibri"/>
                <w:sz w:val="14"/>
                <w:szCs w:val="14"/>
                <w:lang w:val="es-ES"/>
              </w:rPr>
            </w:pPr>
            <w:r w:rsidRPr="00EA7B71">
              <w:rPr>
                <w:rFonts w:ascii="Lucida Bright" w:hAnsi="Lucida Bright" w:cs="Calibri"/>
                <w:sz w:val="14"/>
                <w:szCs w:val="14"/>
                <w:lang w:val="es-ES"/>
              </w:rPr>
              <w:t xml:space="preserve">327.176,48 </w:t>
            </w:r>
          </w:p>
        </w:tc>
        <w:tc>
          <w:tcPr>
            <w:tcW w:w="1200" w:type="dxa"/>
            <w:tcBorders>
              <w:top w:val="nil"/>
              <w:left w:val="nil"/>
              <w:bottom w:val="single" w:sz="4" w:space="0" w:color="auto"/>
              <w:right w:val="single" w:sz="4" w:space="0" w:color="auto"/>
            </w:tcBorders>
            <w:shd w:val="clear" w:color="000000" w:fill="FFFFFF"/>
            <w:noWrap/>
            <w:vAlign w:val="bottom"/>
            <w:hideMark/>
          </w:tcPr>
          <w:p w:rsidR="00EA7B71" w:rsidRPr="00EA7B71" w:rsidRDefault="00EA7B71" w:rsidP="00EA7B71">
            <w:pPr>
              <w:jc w:val="right"/>
              <w:rPr>
                <w:rFonts w:ascii="Lucida Bright" w:hAnsi="Lucida Bright" w:cs="Calibri"/>
                <w:sz w:val="14"/>
                <w:szCs w:val="14"/>
                <w:lang w:val="es-ES"/>
              </w:rPr>
            </w:pPr>
            <w:r w:rsidRPr="00EA7B71">
              <w:rPr>
                <w:rFonts w:ascii="Lucida Bright" w:hAnsi="Lucida Bright" w:cs="Calibri"/>
                <w:sz w:val="14"/>
                <w:szCs w:val="14"/>
                <w:lang w:val="es-ES"/>
              </w:rPr>
              <w:t xml:space="preserve">101.000,01 </w:t>
            </w:r>
          </w:p>
        </w:tc>
      </w:tr>
      <w:tr w:rsidR="00EA7B71" w:rsidRPr="00EA7B71" w:rsidTr="00EA7B71">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EA7B71" w:rsidRPr="00EA7B71" w:rsidRDefault="00EA7B71" w:rsidP="00EA7B71">
            <w:pPr>
              <w:rPr>
                <w:rFonts w:ascii="Lucida Bright" w:hAnsi="Lucida Bright" w:cs="Calibri"/>
                <w:color w:val="000000"/>
                <w:sz w:val="14"/>
                <w:szCs w:val="14"/>
                <w:lang w:val="es-ES"/>
              </w:rPr>
            </w:pPr>
            <w:r w:rsidRPr="00EA7B71">
              <w:rPr>
                <w:rFonts w:ascii="Lucida Bright" w:hAnsi="Lucida Bright" w:cs="Calibri"/>
                <w:color w:val="000000"/>
                <w:sz w:val="14"/>
                <w:szCs w:val="14"/>
                <w:lang w:val="es-ES"/>
              </w:rPr>
              <w:t>Intereses a c.p. de préstamos concedidos al FFATP</w:t>
            </w:r>
          </w:p>
        </w:tc>
        <w:tc>
          <w:tcPr>
            <w:tcW w:w="1200" w:type="dxa"/>
            <w:tcBorders>
              <w:top w:val="nil"/>
              <w:left w:val="nil"/>
              <w:bottom w:val="single" w:sz="4" w:space="0" w:color="auto"/>
              <w:right w:val="single" w:sz="4" w:space="0" w:color="auto"/>
            </w:tcBorders>
            <w:shd w:val="clear" w:color="auto" w:fill="auto"/>
            <w:noWrap/>
            <w:vAlign w:val="bottom"/>
            <w:hideMark/>
          </w:tcPr>
          <w:p w:rsidR="00EA7B71" w:rsidRPr="00EA7B71" w:rsidRDefault="00EA7B71" w:rsidP="00EA7B71">
            <w:pPr>
              <w:jc w:val="right"/>
              <w:rPr>
                <w:rFonts w:ascii="Lucida Bright" w:hAnsi="Lucida Bright" w:cs="Calibri"/>
                <w:color w:val="000000"/>
                <w:sz w:val="14"/>
                <w:szCs w:val="14"/>
                <w:lang w:val="es-ES"/>
              </w:rPr>
            </w:pPr>
            <w:r w:rsidRPr="00EA7B71">
              <w:rPr>
                <w:rFonts w:ascii="Lucida Bright" w:hAnsi="Lucida Bright" w:cs="Calibri"/>
                <w:color w:val="000000"/>
                <w:sz w:val="14"/>
                <w:szCs w:val="14"/>
                <w:lang w:val="es-ES"/>
              </w:rPr>
              <w:t>7.189,43</w:t>
            </w:r>
          </w:p>
        </w:tc>
        <w:tc>
          <w:tcPr>
            <w:tcW w:w="1200" w:type="dxa"/>
            <w:tcBorders>
              <w:top w:val="nil"/>
              <w:left w:val="nil"/>
              <w:bottom w:val="single" w:sz="4" w:space="0" w:color="auto"/>
              <w:right w:val="single" w:sz="4" w:space="0" w:color="auto"/>
            </w:tcBorders>
            <w:shd w:val="clear" w:color="auto" w:fill="auto"/>
            <w:noWrap/>
            <w:vAlign w:val="bottom"/>
            <w:hideMark/>
          </w:tcPr>
          <w:p w:rsidR="00EA7B71" w:rsidRPr="00EA7B71" w:rsidRDefault="00EA7B71" w:rsidP="00EA7B71">
            <w:pPr>
              <w:jc w:val="right"/>
              <w:rPr>
                <w:rFonts w:ascii="Lucida Bright" w:hAnsi="Lucida Bright" w:cs="Calibri"/>
                <w:color w:val="000000"/>
                <w:sz w:val="14"/>
                <w:szCs w:val="14"/>
                <w:lang w:val="es-ES"/>
              </w:rPr>
            </w:pPr>
            <w:r w:rsidRPr="00EA7B71">
              <w:rPr>
                <w:rFonts w:ascii="Lucida Bright" w:hAnsi="Lucida Bright" w:cs="Calibri"/>
                <w:color w:val="000000"/>
                <w:sz w:val="14"/>
                <w:szCs w:val="14"/>
                <w:lang w:val="es-ES"/>
              </w:rPr>
              <w:t>9.571,98</w:t>
            </w:r>
          </w:p>
        </w:tc>
      </w:tr>
    </w:tbl>
    <w:p w:rsidR="006E51A7" w:rsidRPr="006E51A7" w:rsidRDefault="006E51A7">
      <w:pPr>
        <w:tabs>
          <w:tab w:val="right" w:pos="8364"/>
        </w:tabs>
        <w:ind w:left="142" w:firstLine="425"/>
        <w:jc w:val="both"/>
        <w:rPr>
          <w:rFonts w:ascii="NewBaskerville" w:hAnsi="NewBaskerville"/>
        </w:rPr>
      </w:pPr>
    </w:p>
    <w:p w:rsidR="00F52C8E" w:rsidRDefault="00F52C8E">
      <w:pPr>
        <w:tabs>
          <w:tab w:val="right" w:pos="8364"/>
        </w:tabs>
        <w:ind w:left="142" w:firstLine="425"/>
        <w:jc w:val="both"/>
      </w:pPr>
    </w:p>
    <w:p w:rsidR="002C4355" w:rsidRPr="00C84DA4" w:rsidRDefault="002C4355">
      <w:pPr>
        <w:tabs>
          <w:tab w:val="right" w:pos="8364"/>
        </w:tabs>
        <w:ind w:left="142" w:firstLine="425"/>
        <w:jc w:val="both"/>
        <w:rPr>
          <w:rFonts w:ascii="NewBaskerville" w:hAnsi="NewBaskerville"/>
        </w:rPr>
      </w:pPr>
      <w:r w:rsidRPr="00C84DA4">
        <w:rPr>
          <w:rFonts w:ascii="NewBaskerville" w:hAnsi="NewBaskerville"/>
        </w:rPr>
        <w:t xml:space="preserve">El saldo reflejado en el epígrafe </w:t>
      </w:r>
      <w:r w:rsidRPr="00C84DA4">
        <w:rPr>
          <w:rFonts w:ascii="NewBaskerville" w:hAnsi="NewBaskerville"/>
          <w:b/>
        </w:rPr>
        <w:t>“Inversiones Financieras a corto plazo</w:t>
      </w:r>
      <w:r w:rsidRPr="00C84DA4">
        <w:rPr>
          <w:rFonts w:ascii="NewBaskerville" w:hAnsi="NewBaskerville"/>
        </w:rPr>
        <w:t>” corresponde a imposiciones a corto plazo en</w:t>
      </w:r>
      <w:r w:rsidR="00C84DA4">
        <w:rPr>
          <w:rFonts w:ascii="NewBaskerville" w:hAnsi="NewBaskerville"/>
        </w:rPr>
        <w:t xml:space="preserve"> depósitos bancarios, el devengo de intereses de los mismos, y depósitos y fianzas constituidos a corto plazo.</w:t>
      </w:r>
    </w:p>
    <w:tbl>
      <w:tblPr>
        <w:tblW w:w="6580" w:type="dxa"/>
        <w:tblInd w:w="70" w:type="dxa"/>
        <w:tblCellMar>
          <w:left w:w="70" w:type="dxa"/>
          <w:right w:w="70" w:type="dxa"/>
        </w:tblCellMar>
        <w:tblLook w:val="04A0" w:firstRow="1" w:lastRow="0" w:firstColumn="1" w:lastColumn="0" w:noHBand="0" w:noVBand="1"/>
      </w:tblPr>
      <w:tblGrid>
        <w:gridCol w:w="4060"/>
        <w:gridCol w:w="1240"/>
        <w:gridCol w:w="1280"/>
      </w:tblGrid>
      <w:tr w:rsidR="0023149C" w:rsidRPr="0023149C" w:rsidTr="0023149C">
        <w:trPr>
          <w:trHeight w:val="300"/>
        </w:trPr>
        <w:tc>
          <w:tcPr>
            <w:tcW w:w="4060" w:type="dxa"/>
            <w:tcBorders>
              <w:top w:val="nil"/>
              <w:left w:val="nil"/>
              <w:bottom w:val="nil"/>
              <w:right w:val="nil"/>
            </w:tcBorders>
            <w:shd w:val="clear" w:color="auto" w:fill="auto"/>
            <w:noWrap/>
            <w:vAlign w:val="bottom"/>
            <w:hideMark/>
          </w:tcPr>
          <w:p w:rsidR="0023149C" w:rsidRPr="0023149C" w:rsidRDefault="0023149C" w:rsidP="0023149C">
            <w:pPr>
              <w:rPr>
                <w:rFonts w:ascii="Calibri" w:hAnsi="Calibri" w:cs="Calibri"/>
                <w:color w:val="000000"/>
                <w:sz w:val="22"/>
                <w:szCs w:val="22"/>
                <w:lang w:val="es-ES"/>
              </w:rPr>
            </w:pPr>
          </w:p>
        </w:tc>
        <w:tc>
          <w:tcPr>
            <w:tcW w:w="12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23149C" w:rsidRPr="0023149C" w:rsidRDefault="0023149C" w:rsidP="0023149C">
            <w:pPr>
              <w:jc w:val="center"/>
              <w:rPr>
                <w:rFonts w:ascii="Lucida Bright" w:hAnsi="Lucida Bright" w:cs="Calibri"/>
                <w:b/>
                <w:bCs/>
                <w:color w:val="000000"/>
                <w:sz w:val="14"/>
                <w:szCs w:val="14"/>
                <w:lang w:val="es-ES"/>
              </w:rPr>
            </w:pPr>
            <w:r w:rsidRPr="0023149C">
              <w:rPr>
                <w:rFonts w:ascii="Lucida Bright" w:hAnsi="Lucida Bright" w:cs="Calibri"/>
                <w:b/>
                <w:bCs/>
                <w:color w:val="000000"/>
                <w:sz w:val="14"/>
                <w:szCs w:val="14"/>
                <w:lang w:val="es-ES"/>
              </w:rPr>
              <w:t>2024</w:t>
            </w:r>
          </w:p>
        </w:tc>
        <w:tc>
          <w:tcPr>
            <w:tcW w:w="1280" w:type="dxa"/>
            <w:tcBorders>
              <w:top w:val="single" w:sz="4" w:space="0" w:color="auto"/>
              <w:left w:val="nil"/>
              <w:bottom w:val="single" w:sz="4" w:space="0" w:color="auto"/>
              <w:right w:val="single" w:sz="4" w:space="0" w:color="auto"/>
            </w:tcBorders>
            <w:shd w:val="clear" w:color="000000" w:fill="CCFFCC"/>
            <w:noWrap/>
            <w:vAlign w:val="center"/>
            <w:hideMark/>
          </w:tcPr>
          <w:p w:rsidR="0023149C" w:rsidRPr="0023149C" w:rsidRDefault="0023149C" w:rsidP="0023149C">
            <w:pPr>
              <w:jc w:val="center"/>
              <w:rPr>
                <w:rFonts w:ascii="Lucida Bright" w:hAnsi="Lucida Bright" w:cs="Calibri"/>
                <w:b/>
                <w:bCs/>
                <w:color w:val="000000"/>
                <w:sz w:val="14"/>
                <w:szCs w:val="14"/>
                <w:lang w:val="es-ES"/>
              </w:rPr>
            </w:pPr>
            <w:r w:rsidRPr="0023149C">
              <w:rPr>
                <w:rFonts w:ascii="Lucida Bright" w:hAnsi="Lucida Bright" w:cs="Calibri"/>
                <w:b/>
                <w:bCs/>
                <w:color w:val="000000"/>
                <w:sz w:val="14"/>
                <w:szCs w:val="14"/>
                <w:lang w:val="es-ES"/>
              </w:rPr>
              <w:t>2023</w:t>
            </w:r>
          </w:p>
        </w:tc>
      </w:tr>
      <w:tr w:rsidR="0023149C" w:rsidRPr="0023149C" w:rsidTr="0023149C">
        <w:trPr>
          <w:trHeight w:val="300"/>
        </w:trPr>
        <w:tc>
          <w:tcPr>
            <w:tcW w:w="4060"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23149C" w:rsidRPr="0023149C" w:rsidRDefault="0023149C" w:rsidP="0023149C">
            <w:pPr>
              <w:rPr>
                <w:rFonts w:ascii="Lucida Bright" w:hAnsi="Lucida Bright" w:cs="Calibri"/>
                <w:b/>
                <w:bCs/>
                <w:sz w:val="14"/>
                <w:szCs w:val="14"/>
                <w:lang w:val="es-ES"/>
              </w:rPr>
            </w:pPr>
            <w:r w:rsidRPr="0023149C">
              <w:rPr>
                <w:rFonts w:ascii="Lucida Bright" w:hAnsi="Lucida Bright" w:cs="Calibri"/>
                <w:b/>
                <w:bCs/>
                <w:sz w:val="14"/>
                <w:szCs w:val="14"/>
                <w:lang w:val="es-ES"/>
              </w:rPr>
              <w:t>V. Inversiones financieras a corto plazo.</w:t>
            </w:r>
          </w:p>
        </w:tc>
        <w:tc>
          <w:tcPr>
            <w:tcW w:w="1240" w:type="dxa"/>
            <w:tcBorders>
              <w:top w:val="nil"/>
              <w:left w:val="nil"/>
              <w:bottom w:val="single" w:sz="4" w:space="0" w:color="auto"/>
              <w:right w:val="single" w:sz="4" w:space="0" w:color="auto"/>
            </w:tcBorders>
            <w:shd w:val="clear" w:color="000000" w:fill="CCFFCC"/>
            <w:noWrap/>
            <w:vAlign w:val="bottom"/>
            <w:hideMark/>
          </w:tcPr>
          <w:p w:rsidR="0023149C" w:rsidRPr="0023149C" w:rsidRDefault="0023149C" w:rsidP="0023149C">
            <w:pPr>
              <w:jc w:val="right"/>
              <w:rPr>
                <w:rFonts w:ascii="Lucida Bright" w:hAnsi="Lucida Bright" w:cs="Calibri"/>
                <w:b/>
                <w:bCs/>
                <w:sz w:val="14"/>
                <w:szCs w:val="14"/>
                <w:lang w:val="es-ES"/>
              </w:rPr>
            </w:pPr>
            <w:r w:rsidRPr="0023149C">
              <w:rPr>
                <w:rFonts w:ascii="Lucida Bright" w:hAnsi="Lucida Bright" w:cs="Calibri"/>
                <w:b/>
                <w:bCs/>
                <w:sz w:val="14"/>
                <w:szCs w:val="14"/>
                <w:lang w:val="es-ES"/>
              </w:rPr>
              <w:t xml:space="preserve">127.580.370,26 </w:t>
            </w:r>
          </w:p>
        </w:tc>
        <w:tc>
          <w:tcPr>
            <w:tcW w:w="1280" w:type="dxa"/>
            <w:tcBorders>
              <w:top w:val="nil"/>
              <w:left w:val="nil"/>
              <w:bottom w:val="single" w:sz="4" w:space="0" w:color="auto"/>
              <w:right w:val="single" w:sz="4" w:space="0" w:color="auto"/>
            </w:tcBorders>
            <w:shd w:val="clear" w:color="000000" w:fill="CCFFCC"/>
            <w:noWrap/>
            <w:vAlign w:val="bottom"/>
            <w:hideMark/>
          </w:tcPr>
          <w:p w:rsidR="0023149C" w:rsidRPr="0023149C" w:rsidRDefault="0023149C" w:rsidP="0023149C">
            <w:pPr>
              <w:jc w:val="right"/>
              <w:rPr>
                <w:rFonts w:ascii="Lucida Bright" w:hAnsi="Lucida Bright" w:cs="Calibri"/>
                <w:b/>
                <w:bCs/>
                <w:sz w:val="14"/>
                <w:szCs w:val="14"/>
                <w:lang w:val="es-ES"/>
              </w:rPr>
            </w:pPr>
            <w:r w:rsidRPr="0023149C">
              <w:rPr>
                <w:rFonts w:ascii="Lucida Bright" w:hAnsi="Lucida Bright" w:cs="Calibri"/>
                <w:b/>
                <w:bCs/>
                <w:sz w:val="14"/>
                <w:szCs w:val="14"/>
                <w:lang w:val="es-ES"/>
              </w:rPr>
              <w:t xml:space="preserve">131.695.220,44 </w:t>
            </w:r>
          </w:p>
        </w:tc>
      </w:tr>
      <w:tr w:rsidR="0023149C" w:rsidRPr="0023149C" w:rsidTr="0023149C">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center"/>
            <w:hideMark/>
          </w:tcPr>
          <w:p w:rsidR="0023149C" w:rsidRPr="0023149C" w:rsidRDefault="0023149C" w:rsidP="0023149C">
            <w:pPr>
              <w:rPr>
                <w:rFonts w:ascii="Lucida Bright" w:hAnsi="Lucida Bright" w:cs="Calibri"/>
                <w:b/>
                <w:bCs/>
                <w:sz w:val="14"/>
                <w:szCs w:val="14"/>
                <w:lang w:val="es-ES"/>
              </w:rPr>
            </w:pPr>
            <w:r w:rsidRPr="0023149C">
              <w:rPr>
                <w:rFonts w:ascii="Lucida Bright" w:hAnsi="Lucida Bright" w:cs="Calibri"/>
                <w:b/>
                <w:bCs/>
                <w:sz w:val="14"/>
                <w:szCs w:val="14"/>
                <w:lang w:val="es-ES"/>
              </w:rPr>
              <w:t>3. Otros activos financieros</w:t>
            </w:r>
          </w:p>
        </w:tc>
        <w:tc>
          <w:tcPr>
            <w:tcW w:w="1240" w:type="dxa"/>
            <w:tcBorders>
              <w:top w:val="nil"/>
              <w:left w:val="nil"/>
              <w:bottom w:val="single" w:sz="4" w:space="0" w:color="auto"/>
              <w:right w:val="single" w:sz="4" w:space="0" w:color="auto"/>
            </w:tcBorders>
            <w:shd w:val="clear" w:color="auto" w:fill="auto"/>
            <w:noWrap/>
            <w:vAlign w:val="bottom"/>
            <w:hideMark/>
          </w:tcPr>
          <w:p w:rsidR="0023149C" w:rsidRPr="0023149C" w:rsidRDefault="0023149C" w:rsidP="0023149C">
            <w:pPr>
              <w:jc w:val="right"/>
              <w:rPr>
                <w:rFonts w:ascii="Lucida Bright" w:hAnsi="Lucida Bright" w:cs="Calibri"/>
                <w:b/>
                <w:bCs/>
                <w:sz w:val="14"/>
                <w:szCs w:val="14"/>
                <w:lang w:val="es-ES"/>
              </w:rPr>
            </w:pPr>
            <w:r w:rsidRPr="0023149C">
              <w:rPr>
                <w:rFonts w:ascii="Lucida Bright" w:hAnsi="Lucida Bright" w:cs="Calibri"/>
                <w:b/>
                <w:bCs/>
                <w:sz w:val="14"/>
                <w:szCs w:val="14"/>
                <w:lang w:val="es-ES"/>
              </w:rPr>
              <w:t xml:space="preserve">127.580.370,26 </w:t>
            </w:r>
          </w:p>
        </w:tc>
        <w:tc>
          <w:tcPr>
            <w:tcW w:w="1280" w:type="dxa"/>
            <w:tcBorders>
              <w:top w:val="nil"/>
              <w:left w:val="nil"/>
              <w:bottom w:val="single" w:sz="4" w:space="0" w:color="auto"/>
              <w:right w:val="single" w:sz="4" w:space="0" w:color="auto"/>
            </w:tcBorders>
            <w:shd w:val="clear" w:color="auto" w:fill="auto"/>
            <w:noWrap/>
            <w:vAlign w:val="bottom"/>
            <w:hideMark/>
          </w:tcPr>
          <w:p w:rsidR="0023149C" w:rsidRPr="0023149C" w:rsidRDefault="0023149C" w:rsidP="0023149C">
            <w:pPr>
              <w:jc w:val="right"/>
              <w:rPr>
                <w:rFonts w:ascii="Lucida Bright" w:hAnsi="Lucida Bright" w:cs="Calibri"/>
                <w:b/>
                <w:bCs/>
                <w:sz w:val="14"/>
                <w:szCs w:val="14"/>
                <w:lang w:val="es-ES"/>
              </w:rPr>
            </w:pPr>
            <w:r w:rsidRPr="0023149C">
              <w:rPr>
                <w:rFonts w:ascii="Lucida Bright" w:hAnsi="Lucida Bright" w:cs="Calibri"/>
                <w:b/>
                <w:bCs/>
                <w:sz w:val="14"/>
                <w:szCs w:val="14"/>
                <w:lang w:val="es-ES"/>
              </w:rPr>
              <w:t xml:space="preserve">131.695.220,44 </w:t>
            </w:r>
          </w:p>
        </w:tc>
      </w:tr>
      <w:tr w:rsidR="0023149C" w:rsidRPr="0023149C" w:rsidTr="0023149C">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23149C" w:rsidRPr="0023149C" w:rsidRDefault="0023149C" w:rsidP="0023149C">
            <w:pPr>
              <w:rPr>
                <w:rFonts w:ascii="Lucida Bright" w:hAnsi="Lucida Bright" w:cs="Calibri"/>
                <w:sz w:val="14"/>
                <w:szCs w:val="14"/>
                <w:lang w:val="es-ES"/>
              </w:rPr>
            </w:pPr>
            <w:r w:rsidRPr="0023149C">
              <w:rPr>
                <w:rFonts w:ascii="Lucida Bright" w:hAnsi="Lucida Bright" w:cs="Calibri"/>
                <w:sz w:val="14"/>
                <w:szCs w:val="14"/>
                <w:lang w:val="es-ES"/>
              </w:rPr>
              <w:t>Imposiciones a c.p.</w:t>
            </w:r>
          </w:p>
        </w:tc>
        <w:tc>
          <w:tcPr>
            <w:tcW w:w="1240" w:type="dxa"/>
            <w:tcBorders>
              <w:top w:val="nil"/>
              <w:left w:val="nil"/>
              <w:bottom w:val="single" w:sz="4" w:space="0" w:color="auto"/>
              <w:right w:val="single" w:sz="4" w:space="0" w:color="auto"/>
            </w:tcBorders>
            <w:shd w:val="clear" w:color="000000" w:fill="FFFFFF"/>
            <w:noWrap/>
            <w:vAlign w:val="bottom"/>
            <w:hideMark/>
          </w:tcPr>
          <w:p w:rsidR="0023149C" w:rsidRPr="0023149C" w:rsidRDefault="0023149C" w:rsidP="0023149C">
            <w:pPr>
              <w:jc w:val="right"/>
              <w:rPr>
                <w:rFonts w:ascii="Lucida Bright" w:hAnsi="Lucida Bright" w:cs="Calibri"/>
                <w:sz w:val="14"/>
                <w:szCs w:val="14"/>
                <w:lang w:val="es-ES"/>
              </w:rPr>
            </w:pPr>
            <w:r w:rsidRPr="0023149C">
              <w:rPr>
                <w:rFonts w:ascii="Lucida Bright" w:hAnsi="Lucida Bright" w:cs="Calibri"/>
                <w:sz w:val="14"/>
                <w:szCs w:val="14"/>
                <w:lang w:val="es-ES"/>
              </w:rPr>
              <w:t xml:space="preserve">126.500.000,00 </w:t>
            </w:r>
          </w:p>
        </w:tc>
        <w:tc>
          <w:tcPr>
            <w:tcW w:w="1280" w:type="dxa"/>
            <w:tcBorders>
              <w:top w:val="nil"/>
              <w:left w:val="nil"/>
              <w:bottom w:val="single" w:sz="4" w:space="0" w:color="auto"/>
              <w:right w:val="single" w:sz="4" w:space="0" w:color="auto"/>
            </w:tcBorders>
            <w:shd w:val="clear" w:color="000000" w:fill="FFFFFF"/>
            <w:noWrap/>
            <w:vAlign w:val="bottom"/>
            <w:hideMark/>
          </w:tcPr>
          <w:p w:rsidR="0023149C" w:rsidRPr="0023149C" w:rsidRDefault="0023149C" w:rsidP="0023149C">
            <w:pPr>
              <w:jc w:val="right"/>
              <w:rPr>
                <w:rFonts w:ascii="Lucida Bright" w:hAnsi="Lucida Bright" w:cs="Calibri"/>
                <w:sz w:val="14"/>
                <w:szCs w:val="14"/>
                <w:lang w:val="es-ES"/>
              </w:rPr>
            </w:pPr>
            <w:r w:rsidRPr="0023149C">
              <w:rPr>
                <w:rFonts w:ascii="Lucida Bright" w:hAnsi="Lucida Bright" w:cs="Calibri"/>
                <w:sz w:val="14"/>
                <w:szCs w:val="14"/>
                <w:lang w:val="es-ES"/>
              </w:rPr>
              <w:t xml:space="preserve">130.000.000,00 </w:t>
            </w:r>
          </w:p>
        </w:tc>
      </w:tr>
      <w:tr w:rsidR="0023149C" w:rsidRPr="0023149C" w:rsidTr="0023149C">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23149C" w:rsidRPr="0023149C" w:rsidRDefault="0023149C" w:rsidP="0023149C">
            <w:pPr>
              <w:rPr>
                <w:rFonts w:ascii="Lucida Bright" w:hAnsi="Lucida Bright" w:cs="Calibri"/>
                <w:sz w:val="14"/>
                <w:szCs w:val="14"/>
                <w:lang w:val="es-ES"/>
              </w:rPr>
            </w:pPr>
            <w:r w:rsidRPr="0023149C">
              <w:rPr>
                <w:rFonts w:ascii="Lucida Bright" w:hAnsi="Lucida Bright" w:cs="Calibri"/>
                <w:sz w:val="14"/>
                <w:szCs w:val="14"/>
                <w:lang w:val="es-ES"/>
              </w:rPr>
              <w:t>Intereses a c.p.</w:t>
            </w:r>
          </w:p>
        </w:tc>
        <w:tc>
          <w:tcPr>
            <w:tcW w:w="1240" w:type="dxa"/>
            <w:tcBorders>
              <w:top w:val="nil"/>
              <w:left w:val="nil"/>
              <w:bottom w:val="single" w:sz="4" w:space="0" w:color="auto"/>
              <w:right w:val="single" w:sz="4" w:space="0" w:color="auto"/>
            </w:tcBorders>
            <w:shd w:val="clear" w:color="000000" w:fill="FFFFFF"/>
            <w:noWrap/>
            <w:vAlign w:val="bottom"/>
            <w:hideMark/>
          </w:tcPr>
          <w:p w:rsidR="0023149C" w:rsidRPr="0023149C" w:rsidRDefault="0023149C" w:rsidP="0023149C">
            <w:pPr>
              <w:jc w:val="right"/>
              <w:rPr>
                <w:rFonts w:ascii="Lucida Bright" w:hAnsi="Lucida Bright" w:cs="Calibri"/>
                <w:sz w:val="14"/>
                <w:szCs w:val="14"/>
                <w:lang w:val="es-ES"/>
              </w:rPr>
            </w:pPr>
            <w:r w:rsidRPr="0023149C">
              <w:rPr>
                <w:rFonts w:ascii="Lucida Bright" w:hAnsi="Lucida Bright" w:cs="Calibri"/>
                <w:sz w:val="14"/>
                <w:szCs w:val="14"/>
                <w:lang w:val="es-ES"/>
              </w:rPr>
              <w:t xml:space="preserve">1.032.794,36 </w:t>
            </w:r>
          </w:p>
        </w:tc>
        <w:tc>
          <w:tcPr>
            <w:tcW w:w="1280" w:type="dxa"/>
            <w:tcBorders>
              <w:top w:val="nil"/>
              <w:left w:val="nil"/>
              <w:bottom w:val="single" w:sz="4" w:space="0" w:color="auto"/>
              <w:right w:val="single" w:sz="4" w:space="0" w:color="auto"/>
            </w:tcBorders>
            <w:shd w:val="clear" w:color="000000" w:fill="FFFFFF"/>
            <w:noWrap/>
            <w:vAlign w:val="bottom"/>
            <w:hideMark/>
          </w:tcPr>
          <w:p w:rsidR="0023149C" w:rsidRPr="0023149C" w:rsidRDefault="0023149C" w:rsidP="0023149C">
            <w:pPr>
              <w:jc w:val="right"/>
              <w:rPr>
                <w:rFonts w:ascii="Lucida Bright" w:hAnsi="Lucida Bright" w:cs="Calibri"/>
                <w:sz w:val="14"/>
                <w:szCs w:val="14"/>
                <w:lang w:val="es-ES"/>
              </w:rPr>
            </w:pPr>
            <w:r w:rsidRPr="0023149C">
              <w:rPr>
                <w:rFonts w:ascii="Lucida Bright" w:hAnsi="Lucida Bright" w:cs="Calibri"/>
                <w:sz w:val="14"/>
                <w:szCs w:val="14"/>
                <w:lang w:val="es-ES"/>
              </w:rPr>
              <w:t xml:space="preserve">1.643.344,19 </w:t>
            </w:r>
          </w:p>
        </w:tc>
      </w:tr>
      <w:tr w:rsidR="0023149C" w:rsidRPr="0023149C" w:rsidTr="0023149C">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23149C" w:rsidRPr="0023149C" w:rsidRDefault="0023149C" w:rsidP="0023149C">
            <w:pPr>
              <w:rPr>
                <w:rFonts w:ascii="Lucida Bright" w:hAnsi="Lucida Bright" w:cs="Calibri"/>
                <w:sz w:val="14"/>
                <w:szCs w:val="14"/>
                <w:lang w:val="es-ES"/>
              </w:rPr>
            </w:pPr>
            <w:r w:rsidRPr="0023149C">
              <w:rPr>
                <w:rFonts w:ascii="Lucida Bright" w:hAnsi="Lucida Bright" w:cs="Calibri"/>
                <w:sz w:val="14"/>
                <w:szCs w:val="14"/>
                <w:lang w:val="es-ES"/>
              </w:rPr>
              <w:t>Fianzas y depósitos constituidas a c.p.</w:t>
            </w:r>
          </w:p>
        </w:tc>
        <w:tc>
          <w:tcPr>
            <w:tcW w:w="1240" w:type="dxa"/>
            <w:tcBorders>
              <w:top w:val="nil"/>
              <w:left w:val="nil"/>
              <w:bottom w:val="single" w:sz="4" w:space="0" w:color="auto"/>
              <w:right w:val="single" w:sz="4" w:space="0" w:color="auto"/>
            </w:tcBorders>
            <w:shd w:val="clear" w:color="000000" w:fill="FFFFFF"/>
            <w:noWrap/>
            <w:vAlign w:val="bottom"/>
            <w:hideMark/>
          </w:tcPr>
          <w:p w:rsidR="0023149C" w:rsidRPr="0023149C" w:rsidRDefault="0023149C" w:rsidP="0023149C">
            <w:pPr>
              <w:jc w:val="right"/>
              <w:rPr>
                <w:rFonts w:ascii="Lucida Bright" w:hAnsi="Lucida Bright" w:cs="Calibri"/>
                <w:sz w:val="14"/>
                <w:szCs w:val="14"/>
                <w:lang w:val="es-ES"/>
              </w:rPr>
            </w:pPr>
            <w:r w:rsidRPr="0023149C">
              <w:rPr>
                <w:rFonts w:ascii="Lucida Bright" w:hAnsi="Lucida Bright" w:cs="Calibri"/>
                <w:sz w:val="14"/>
                <w:szCs w:val="14"/>
                <w:lang w:val="es-ES"/>
              </w:rPr>
              <w:t xml:space="preserve">47.575,90 </w:t>
            </w:r>
          </w:p>
        </w:tc>
        <w:tc>
          <w:tcPr>
            <w:tcW w:w="1280" w:type="dxa"/>
            <w:tcBorders>
              <w:top w:val="nil"/>
              <w:left w:val="nil"/>
              <w:bottom w:val="single" w:sz="4" w:space="0" w:color="auto"/>
              <w:right w:val="single" w:sz="4" w:space="0" w:color="auto"/>
            </w:tcBorders>
            <w:shd w:val="clear" w:color="000000" w:fill="FFFFFF"/>
            <w:noWrap/>
            <w:vAlign w:val="bottom"/>
            <w:hideMark/>
          </w:tcPr>
          <w:p w:rsidR="0023149C" w:rsidRPr="0023149C" w:rsidRDefault="0023149C" w:rsidP="0023149C">
            <w:pPr>
              <w:jc w:val="right"/>
              <w:rPr>
                <w:rFonts w:ascii="Lucida Bright" w:hAnsi="Lucida Bright" w:cs="Calibri"/>
                <w:sz w:val="14"/>
                <w:szCs w:val="14"/>
                <w:lang w:val="es-ES"/>
              </w:rPr>
            </w:pPr>
            <w:r w:rsidRPr="0023149C">
              <w:rPr>
                <w:rFonts w:ascii="Lucida Bright" w:hAnsi="Lucida Bright" w:cs="Calibri"/>
                <w:sz w:val="14"/>
                <w:szCs w:val="14"/>
                <w:lang w:val="es-ES"/>
              </w:rPr>
              <w:t xml:space="preserve">51.876,25 </w:t>
            </w:r>
          </w:p>
        </w:tc>
      </w:tr>
    </w:tbl>
    <w:p w:rsidR="00C84DA4" w:rsidRDefault="00C84DA4" w:rsidP="003930DB">
      <w:pPr>
        <w:tabs>
          <w:tab w:val="right" w:pos="8364"/>
        </w:tabs>
        <w:jc w:val="both"/>
        <w:rPr>
          <w:sz w:val="24"/>
        </w:rPr>
      </w:pPr>
    </w:p>
    <w:p w:rsidR="00C84DA4" w:rsidRDefault="00C84DA4" w:rsidP="003930DB">
      <w:pPr>
        <w:tabs>
          <w:tab w:val="right" w:pos="8364"/>
        </w:tabs>
        <w:jc w:val="both"/>
        <w:rPr>
          <w:sz w:val="24"/>
        </w:rPr>
      </w:pPr>
    </w:p>
    <w:p w:rsidR="00456615" w:rsidRDefault="00456615" w:rsidP="003930DB">
      <w:pPr>
        <w:tabs>
          <w:tab w:val="right" w:pos="8364"/>
        </w:tabs>
        <w:jc w:val="both"/>
        <w:rPr>
          <w:sz w:val="24"/>
        </w:rPr>
      </w:pPr>
    </w:p>
    <w:p w:rsidR="00F060F3" w:rsidRDefault="00F060F3" w:rsidP="003930DB">
      <w:pPr>
        <w:tabs>
          <w:tab w:val="right" w:pos="8364"/>
        </w:tabs>
        <w:jc w:val="both"/>
        <w:rPr>
          <w:sz w:val="24"/>
        </w:rPr>
      </w:pPr>
    </w:p>
    <w:p w:rsidR="00F060F3" w:rsidRDefault="00F060F3" w:rsidP="003930DB">
      <w:pPr>
        <w:tabs>
          <w:tab w:val="right" w:pos="8364"/>
        </w:tabs>
        <w:jc w:val="both"/>
        <w:rPr>
          <w:sz w:val="24"/>
        </w:rPr>
      </w:pPr>
    </w:p>
    <w:p w:rsidR="00F060F3" w:rsidRDefault="00F060F3" w:rsidP="003930DB">
      <w:pPr>
        <w:tabs>
          <w:tab w:val="right" w:pos="8364"/>
        </w:tabs>
        <w:jc w:val="both"/>
        <w:rPr>
          <w:sz w:val="24"/>
        </w:rPr>
      </w:pPr>
    </w:p>
    <w:p w:rsidR="0046575F" w:rsidRDefault="0046575F" w:rsidP="003930DB">
      <w:pPr>
        <w:tabs>
          <w:tab w:val="right" w:pos="8364"/>
        </w:tabs>
        <w:jc w:val="both"/>
        <w:rPr>
          <w:sz w:val="24"/>
        </w:rPr>
      </w:pPr>
    </w:p>
    <w:p w:rsidR="0046575F" w:rsidRDefault="0046575F" w:rsidP="003930DB">
      <w:pPr>
        <w:tabs>
          <w:tab w:val="right" w:pos="8364"/>
        </w:tabs>
        <w:jc w:val="both"/>
        <w:rPr>
          <w:sz w:val="24"/>
        </w:rPr>
      </w:pPr>
    </w:p>
    <w:p w:rsidR="0046575F" w:rsidRDefault="0046575F" w:rsidP="003930DB">
      <w:pPr>
        <w:tabs>
          <w:tab w:val="right" w:pos="8364"/>
        </w:tabs>
        <w:jc w:val="both"/>
        <w:rPr>
          <w:sz w:val="24"/>
        </w:rPr>
      </w:pPr>
    </w:p>
    <w:p w:rsidR="00F060F3" w:rsidRDefault="00F060F3" w:rsidP="003930DB">
      <w:pPr>
        <w:tabs>
          <w:tab w:val="right" w:pos="8364"/>
        </w:tabs>
        <w:jc w:val="both"/>
        <w:rPr>
          <w:sz w:val="24"/>
        </w:rPr>
      </w:pPr>
    </w:p>
    <w:p w:rsidR="00FF21A0" w:rsidRDefault="00F706A9" w:rsidP="00D85649">
      <w:pPr>
        <w:tabs>
          <w:tab w:val="right" w:pos="8364"/>
        </w:tabs>
        <w:ind w:left="120"/>
        <w:jc w:val="both"/>
        <w:rPr>
          <w:rFonts w:ascii="NewBaskerville" w:hAnsi="NewBaskerville"/>
        </w:rPr>
      </w:pPr>
      <w:r w:rsidRPr="00E867B3">
        <w:rPr>
          <w:rFonts w:ascii="NewBaskerville" w:hAnsi="NewBaskerville"/>
        </w:rPr>
        <w:t>9</w:t>
      </w:r>
      <w:r w:rsidR="00F348FE" w:rsidRPr="00E867B3">
        <w:rPr>
          <w:rFonts w:ascii="NewBaskerville" w:hAnsi="NewBaskerville"/>
        </w:rPr>
        <w:t xml:space="preserve">.2 </w:t>
      </w:r>
      <w:r w:rsidR="00FF21A0" w:rsidRPr="00E867B3">
        <w:rPr>
          <w:rFonts w:ascii="NewBaskerville" w:hAnsi="NewBaskerville"/>
        </w:rPr>
        <w:t xml:space="preserve">Pasivos financieros </w:t>
      </w:r>
    </w:p>
    <w:p w:rsidR="00FA6263" w:rsidRDefault="00FA6263" w:rsidP="00D85649">
      <w:pPr>
        <w:tabs>
          <w:tab w:val="right" w:pos="8364"/>
        </w:tabs>
        <w:ind w:left="120"/>
        <w:jc w:val="both"/>
        <w:rPr>
          <w:rFonts w:ascii="NewBaskerville" w:hAnsi="NewBaskerville"/>
        </w:rPr>
      </w:pPr>
    </w:p>
    <w:tbl>
      <w:tblPr>
        <w:tblW w:w="0" w:type="auto"/>
        <w:tblCellMar>
          <w:left w:w="70" w:type="dxa"/>
          <w:right w:w="70" w:type="dxa"/>
        </w:tblCellMar>
        <w:tblLook w:val="04A0" w:firstRow="1" w:lastRow="0" w:firstColumn="1" w:lastColumn="0" w:noHBand="0" w:noVBand="1"/>
      </w:tblPr>
      <w:tblGrid>
        <w:gridCol w:w="2935"/>
        <w:gridCol w:w="943"/>
        <w:gridCol w:w="943"/>
        <w:gridCol w:w="1141"/>
        <w:gridCol w:w="1141"/>
        <w:gridCol w:w="1125"/>
        <w:gridCol w:w="1125"/>
      </w:tblGrid>
      <w:tr w:rsidR="00FA6263" w:rsidRPr="00FA6263" w:rsidTr="00FA6263">
        <w:trPr>
          <w:trHeight w:val="300"/>
        </w:trPr>
        <w:tc>
          <w:tcPr>
            <w:tcW w:w="0" w:type="auto"/>
            <w:gridSpan w:val="7"/>
            <w:tcBorders>
              <w:top w:val="nil"/>
              <w:left w:val="nil"/>
              <w:bottom w:val="single" w:sz="4" w:space="0" w:color="auto"/>
              <w:right w:val="nil"/>
            </w:tcBorders>
            <w:shd w:val="clear" w:color="000000" w:fill="FFFFFF"/>
            <w:noWrap/>
            <w:vAlign w:val="bottom"/>
            <w:hideMark/>
          </w:tcPr>
          <w:p w:rsidR="00FA6263" w:rsidRPr="00FA6263" w:rsidRDefault="00FA6263" w:rsidP="00FA6263">
            <w:pPr>
              <w:rPr>
                <w:rFonts w:ascii="Lucida Bright" w:hAnsi="Lucida Bright" w:cs="Calibri"/>
                <w:b/>
                <w:bCs/>
                <w:sz w:val="18"/>
                <w:szCs w:val="18"/>
                <w:lang w:val="es-ES"/>
              </w:rPr>
            </w:pPr>
            <w:r w:rsidRPr="00FA6263">
              <w:rPr>
                <w:rFonts w:ascii="Lucida Bright" w:hAnsi="Lucida Bright" w:cs="Calibri"/>
                <w:b/>
                <w:bCs/>
                <w:sz w:val="18"/>
                <w:szCs w:val="18"/>
                <w:lang w:val="es-ES"/>
              </w:rPr>
              <w:t xml:space="preserve">CUADRO: CATEGORÍAS DE PASIVOS FINANCIEROS 2024 </w:t>
            </w:r>
            <w:r w:rsidRPr="00FA6263">
              <w:rPr>
                <w:rFonts w:ascii="Lucida Bright" w:hAnsi="Lucida Bright" w:cs="Calibri"/>
                <w:sz w:val="14"/>
                <w:szCs w:val="14"/>
                <w:lang w:val="es-ES"/>
              </w:rPr>
              <w:t>(en euros)</w:t>
            </w:r>
          </w:p>
        </w:tc>
      </w:tr>
      <w:tr w:rsidR="00FA6263" w:rsidRPr="00FA6263" w:rsidTr="00FA6263">
        <w:trPr>
          <w:trHeight w:val="300"/>
        </w:trPr>
        <w:tc>
          <w:tcPr>
            <w:tcW w:w="0" w:type="auto"/>
            <w:tcBorders>
              <w:top w:val="nil"/>
              <w:left w:val="single" w:sz="4" w:space="0" w:color="auto"/>
              <w:bottom w:val="nil"/>
              <w:right w:val="single" w:sz="4" w:space="0" w:color="auto"/>
            </w:tcBorders>
            <w:shd w:val="clear" w:color="000000" w:fill="CCFFCC"/>
            <w:noWrap/>
            <w:vAlign w:val="center"/>
            <w:hideMark/>
          </w:tcPr>
          <w:p w:rsidR="00FA6263" w:rsidRPr="00FA6263" w:rsidRDefault="00FA6263" w:rsidP="00FA6263">
            <w:pP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 xml:space="preserve">                          Clases                                                                        </w:t>
            </w:r>
          </w:p>
        </w:tc>
        <w:tc>
          <w:tcPr>
            <w:tcW w:w="0" w:type="auto"/>
            <w:gridSpan w:val="6"/>
            <w:tcBorders>
              <w:top w:val="single" w:sz="4" w:space="0" w:color="auto"/>
              <w:left w:val="nil"/>
              <w:bottom w:val="single" w:sz="4" w:space="0" w:color="auto"/>
              <w:right w:val="single" w:sz="4" w:space="0" w:color="auto"/>
            </w:tcBorders>
            <w:shd w:val="clear" w:color="000000" w:fill="CCFFCC"/>
            <w:noWrap/>
            <w:vAlign w:val="bottom"/>
            <w:hideMark/>
          </w:tcPr>
          <w:p w:rsidR="00FA6263" w:rsidRPr="00FA6263" w:rsidRDefault="00FA6263" w:rsidP="00FA6263">
            <w:pPr>
              <w:jc w:val="cente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Instrumentos financieros a largo plazo</w:t>
            </w:r>
          </w:p>
        </w:tc>
      </w:tr>
      <w:tr w:rsidR="00FA6263" w:rsidRPr="00FA6263" w:rsidTr="00FA6263">
        <w:trPr>
          <w:trHeight w:val="300"/>
        </w:trPr>
        <w:tc>
          <w:tcPr>
            <w:tcW w:w="0" w:type="auto"/>
            <w:tcBorders>
              <w:top w:val="nil"/>
              <w:left w:val="single" w:sz="4" w:space="0" w:color="auto"/>
              <w:bottom w:val="nil"/>
              <w:right w:val="single" w:sz="4" w:space="0" w:color="auto"/>
              <w:tl2br w:val="single" w:sz="4" w:space="0" w:color="auto"/>
            </w:tcBorders>
            <w:shd w:val="clear" w:color="000000" w:fill="CCFFCC"/>
            <w:noWrap/>
            <w:hideMark/>
          </w:tcPr>
          <w:p w:rsidR="00FA6263" w:rsidRPr="00FA6263" w:rsidRDefault="00FA6263" w:rsidP="00FA6263">
            <w:pP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 </w:t>
            </w:r>
          </w:p>
        </w:tc>
        <w:tc>
          <w:tcPr>
            <w:tcW w:w="0" w:type="auto"/>
            <w:gridSpan w:val="2"/>
            <w:tcBorders>
              <w:top w:val="single" w:sz="4" w:space="0" w:color="auto"/>
              <w:left w:val="nil"/>
              <w:bottom w:val="single" w:sz="4" w:space="0" w:color="auto"/>
              <w:right w:val="single" w:sz="4" w:space="0" w:color="000000"/>
            </w:tcBorders>
            <w:shd w:val="clear" w:color="000000" w:fill="CCFFCC"/>
            <w:vAlign w:val="center"/>
            <w:hideMark/>
          </w:tcPr>
          <w:p w:rsidR="00FA6263" w:rsidRPr="00FA6263" w:rsidRDefault="00FA6263" w:rsidP="00FA6263">
            <w:pPr>
              <w:jc w:val="cente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Deudas con entidades de crédito</w:t>
            </w:r>
          </w:p>
        </w:tc>
        <w:tc>
          <w:tcPr>
            <w:tcW w:w="0" w:type="auto"/>
            <w:gridSpan w:val="2"/>
            <w:tcBorders>
              <w:top w:val="single" w:sz="4" w:space="0" w:color="auto"/>
              <w:left w:val="nil"/>
              <w:bottom w:val="single" w:sz="4" w:space="0" w:color="auto"/>
              <w:right w:val="single" w:sz="4" w:space="0" w:color="auto"/>
            </w:tcBorders>
            <w:shd w:val="clear" w:color="000000" w:fill="CCFFCC"/>
            <w:vAlign w:val="center"/>
            <w:hideMark/>
          </w:tcPr>
          <w:p w:rsidR="00FA6263" w:rsidRPr="00FA6263" w:rsidRDefault="00FA6263" w:rsidP="00FA6263">
            <w:pPr>
              <w:jc w:val="cente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Obligaciones y otros valores negociables</w:t>
            </w:r>
          </w:p>
        </w:tc>
        <w:tc>
          <w:tcPr>
            <w:tcW w:w="0" w:type="auto"/>
            <w:gridSpan w:val="2"/>
            <w:tcBorders>
              <w:top w:val="single" w:sz="4" w:space="0" w:color="auto"/>
              <w:left w:val="nil"/>
              <w:bottom w:val="single" w:sz="4" w:space="0" w:color="auto"/>
              <w:right w:val="single" w:sz="4" w:space="0" w:color="auto"/>
            </w:tcBorders>
            <w:shd w:val="clear" w:color="000000" w:fill="CCFFCC"/>
            <w:vAlign w:val="center"/>
            <w:hideMark/>
          </w:tcPr>
          <w:p w:rsidR="00FA6263" w:rsidRPr="00FA6263" w:rsidRDefault="00FA6263" w:rsidP="00FA6263">
            <w:pPr>
              <w:jc w:val="cente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Derivados, Otros</w:t>
            </w:r>
          </w:p>
        </w:tc>
      </w:tr>
      <w:tr w:rsidR="00FA6263" w:rsidRPr="00FA6263" w:rsidTr="00FA6263">
        <w:trPr>
          <w:trHeight w:val="300"/>
        </w:trPr>
        <w:tc>
          <w:tcPr>
            <w:tcW w:w="0" w:type="auto"/>
            <w:tcBorders>
              <w:top w:val="nil"/>
              <w:left w:val="single" w:sz="4" w:space="0" w:color="auto"/>
              <w:bottom w:val="single" w:sz="4" w:space="0" w:color="auto"/>
              <w:right w:val="single" w:sz="4" w:space="0" w:color="auto"/>
            </w:tcBorders>
            <w:shd w:val="clear" w:color="000000" w:fill="CCFFCC"/>
            <w:noWrap/>
            <w:hideMark/>
          </w:tcPr>
          <w:p w:rsidR="00FA6263" w:rsidRPr="00FA6263" w:rsidRDefault="00FA6263" w:rsidP="00FA6263">
            <w:pP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Categorías</w:t>
            </w:r>
          </w:p>
        </w:tc>
        <w:tc>
          <w:tcPr>
            <w:tcW w:w="0" w:type="auto"/>
            <w:tcBorders>
              <w:top w:val="nil"/>
              <w:left w:val="nil"/>
              <w:bottom w:val="single" w:sz="4" w:space="0" w:color="auto"/>
              <w:right w:val="single" w:sz="4" w:space="0" w:color="auto"/>
            </w:tcBorders>
            <w:shd w:val="clear" w:color="000000" w:fill="CCFFCC"/>
            <w:noWrap/>
            <w:vAlign w:val="bottom"/>
            <w:hideMark/>
          </w:tcPr>
          <w:p w:rsidR="00FA6263" w:rsidRPr="00FA6263" w:rsidRDefault="00FA6263" w:rsidP="00FA6263">
            <w:pPr>
              <w:jc w:val="cente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2024</w:t>
            </w:r>
          </w:p>
        </w:tc>
        <w:tc>
          <w:tcPr>
            <w:tcW w:w="0" w:type="auto"/>
            <w:tcBorders>
              <w:top w:val="nil"/>
              <w:left w:val="nil"/>
              <w:bottom w:val="single" w:sz="4" w:space="0" w:color="auto"/>
              <w:right w:val="single" w:sz="4" w:space="0" w:color="auto"/>
            </w:tcBorders>
            <w:shd w:val="clear" w:color="000000" w:fill="CCFFCC"/>
            <w:noWrap/>
            <w:vAlign w:val="bottom"/>
            <w:hideMark/>
          </w:tcPr>
          <w:p w:rsidR="00FA6263" w:rsidRPr="00FA6263" w:rsidRDefault="00FA6263" w:rsidP="00FA6263">
            <w:pPr>
              <w:jc w:val="cente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2023</w:t>
            </w:r>
          </w:p>
        </w:tc>
        <w:tc>
          <w:tcPr>
            <w:tcW w:w="0" w:type="auto"/>
            <w:tcBorders>
              <w:top w:val="nil"/>
              <w:left w:val="nil"/>
              <w:bottom w:val="single" w:sz="4" w:space="0" w:color="auto"/>
              <w:right w:val="single" w:sz="4" w:space="0" w:color="auto"/>
            </w:tcBorders>
            <w:shd w:val="clear" w:color="000000" w:fill="CCFFCC"/>
            <w:noWrap/>
            <w:vAlign w:val="bottom"/>
            <w:hideMark/>
          </w:tcPr>
          <w:p w:rsidR="00FA6263" w:rsidRPr="00FA6263" w:rsidRDefault="00FA6263" w:rsidP="00FA6263">
            <w:pPr>
              <w:jc w:val="cente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2024</w:t>
            </w:r>
          </w:p>
        </w:tc>
        <w:tc>
          <w:tcPr>
            <w:tcW w:w="0" w:type="auto"/>
            <w:tcBorders>
              <w:top w:val="nil"/>
              <w:left w:val="nil"/>
              <w:bottom w:val="single" w:sz="4" w:space="0" w:color="auto"/>
              <w:right w:val="single" w:sz="4" w:space="0" w:color="auto"/>
            </w:tcBorders>
            <w:shd w:val="clear" w:color="000000" w:fill="CCFFCC"/>
            <w:noWrap/>
            <w:vAlign w:val="bottom"/>
            <w:hideMark/>
          </w:tcPr>
          <w:p w:rsidR="00FA6263" w:rsidRPr="00FA6263" w:rsidRDefault="00FA6263" w:rsidP="00FA6263">
            <w:pPr>
              <w:jc w:val="cente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2023</w:t>
            </w:r>
          </w:p>
        </w:tc>
        <w:tc>
          <w:tcPr>
            <w:tcW w:w="0" w:type="auto"/>
            <w:tcBorders>
              <w:top w:val="nil"/>
              <w:left w:val="nil"/>
              <w:bottom w:val="single" w:sz="4" w:space="0" w:color="auto"/>
              <w:right w:val="single" w:sz="4" w:space="0" w:color="auto"/>
            </w:tcBorders>
            <w:shd w:val="clear" w:color="000000" w:fill="CCFFCC"/>
            <w:noWrap/>
            <w:vAlign w:val="bottom"/>
            <w:hideMark/>
          </w:tcPr>
          <w:p w:rsidR="00FA6263" w:rsidRPr="00FA6263" w:rsidRDefault="00FA6263" w:rsidP="00FA6263">
            <w:pPr>
              <w:jc w:val="cente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2024</w:t>
            </w:r>
          </w:p>
        </w:tc>
        <w:tc>
          <w:tcPr>
            <w:tcW w:w="0" w:type="auto"/>
            <w:tcBorders>
              <w:top w:val="nil"/>
              <w:left w:val="nil"/>
              <w:bottom w:val="single" w:sz="4" w:space="0" w:color="auto"/>
              <w:right w:val="single" w:sz="4" w:space="0" w:color="auto"/>
            </w:tcBorders>
            <w:shd w:val="clear" w:color="000000" w:fill="CCFFCC"/>
            <w:noWrap/>
            <w:vAlign w:val="bottom"/>
            <w:hideMark/>
          </w:tcPr>
          <w:p w:rsidR="00FA6263" w:rsidRPr="00FA6263" w:rsidRDefault="00FA6263" w:rsidP="00FA6263">
            <w:pPr>
              <w:jc w:val="cente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2023</w:t>
            </w:r>
          </w:p>
        </w:tc>
      </w:tr>
      <w:tr w:rsidR="00FA6263" w:rsidRPr="00FA6263" w:rsidTr="00FA6263">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6263" w:rsidRPr="00FA6263" w:rsidRDefault="00FA6263" w:rsidP="00FA6263">
            <w:pP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Pasivos financieros a coste amortizado</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14.028.017,95</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15.674.119,15</w:t>
            </w:r>
          </w:p>
        </w:tc>
      </w:tr>
      <w:tr w:rsidR="00FA6263" w:rsidRPr="00FA6263" w:rsidTr="00FA626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6263" w:rsidRPr="00FA6263" w:rsidRDefault="00FA6263" w:rsidP="00FA6263">
            <w:pPr>
              <w:ind w:firstLineChars="100" w:firstLine="140"/>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Deudas a largo plazo</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14.028.017,95</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15.674.119,15</w:t>
            </w:r>
          </w:p>
        </w:tc>
      </w:tr>
      <w:tr w:rsidR="00FA6263" w:rsidRPr="00FA6263" w:rsidTr="00FA626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6263" w:rsidRPr="00FA6263" w:rsidRDefault="00FA6263" w:rsidP="00FA6263">
            <w:pPr>
              <w:ind w:firstLineChars="200" w:firstLine="280"/>
              <w:rPr>
                <w:rFonts w:ascii="Lucida Bright" w:hAnsi="Lucida Bright" w:cs="Calibri"/>
                <w:i/>
                <w:iCs/>
                <w:color w:val="000000"/>
                <w:sz w:val="14"/>
                <w:szCs w:val="14"/>
                <w:lang w:val="es-ES"/>
              </w:rPr>
            </w:pPr>
            <w:r w:rsidRPr="00FA6263">
              <w:rPr>
                <w:rFonts w:ascii="Lucida Bright" w:hAnsi="Lucida Bright" w:cs="Calibri"/>
                <w:i/>
                <w:iCs/>
                <w:color w:val="000000"/>
                <w:sz w:val="14"/>
                <w:szCs w:val="14"/>
                <w:lang w:val="es-ES"/>
              </w:rPr>
              <w:t>Otras</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14.028.017,95</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15.674.119,15</w:t>
            </w:r>
          </w:p>
        </w:tc>
      </w:tr>
      <w:tr w:rsidR="00FA6263" w:rsidRPr="00FA6263" w:rsidTr="00FA6263">
        <w:trPr>
          <w:trHeight w:val="540"/>
        </w:trPr>
        <w:tc>
          <w:tcPr>
            <w:tcW w:w="0" w:type="auto"/>
            <w:tcBorders>
              <w:top w:val="nil"/>
              <w:left w:val="single" w:sz="4" w:space="0" w:color="auto"/>
              <w:bottom w:val="single" w:sz="4" w:space="0" w:color="auto"/>
              <w:right w:val="nil"/>
            </w:tcBorders>
            <w:shd w:val="clear" w:color="auto" w:fill="auto"/>
            <w:vAlign w:val="center"/>
            <w:hideMark/>
          </w:tcPr>
          <w:p w:rsidR="00FA6263" w:rsidRPr="00FA6263" w:rsidRDefault="00FA6263" w:rsidP="00FA6263">
            <w:pP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TOTAL PASIVOS FINANCIEROS A LARGO PLAZO</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14.028.017,95</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15.674.119,15</w:t>
            </w:r>
          </w:p>
        </w:tc>
      </w:tr>
      <w:tr w:rsidR="00FA6263" w:rsidRPr="00FA6263" w:rsidTr="00FA6263">
        <w:trPr>
          <w:trHeight w:val="300"/>
        </w:trPr>
        <w:tc>
          <w:tcPr>
            <w:tcW w:w="0" w:type="auto"/>
            <w:tcBorders>
              <w:top w:val="nil"/>
              <w:left w:val="single" w:sz="4" w:space="0" w:color="auto"/>
              <w:bottom w:val="nil"/>
              <w:right w:val="single" w:sz="4" w:space="0" w:color="auto"/>
            </w:tcBorders>
            <w:shd w:val="clear" w:color="000000" w:fill="CCFFCC"/>
            <w:noWrap/>
            <w:vAlign w:val="center"/>
            <w:hideMark/>
          </w:tcPr>
          <w:p w:rsidR="00FA6263" w:rsidRPr="00FA6263" w:rsidRDefault="00FA6263" w:rsidP="00FA6263">
            <w:pP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 xml:space="preserve">                          Clases                                                                        </w:t>
            </w:r>
          </w:p>
        </w:tc>
        <w:tc>
          <w:tcPr>
            <w:tcW w:w="0" w:type="auto"/>
            <w:gridSpan w:val="6"/>
            <w:tcBorders>
              <w:top w:val="single" w:sz="4" w:space="0" w:color="auto"/>
              <w:left w:val="nil"/>
              <w:bottom w:val="single" w:sz="4" w:space="0" w:color="auto"/>
              <w:right w:val="single" w:sz="4" w:space="0" w:color="auto"/>
            </w:tcBorders>
            <w:shd w:val="clear" w:color="000000" w:fill="CCFFCC"/>
            <w:noWrap/>
            <w:vAlign w:val="bottom"/>
            <w:hideMark/>
          </w:tcPr>
          <w:p w:rsidR="00FA6263" w:rsidRPr="00FA6263" w:rsidRDefault="00FA6263" w:rsidP="00FA6263">
            <w:pPr>
              <w:jc w:val="cente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Instrumentos financieros a corto plazo</w:t>
            </w:r>
          </w:p>
        </w:tc>
      </w:tr>
      <w:tr w:rsidR="00FA6263" w:rsidRPr="00FA6263" w:rsidTr="00FA6263">
        <w:trPr>
          <w:trHeight w:val="300"/>
        </w:trPr>
        <w:tc>
          <w:tcPr>
            <w:tcW w:w="0" w:type="auto"/>
            <w:tcBorders>
              <w:top w:val="nil"/>
              <w:left w:val="single" w:sz="4" w:space="0" w:color="auto"/>
              <w:bottom w:val="nil"/>
              <w:right w:val="single" w:sz="4" w:space="0" w:color="auto"/>
              <w:tl2br w:val="single" w:sz="4" w:space="0" w:color="auto"/>
            </w:tcBorders>
            <w:shd w:val="clear" w:color="000000" w:fill="CCFFCC"/>
            <w:noWrap/>
            <w:hideMark/>
          </w:tcPr>
          <w:p w:rsidR="00FA6263" w:rsidRPr="00FA6263" w:rsidRDefault="00FA6263" w:rsidP="00FA6263">
            <w:pP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 </w:t>
            </w:r>
          </w:p>
        </w:tc>
        <w:tc>
          <w:tcPr>
            <w:tcW w:w="0" w:type="auto"/>
            <w:gridSpan w:val="2"/>
            <w:tcBorders>
              <w:top w:val="single" w:sz="4" w:space="0" w:color="auto"/>
              <w:left w:val="nil"/>
              <w:bottom w:val="single" w:sz="4" w:space="0" w:color="auto"/>
              <w:right w:val="single" w:sz="4" w:space="0" w:color="000000"/>
            </w:tcBorders>
            <w:shd w:val="clear" w:color="000000" w:fill="CCFFCC"/>
            <w:vAlign w:val="center"/>
            <w:hideMark/>
          </w:tcPr>
          <w:p w:rsidR="00FA6263" w:rsidRPr="00FA6263" w:rsidRDefault="00FA6263" w:rsidP="00FA6263">
            <w:pPr>
              <w:jc w:val="cente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Deudas con entidades de crédito</w:t>
            </w:r>
          </w:p>
        </w:tc>
        <w:tc>
          <w:tcPr>
            <w:tcW w:w="0" w:type="auto"/>
            <w:gridSpan w:val="2"/>
            <w:tcBorders>
              <w:top w:val="single" w:sz="4" w:space="0" w:color="auto"/>
              <w:left w:val="nil"/>
              <w:bottom w:val="single" w:sz="4" w:space="0" w:color="auto"/>
              <w:right w:val="single" w:sz="4" w:space="0" w:color="auto"/>
            </w:tcBorders>
            <w:shd w:val="clear" w:color="000000" w:fill="CCFFCC"/>
            <w:vAlign w:val="center"/>
            <w:hideMark/>
          </w:tcPr>
          <w:p w:rsidR="00FA6263" w:rsidRPr="00FA6263" w:rsidRDefault="00FA6263" w:rsidP="00FA6263">
            <w:pPr>
              <w:jc w:val="cente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Obligaciones y otros valores negociables</w:t>
            </w:r>
          </w:p>
        </w:tc>
        <w:tc>
          <w:tcPr>
            <w:tcW w:w="0" w:type="auto"/>
            <w:gridSpan w:val="2"/>
            <w:tcBorders>
              <w:top w:val="single" w:sz="4" w:space="0" w:color="auto"/>
              <w:left w:val="nil"/>
              <w:bottom w:val="single" w:sz="4" w:space="0" w:color="auto"/>
              <w:right w:val="single" w:sz="4" w:space="0" w:color="auto"/>
            </w:tcBorders>
            <w:shd w:val="clear" w:color="000000" w:fill="CCFFCC"/>
            <w:vAlign w:val="center"/>
            <w:hideMark/>
          </w:tcPr>
          <w:p w:rsidR="00FA6263" w:rsidRPr="00FA6263" w:rsidRDefault="00FA6263" w:rsidP="00FA6263">
            <w:pPr>
              <w:jc w:val="cente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Derivados</w:t>
            </w:r>
            <w:r w:rsidR="005F0F79">
              <w:rPr>
                <w:rFonts w:ascii="Lucida Bright" w:hAnsi="Lucida Bright" w:cs="Calibri"/>
                <w:b/>
                <w:bCs/>
                <w:color w:val="000000"/>
                <w:sz w:val="14"/>
                <w:szCs w:val="14"/>
                <w:lang w:val="es-ES"/>
              </w:rPr>
              <w:t>,</w:t>
            </w:r>
            <w:r w:rsidRPr="00FA6263">
              <w:rPr>
                <w:rFonts w:ascii="Lucida Bright" w:hAnsi="Lucida Bright" w:cs="Calibri"/>
                <w:b/>
                <w:bCs/>
                <w:color w:val="000000"/>
                <w:sz w:val="14"/>
                <w:szCs w:val="14"/>
                <w:lang w:val="es-ES"/>
              </w:rPr>
              <w:t xml:space="preserve"> Otros</w:t>
            </w:r>
          </w:p>
        </w:tc>
      </w:tr>
      <w:tr w:rsidR="00FA6263" w:rsidRPr="00FA6263" w:rsidTr="00FA6263">
        <w:trPr>
          <w:trHeight w:val="300"/>
        </w:trPr>
        <w:tc>
          <w:tcPr>
            <w:tcW w:w="0" w:type="auto"/>
            <w:tcBorders>
              <w:top w:val="nil"/>
              <w:left w:val="single" w:sz="4" w:space="0" w:color="auto"/>
              <w:bottom w:val="single" w:sz="4" w:space="0" w:color="auto"/>
              <w:right w:val="single" w:sz="4" w:space="0" w:color="auto"/>
            </w:tcBorders>
            <w:shd w:val="clear" w:color="000000" w:fill="CCFFCC"/>
            <w:noWrap/>
            <w:hideMark/>
          </w:tcPr>
          <w:p w:rsidR="00FA6263" w:rsidRPr="00FA6263" w:rsidRDefault="00FA6263" w:rsidP="00FA6263">
            <w:pP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Categorías</w:t>
            </w:r>
          </w:p>
        </w:tc>
        <w:tc>
          <w:tcPr>
            <w:tcW w:w="0" w:type="auto"/>
            <w:tcBorders>
              <w:top w:val="nil"/>
              <w:left w:val="nil"/>
              <w:bottom w:val="single" w:sz="4" w:space="0" w:color="auto"/>
              <w:right w:val="single" w:sz="4" w:space="0" w:color="auto"/>
            </w:tcBorders>
            <w:shd w:val="clear" w:color="000000" w:fill="CCFFCC"/>
            <w:noWrap/>
            <w:vAlign w:val="bottom"/>
            <w:hideMark/>
          </w:tcPr>
          <w:p w:rsidR="00FA6263" w:rsidRPr="00FA6263" w:rsidRDefault="00FA6263" w:rsidP="00FA6263">
            <w:pPr>
              <w:jc w:val="cente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2024</w:t>
            </w:r>
          </w:p>
        </w:tc>
        <w:tc>
          <w:tcPr>
            <w:tcW w:w="0" w:type="auto"/>
            <w:tcBorders>
              <w:top w:val="nil"/>
              <w:left w:val="nil"/>
              <w:bottom w:val="single" w:sz="4" w:space="0" w:color="auto"/>
              <w:right w:val="single" w:sz="4" w:space="0" w:color="auto"/>
            </w:tcBorders>
            <w:shd w:val="clear" w:color="000000" w:fill="CCFFCC"/>
            <w:noWrap/>
            <w:vAlign w:val="bottom"/>
            <w:hideMark/>
          </w:tcPr>
          <w:p w:rsidR="00FA6263" w:rsidRPr="00FA6263" w:rsidRDefault="00FA6263" w:rsidP="00FA6263">
            <w:pPr>
              <w:jc w:val="cente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2023</w:t>
            </w:r>
          </w:p>
        </w:tc>
        <w:tc>
          <w:tcPr>
            <w:tcW w:w="0" w:type="auto"/>
            <w:tcBorders>
              <w:top w:val="nil"/>
              <w:left w:val="nil"/>
              <w:bottom w:val="single" w:sz="4" w:space="0" w:color="auto"/>
              <w:right w:val="single" w:sz="4" w:space="0" w:color="auto"/>
            </w:tcBorders>
            <w:shd w:val="clear" w:color="000000" w:fill="CCFFCC"/>
            <w:noWrap/>
            <w:vAlign w:val="bottom"/>
            <w:hideMark/>
          </w:tcPr>
          <w:p w:rsidR="00FA6263" w:rsidRPr="00FA6263" w:rsidRDefault="00FA6263" w:rsidP="00FA6263">
            <w:pPr>
              <w:jc w:val="cente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2024</w:t>
            </w:r>
          </w:p>
        </w:tc>
        <w:tc>
          <w:tcPr>
            <w:tcW w:w="0" w:type="auto"/>
            <w:tcBorders>
              <w:top w:val="nil"/>
              <w:left w:val="nil"/>
              <w:bottom w:val="single" w:sz="4" w:space="0" w:color="auto"/>
              <w:right w:val="single" w:sz="4" w:space="0" w:color="auto"/>
            </w:tcBorders>
            <w:shd w:val="clear" w:color="000000" w:fill="CCFFCC"/>
            <w:noWrap/>
            <w:vAlign w:val="bottom"/>
            <w:hideMark/>
          </w:tcPr>
          <w:p w:rsidR="00FA6263" w:rsidRPr="00FA6263" w:rsidRDefault="00FA6263" w:rsidP="00FA6263">
            <w:pPr>
              <w:jc w:val="cente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2023</w:t>
            </w:r>
          </w:p>
        </w:tc>
        <w:tc>
          <w:tcPr>
            <w:tcW w:w="0" w:type="auto"/>
            <w:tcBorders>
              <w:top w:val="nil"/>
              <w:left w:val="nil"/>
              <w:bottom w:val="single" w:sz="4" w:space="0" w:color="auto"/>
              <w:right w:val="single" w:sz="4" w:space="0" w:color="auto"/>
            </w:tcBorders>
            <w:shd w:val="clear" w:color="000000" w:fill="CCFFCC"/>
            <w:noWrap/>
            <w:vAlign w:val="bottom"/>
            <w:hideMark/>
          </w:tcPr>
          <w:p w:rsidR="00FA6263" w:rsidRPr="00FA6263" w:rsidRDefault="00FA6263" w:rsidP="00FA6263">
            <w:pPr>
              <w:jc w:val="cente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2024</w:t>
            </w:r>
          </w:p>
        </w:tc>
        <w:tc>
          <w:tcPr>
            <w:tcW w:w="0" w:type="auto"/>
            <w:tcBorders>
              <w:top w:val="nil"/>
              <w:left w:val="nil"/>
              <w:bottom w:val="single" w:sz="4" w:space="0" w:color="auto"/>
              <w:right w:val="single" w:sz="4" w:space="0" w:color="auto"/>
            </w:tcBorders>
            <w:shd w:val="clear" w:color="000000" w:fill="CCFFCC"/>
            <w:noWrap/>
            <w:vAlign w:val="bottom"/>
            <w:hideMark/>
          </w:tcPr>
          <w:p w:rsidR="00FA6263" w:rsidRPr="00FA6263" w:rsidRDefault="00FA6263" w:rsidP="00FA6263">
            <w:pPr>
              <w:jc w:val="cente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2023</w:t>
            </w:r>
          </w:p>
        </w:tc>
      </w:tr>
      <w:tr w:rsidR="00FA6263" w:rsidRPr="00FA6263" w:rsidTr="00FA6263">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6263" w:rsidRPr="00FA6263" w:rsidRDefault="00FA6263" w:rsidP="00FA6263">
            <w:pP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Pasivos financieros a coste amortizado</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10.382.644,29</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8.850.174,76</w:t>
            </w:r>
          </w:p>
        </w:tc>
      </w:tr>
      <w:tr w:rsidR="00FA6263" w:rsidRPr="00FA6263" w:rsidTr="00FA626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6263" w:rsidRPr="00FA6263" w:rsidRDefault="00FA6263" w:rsidP="00FA6263">
            <w:pPr>
              <w:ind w:firstLineChars="100" w:firstLine="140"/>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Deudas a corto plazo</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3.894.647,15</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1.935.929,40</w:t>
            </w:r>
          </w:p>
        </w:tc>
      </w:tr>
      <w:tr w:rsidR="00FA6263" w:rsidRPr="00FA6263" w:rsidTr="00FA6263">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6263" w:rsidRPr="00FA6263" w:rsidRDefault="00FA6263" w:rsidP="00FA6263">
            <w:pPr>
              <w:ind w:firstLineChars="200" w:firstLine="280"/>
              <w:rPr>
                <w:rFonts w:ascii="Lucida Bright" w:hAnsi="Lucida Bright" w:cs="Calibri"/>
                <w:i/>
                <w:iCs/>
                <w:color w:val="000000"/>
                <w:sz w:val="14"/>
                <w:szCs w:val="14"/>
                <w:lang w:val="es-ES"/>
              </w:rPr>
            </w:pPr>
            <w:r w:rsidRPr="00FA6263">
              <w:rPr>
                <w:rFonts w:ascii="Lucida Bright" w:hAnsi="Lucida Bright" w:cs="Calibri"/>
                <w:i/>
                <w:iCs/>
                <w:color w:val="000000"/>
                <w:sz w:val="14"/>
                <w:szCs w:val="14"/>
                <w:lang w:val="es-ES"/>
              </w:rPr>
              <w:t>Proveedores de inmovilizado a corto plazo</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2.912.624,98</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1.682.570,57</w:t>
            </w:r>
          </w:p>
        </w:tc>
      </w:tr>
      <w:tr w:rsidR="00FA6263" w:rsidRPr="00FA6263" w:rsidTr="00FA6263">
        <w:trPr>
          <w:trHeight w:val="360"/>
        </w:trPr>
        <w:tc>
          <w:tcPr>
            <w:tcW w:w="0" w:type="auto"/>
            <w:tcBorders>
              <w:top w:val="nil"/>
              <w:left w:val="single" w:sz="4" w:space="0" w:color="auto"/>
              <w:bottom w:val="single" w:sz="4" w:space="0" w:color="auto"/>
              <w:right w:val="nil"/>
            </w:tcBorders>
            <w:shd w:val="clear" w:color="auto" w:fill="auto"/>
            <w:vAlign w:val="center"/>
            <w:hideMark/>
          </w:tcPr>
          <w:p w:rsidR="00FA6263" w:rsidRPr="00FA6263" w:rsidRDefault="00FA6263" w:rsidP="00FA6263">
            <w:pPr>
              <w:ind w:firstLineChars="200" w:firstLine="280"/>
              <w:rPr>
                <w:rFonts w:ascii="Lucida Bright" w:hAnsi="Lucida Bright" w:cs="Calibri"/>
                <w:i/>
                <w:iCs/>
                <w:color w:val="000000"/>
                <w:sz w:val="14"/>
                <w:szCs w:val="14"/>
                <w:lang w:val="es-ES"/>
              </w:rPr>
            </w:pPr>
            <w:r w:rsidRPr="00FA6263">
              <w:rPr>
                <w:rFonts w:ascii="Lucida Bright" w:hAnsi="Lucida Bright" w:cs="Calibri"/>
                <w:i/>
                <w:iCs/>
                <w:color w:val="000000"/>
                <w:sz w:val="14"/>
                <w:szCs w:val="14"/>
                <w:lang w:val="es-ES"/>
              </w:rPr>
              <w:t>Otros pasivos financieros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982.022,17</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253.358,83</w:t>
            </w:r>
          </w:p>
        </w:tc>
      </w:tr>
      <w:tr w:rsidR="00FA6263" w:rsidRPr="00FA6263" w:rsidTr="00FA6263">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6263" w:rsidRPr="00FA6263" w:rsidRDefault="00FA6263" w:rsidP="00FA6263">
            <w:pPr>
              <w:ind w:firstLineChars="100" w:firstLine="140"/>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Deudas con empresas del grupo y asociadas a c.p.</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22.872,92</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11.556,64</w:t>
            </w:r>
          </w:p>
        </w:tc>
      </w:tr>
      <w:tr w:rsidR="00FA6263" w:rsidRPr="00FA6263" w:rsidTr="00FA6263">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6263" w:rsidRPr="00FA6263" w:rsidRDefault="00FA6263" w:rsidP="00FA6263">
            <w:pPr>
              <w:ind w:firstLineChars="100" w:firstLine="140"/>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Acreedores comerciales y otras cuentas a pagar</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6.465.124,22</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6.902.688,72</w:t>
            </w:r>
          </w:p>
        </w:tc>
      </w:tr>
      <w:tr w:rsidR="00FA6263" w:rsidRPr="00FA6263" w:rsidTr="00FA6263">
        <w:trPr>
          <w:trHeight w:val="360"/>
        </w:trPr>
        <w:tc>
          <w:tcPr>
            <w:tcW w:w="0" w:type="auto"/>
            <w:tcBorders>
              <w:top w:val="nil"/>
              <w:left w:val="single" w:sz="4" w:space="0" w:color="auto"/>
              <w:bottom w:val="single" w:sz="4" w:space="0" w:color="auto"/>
              <w:right w:val="nil"/>
            </w:tcBorders>
            <w:shd w:val="clear" w:color="auto" w:fill="auto"/>
            <w:vAlign w:val="center"/>
            <w:hideMark/>
          </w:tcPr>
          <w:p w:rsidR="00FA6263" w:rsidRPr="00FA6263" w:rsidRDefault="00FA6263" w:rsidP="00FA6263">
            <w:pPr>
              <w:ind w:firstLineChars="200" w:firstLine="280"/>
              <w:rPr>
                <w:rFonts w:ascii="Lucida Bright" w:hAnsi="Lucida Bright" w:cs="Calibri"/>
                <w:i/>
                <w:iCs/>
                <w:color w:val="000000"/>
                <w:sz w:val="14"/>
                <w:szCs w:val="14"/>
                <w:lang w:val="es-ES"/>
              </w:rPr>
            </w:pPr>
            <w:r w:rsidRPr="00FA6263">
              <w:rPr>
                <w:rFonts w:ascii="Lucida Bright" w:hAnsi="Lucida Bright" w:cs="Calibri"/>
                <w:i/>
                <w:iCs/>
                <w:color w:val="000000"/>
                <w:sz w:val="14"/>
                <w:szCs w:val="14"/>
                <w:lang w:val="es-ES"/>
              </w:rPr>
              <w:t>Acreedores y otras cuentas a pagar</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6.465.124,22</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color w:val="000000"/>
                <w:sz w:val="14"/>
                <w:szCs w:val="14"/>
                <w:lang w:val="es-ES"/>
              </w:rPr>
            </w:pPr>
            <w:r w:rsidRPr="00FA6263">
              <w:rPr>
                <w:rFonts w:ascii="Lucida Bright" w:hAnsi="Lucida Bright" w:cs="Calibri"/>
                <w:color w:val="000000"/>
                <w:sz w:val="14"/>
                <w:szCs w:val="14"/>
                <w:lang w:val="es-ES"/>
              </w:rPr>
              <w:t>6.902.688,72</w:t>
            </w:r>
          </w:p>
        </w:tc>
      </w:tr>
      <w:tr w:rsidR="00FA6263" w:rsidRPr="00FA6263" w:rsidTr="00FA6263">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6263" w:rsidRPr="00FA6263" w:rsidRDefault="00FA6263" w:rsidP="00FA6263">
            <w:pP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TOTAL PASIVOS FINANCIEROS A CORTO PLAZO</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10.382.644,29</w:t>
            </w:r>
          </w:p>
        </w:tc>
        <w:tc>
          <w:tcPr>
            <w:tcW w:w="0" w:type="auto"/>
            <w:tcBorders>
              <w:top w:val="nil"/>
              <w:left w:val="nil"/>
              <w:bottom w:val="single" w:sz="4" w:space="0" w:color="auto"/>
              <w:right w:val="single" w:sz="4" w:space="0" w:color="auto"/>
            </w:tcBorders>
            <w:shd w:val="clear" w:color="auto" w:fill="auto"/>
            <w:noWrap/>
            <w:vAlign w:val="bottom"/>
            <w:hideMark/>
          </w:tcPr>
          <w:p w:rsidR="00FA6263" w:rsidRPr="00FA6263" w:rsidRDefault="00FA6263" w:rsidP="00FA6263">
            <w:pPr>
              <w:jc w:val="right"/>
              <w:rPr>
                <w:rFonts w:ascii="Lucida Bright" w:hAnsi="Lucida Bright" w:cs="Calibri"/>
                <w:b/>
                <w:bCs/>
                <w:color w:val="000000"/>
                <w:sz w:val="14"/>
                <w:szCs w:val="14"/>
                <w:lang w:val="es-ES"/>
              </w:rPr>
            </w:pPr>
            <w:r w:rsidRPr="00FA6263">
              <w:rPr>
                <w:rFonts w:ascii="Lucida Bright" w:hAnsi="Lucida Bright" w:cs="Calibri"/>
                <w:b/>
                <w:bCs/>
                <w:color w:val="000000"/>
                <w:sz w:val="14"/>
                <w:szCs w:val="14"/>
                <w:lang w:val="es-ES"/>
              </w:rPr>
              <w:t>8.850.174,76</w:t>
            </w:r>
          </w:p>
        </w:tc>
      </w:tr>
    </w:tbl>
    <w:p w:rsidR="00FA6263" w:rsidRDefault="00FA6263" w:rsidP="00D85649">
      <w:pPr>
        <w:tabs>
          <w:tab w:val="right" w:pos="8364"/>
        </w:tabs>
        <w:ind w:left="120"/>
        <w:jc w:val="both"/>
        <w:rPr>
          <w:rFonts w:ascii="NewBaskerville" w:hAnsi="NewBaskerville"/>
        </w:rPr>
      </w:pPr>
    </w:p>
    <w:p w:rsidR="00FA6263" w:rsidRDefault="00FA6263" w:rsidP="00D85649">
      <w:pPr>
        <w:tabs>
          <w:tab w:val="right" w:pos="8364"/>
        </w:tabs>
        <w:ind w:left="120"/>
        <w:jc w:val="both"/>
        <w:rPr>
          <w:rFonts w:ascii="NewBaskerville" w:hAnsi="NewBaskerville"/>
        </w:rPr>
      </w:pPr>
    </w:p>
    <w:p w:rsidR="00D41560" w:rsidRPr="00E867B3" w:rsidRDefault="00D41560" w:rsidP="00D41560">
      <w:pPr>
        <w:ind w:left="360"/>
        <w:jc w:val="both"/>
        <w:rPr>
          <w:rFonts w:ascii="NewBaskerville" w:hAnsi="NewBaskerville"/>
        </w:rPr>
      </w:pPr>
    </w:p>
    <w:p w:rsidR="00FF21A0" w:rsidRPr="00E867B3" w:rsidRDefault="00FF21A0" w:rsidP="00FF21A0">
      <w:pPr>
        <w:pStyle w:val="Ttulo5"/>
        <w:rPr>
          <w:rFonts w:ascii="NewBaskerville" w:hAnsi="NewBaskerville"/>
          <w:sz w:val="20"/>
        </w:rPr>
      </w:pPr>
      <w:r w:rsidRPr="00E867B3">
        <w:rPr>
          <w:rFonts w:ascii="NewBaskerville" w:hAnsi="NewBaskerville"/>
          <w:sz w:val="20"/>
        </w:rPr>
        <w:t xml:space="preserve">Los instrumentos financieros a </w:t>
      </w:r>
      <w:r w:rsidRPr="00E867B3">
        <w:rPr>
          <w:rFonts w:ascii="NewBaskerville" w:hAnsi="NewBaskerville"/>
          <w:b/>
          <w:sz w:val="20"/>
        </w:rPr>
        <w:t>largo plazo</w:t>
      </w:r>
      <w:r w:rsidRPr="00E867B3">
        <w:rPr>
          <w:rFonts w:ascii="NewBaskerville" w:hAnsi="NewBaskerville"/>
          <w:sz w:val="20"/>
        </w:rPr>
        <w:t xml:space="preserve"> corresponden a fianzas y depósitos recibidos como consecuencia de </w:t>
      </w:r>
      <w:r w:rsidR="00E867B3">
        <w:rPr>
          <w:rFonts w:ascii="NewBaskerville" w:hAnsi="NewBaskerville"/>
          <w:sz w:val="20"/>
        </w:rPr>
        <w:t>las concesiones,</w:t>
      </w:r>
      <w:r w:rsidR="009C5EF6" w:rsidRPr="00E867B3">
        <w:rPr>
          <w:rFonts w:ascii="NewBaskerville" w:hAnsi="NewBaskerville"/>
          <w:sz w:val="20"/>
        </w:rPr>
        <w:t xml:space="preserve"> </w:t>
      </w:r>
      <w:r w:rsidR="00E867B3">
        <w:rPr>
          <w:rFonts w:ascii="NewBaskerville" w:hAnsi="NewBaskerville"/>
          <w:sz w:val="20"/>
        </w:rPr>
        <w:t>a</w:t>
      </w:r>
      <w:r w:rsidR="009C5EF6" w:rsidRPr="00E867B3">
        <w:rPr>
          <w:rFonts w:ascii="NewBaskerville" w:hAnsi="NewBaskerville"/>
          <w:sz w:val="20"/>
        </w:rPr>
        <w:t>utorizaciones temporales, contratos</w:t>
      </w:r>
      <w:r w:rsidR="00223769" w:rsidRPr="00E867B3">
        <w:rPr>
          <w:rFonts w:ascii="NewBaskerville" w:hAnsi="NewBaskerville"/>
          <w:sz w:val="20"/>
        </w:rPr>
        <w:t xml:space="preserve"> formalizados por la Entidad</w:t>
      </w:r>
      <w:r w:rsidR="009C5EF6" w:rsidRPr="00E867B3">
        <w:rPr>
          <w:rFonts w:ascii="NewBaskerville" w:hAnsi="NewBaskerville"/>
          <w:sz w:val="20"/>
        </w:rPr>
        <w:t xml:space="preserve"> y por otras prestaciones realizadas; no se actualizan </w:t>
      </w:r>
      <w:r w:rsidR="008155BC" w:rsidRPr="00E867B3">
        <w:rPr>
          <w:rFonts w:ascii="NewBaskerville" w:hAnsi="NewBaskerville"/>
          <w:sz w:val="20"/>
        </w:rPr>
        <w:t>financieramente</w:t>
      </w:r>
      <w:r w:rsidR="009C5EF6" w:rsidRPr="00E867B3">
        <w:rPr>
          <w:rFonts w:ascii="NewBaskerville" w:hAnsi="NewBaskerville"/>
          <w:sz w:val="20"/>
        </w:rPr>
        <w:t xml:space="preserve"> debido</w:t>
      </w:r>
      <w:r w:rsidR="001A0434" w:rsidRPr="00E867B3">
        <w:rPr>
          <w:rFonts w:ascii="NewBaskerville" w:hAnsi="NewBaskerville"/>
          <w:sz w:val="20"/>
        </w:rPr>
        <w:t xml:space="preserve"> a que</w:t>
      </w:r>
      <w:r w:rsidRPr="00E867B3">
        <w:rPr>
          <w:rFonts w:ascii="NewBaskerville" w:hAnsi="NewBaskerville"/>
          <w:sz w:val="20"/>
        </w:rPr>
        <w:t xml:space="preserve"> el efecto de no actualizar los flujos de efectivo no es significativo. Durante el ejercicio </w:t>
      </w:r>
      <w:r w:rsidR="00446E23" w:rsidRPr="00E867B3">
        <w:rPr>
          <w:rFonts w:ascii="NewBaskerville" w:hAnsi="NewBaskerville"/>
          <w:sz w:val="20"/>
        </w:rPr>
        <w:t>202</w:t>
      </w:r>
      <w:r w:rsidR="0052512C">
        <w:rPr>
          <w:rFonts w:ascii="NewBaskerville" w:hAnsi="NewBaskerville"/>
          <w:sz w:val="20"/>
        </w:rPr>
        <w:t>4</w:t>
      </w:r>
      <w:r w:rsidRPr="00E867B3">
        <w:rPr>
          <w:rFonts w:ascii="NewBaskerville" w:hAnsi="NewBaskerville"/>
          <w:sz w:val="20"/>
        </w:rPr>
        <w:t xml:space="preserve"> se han recibido en concepto depósitos y fianzas un total de </w:t>
      </w:r>
      <w:r w:rsidR="0052512C">
        <w:rPr>
          <w:rFonts w:ascii="NewBaskerville" w:hAnsi="NewBaskerville"/>
          <w:sz w:val="20"/>
        </w:rPr>
        <w:t>1.515.563,94</w:t>
      </w:r>
      <w:r w:rsidRPr="00E867B3">
        <w:rPr>
          <w:rFonts w:ascii="NewBaskerville" w:hAnsi="NewBaskerville"/>
          <w:sz w:val="20"/>
        </w:rPr>
        <w:t xml:space="preserve"> euros y se han cancelado por este mismo concepto un total de </w:t>
      </w:r>
      <w:r w:rsidR="0052512C">
        <w:rPr>
          <w:rFonts w:ascii="NewBaskerville" w:hAnsi="NewBaskerville"/>
          <w:sz w:val="20"/>
        </w:rPr>
        <w:t>3.161.665,14</w:t>
      </w:r>
      <w:r w:rsidR="007064F8" w:rsidRPr="00E867B3">
        <w:rPr>
          <w:rFonts w:ascii="NewBaskerville" w:hAnsi="NewBaskerville"/>
          <w:sz w:val="20"/>
        </w:rPr>
        <w:t xml:space="preserve"> </w:t>
      </w:r>
      <w:r w:rsidR="00446E23" w:rsidRPr="00E867B3">
        <w:rPr>
          <w:rFonts w:ascii="NewBaskerville" w:hAnsi="NewBaskerville"/>
          <w:sz w:val="20"/>
        </w:rPr>
        <w:t>euros. Durante el ejercicio 202</w:t>
      </w:r>
      <w:r w:rsidR="0052512C">
        <w:rPr>
          <w:rFonts w:ascii="NewBaskerville" w:hAnsi="NewBaskerville"/>
          <w:sz w:val="20"/>
        </w:rPr>
        <w:t>3</w:t>
      </w:r>
      <w:r w:rsidRPr="00E867B3">
        <w:rPr>
          <w:rFonts w:ascii="NewBaskerville" w:hAnsi="NewBaskerville"/>
          <w:sz w:val="20"/>
        </w:rPr>
        <w:t xml:space="preserve"> se constituyeron en concepto de depósitos y fianzas un total de </w:t>
      </w:r>
      <w:r w:rsidR="0082306C">
        <w:rPr>
          <w:rFonts w:ascii="NewBaskerville" w:hAnsi="NewBaskerville"/>
          <w:sz w:val="20"/>
        </w:rPr>
        <w:t>3.</w:t>
      </w:r>
      <w:r w:rsidR="0052512C">
        <w:rPr>
          <w:rFonts w:ascii="NewBaskerville" w:hAnsi="NewBaskerville"/>
          <w:sz w:val="20"/>
        </w:rPr>
        <w:t>501</w:t>
      </w:r>
      <w:r w:rsidR="0082306C">
        <w:rPr>
          <w:rFonts w:ascii="NewBaskerville" w:hAnsi="NewBaskerville"/>
          <w:sz w:val="20"/>
        </w:rPr>
        <w:t>.</w:t>
      </w:r>
      <w:r w:rsidR="0052512C">
        <w:rPr>
          <w:rFonts w:ascii="NewBaskerville" w:hAnsi="NewBaskerville"/>
          <w:sz w:val="20"/>
        </w:rPr>
        <w:t>199</w:t>
      </w:r>
      <w:r w:rsidR="0082306C">
        <w:rPr>
          <w:rFonts w:ascii="NewBaskerville" w:hAnsi="NewBaskerville"/>
          <w:sz w:val="20"/>
        </w:rPr>
        <w:t>,</w:t>
      </w:r>
      <w:r w:rsidR="0052512C">
        <w:rPr>
          <w:rFonts w:ascii="NewBaskerville" w:hAnsi="NewBaskerville"/>
          <w:sz w:val="20"/>
        </w:rPr>
        <w:t>48</w:t>
      </w:r>
      <w:r w:rsidR="007064F8" w:rsidRPr="00E867B3">
        <w:rPr>
          <w:rFonts w:ascii="NewBaskerville" w:hAnsi="NewBaskerville"/>
          <w:sz w:val="20"/>
        </w:rPr>
        <w:t xml:space="preserve"> </w:t>
      </w:r>
      <w:r w:rsidRPr="00E867B3">
        <w:rPr>
          <w:rFonts w:ascii="NewBaskerville" w:hAnsi="NewBaskerville"/>
          <w:sz w:val="20"/>
        </w:rPr>
        <w:t xml:space="preserve">euros mientras que en ese mismo ejercicio se cancelaron depósitos y fianzas por importe de </w:t>
      </w:r>
      <w:r w:rsidR="0052512C">
        <w:rPr>
          <w:rFonts w:ascii="NewBaskerville" w:hAnsi="NewBaskerville"/>
          <w:sz w:val="20"/>
        </w:rPr>
        <w:t>2</w:t>
      </w:r>
      <w:r w:rsidR="0082306C">
        <w:rPr>
          <w:rFonts w:ascii="NewBaskerville" w:hAnsi="NewBaskerville"/>
          <w:sz w:val="20"/>
        </w:rPr>
        <w:t>.</w:t>
      </w:r>
      <w:r w:rsidR="0052512C">
        <w:rPr>
          <w:rFonts w:ascii="NewBaskerville" w:hAnsi="NewBaskerville"/>
          <w:sz w:val="20"/>
        </w:rPr>
        <w:t>014</w:t>
      </w:r>
      <w:r w:rsidR="0082306C">
        <w:rPr>
          <w:rFonts w:ascii="NewBaskerville" w:hAnsi="NewBaskerville"/>
          <w:sz w:val="20"/>
        </w:rPr>
        <w:t>.</w:t>
      </w:r>
      <w:r w:rsidR="0052512C">
        <w:rPr>
          <w:rFonts w:ascii="NewBaskerville" w:hAnsi="NewBaskerville"/>
          <w:sz w:val="20"/>
        </w:rPr>
        <w:t>173</w:t>
      </w:r>
      <w:r w:rsidR="0082306C">
        <w:rPr>
          <w:rFonts w:ascii="NewBaskerville" w:hAnsi="NewBaskerville"/>
          <w:sz w:val="20"/>
        </w:rPr>
        <w:t>,</w:t>
      </w:r>
      <w:r w:rsidR="0052512C">
        <w:rPr>
          <w:rFonts w:ascii="NewBaskerville" w:hAnsi="NewBaskerville"/>
          <w:sz w:val="20"/>
        </w:rPr>
        <w:t>36</w:t>
      </w:r>
      <w:r w:rsidR="00446E23" w:rsidRPr="00E867B3">
        <w:rPr>
          <w:rFonts w:ascii="NewBaskerville" w:hAnsi="NewBaskerville"/>
          <w:sz w:val="20"/>
        </w:rPr>
        <w:t xml:space="preserve"> </w:t>
      </w:r>
      <w:r w:rsidRPr="00E867B3">
        <w:rPr>
          <w:rFonts w:ascii="NewBaskerville" w:hAnsi="NewBaskerville"/>
          <w:sz w:val="20"/>
        </w:rPr>
        <w:t>euros.</w:t>
      </w:r>
    </w:p>
    <w:p w:rsidR="00FF21A0" w:rsidRPr="00CF32FF" w:rsidRDefault="00FF21A0" w:rsidP="00FF21A0">
      <w:pPr>
        <w:tabs>
          <w:tab w:val="right" w:pos="8364"/>
        </w:tabs>
        <w:ind w:left="120" w:firstLine="420"/>
        <w:jc w:val="both"/>
      </w:pPr>
    </w:p>
    <w:p w:rsidR="00E90A55" w:rsidRDefault="00FF21A0" w:rsidP="00E90A55">
      <w:pPr>
        <w:pStyle w:val="Sangra2detindependiente"/>
        <w:tabs>
          <w:tab w:val="right" w:pos="8364"/>
        </w:tabs>
        <w:rPr>
          <w:rFonts w:ascii="NewBaskerville" w:hAnsi="NewBaskerville"/>
          <w:sz w:val="20"/>
        </w:rPr>
      </w:pPr>
      <w:r w:rsidRPr="00E867B3">
        <w:rPr>
          <w:rFonts w:ascii="NewBaskerville" w:hAnsi="NewBaskerville"/>
          <w:sz w:val="20"/>
        </w:rPr>
        <w:t xml:space="preserve">Los instrumentos financieros a </w:t>
      </w:r>
      <w:r w:rsidRPr="00E867B3">
        <w:rPr>
          <w:rFonts w:ascii="NewBaskerville" w:hAnsi="NewBaskerville"/>
          <w:b/>
          <w:sz w:val="20"/>
        </w:rPr>
        <w:t>corto plazo</w:t>
      </w:r>
      <w:r w:rsidRPr="00E867B3">
        <w:rPr>
          <w:rFonts w:ascii="NewBaskerville" w:hAnsi="NewBaskerville"/>
          <w:sz w:val="20"/>
        </w:rPr>
        <w:t xml:space="preserve"> corresponden a acreedores comerciales</w:t>
      </w:r>
      <w:r w:rsidR="00E867B3">
        <w:rPr>
          <w:rFonts w:ascii="NewBaskerville" w:hAnsi="NewBaskerville"/>
          <w:sz w:val="20"/>
        </w:rPr>
        <w:t xml:space="preserve"> y no comerciales</w:t>
      </w:r>
      <w:r w:rsidRPr="00E867B3">
        <w:rPr>
          <w:rFonts w:ascii="NewBaskerville" w:hAnsi="NewBaskerville"/>
          <w:sz w:val="20"/>
        </w:rPr>
        <w:t>, a proveedores de inmovilizado, a fianzas y depósitos recibidos a corto plazo.</w:t>
      </w:r>
      <w:r w:rsidR="00E90A55" w:rsidRPr="00E867B3">
        <w:rPr>
          <w:rFonts w:ascii="NewBaskerville" w:hAnsi="NewBaskerville"/>
          <w:sz w:val="20"/>
        </w:rPr>
        <w:t xml:space="preserve"> No hay ningún tipo de deuda con vencimiento superior a cinco años n</w:t>
      </w:r>
      <w:r w:rsidR="00484FB9" w:rsidRPr="00E867B3">
        <w:rPr>
          <w:rFonts w:ascii="NewBaskerville" w:hAnsi="NewBaskerville"/>
          <w:sz w:val="20"/>
        </w:rPr>
        <w:t>i avalada con garantías reales.</w:t>
      </w:r>
    </w:p>
    <w:p w:rsidR="00456615" w:rsidRDefault="00456615" w:rsidP="00E90A55">
      <w:pPr>
        <w:pStyle w:val="Sangra2detindependiente"/>
        <w:tabs>
          <w:tab w:val="right" w:pos="8364"/>
        </w:tabs>
        <w:rPr>
          <w:rFonts w:ascii="NewBaskerville" w:hAnsi="NewBaskerville"/>
          <w:sz w:val="20"/>
        </w:rPr>
      </w:pPr>
    </w:p>
    <w:p w:rsidR="00355CD5" w:rsidRDefault="00355CD5" w:rsidP="00E90A55">
      <w:pPr>
        <w:pStyle w:val="Sangra2detindependiente"/>
        <w:tabs>
          <w:tab w:val="right" w:pos="8364"/>
        </w:tabs>
        <w:rPr>
          <w:rFonts w:ascii="NewBaskerville" w:hAnsi="NewBaskerville"/>
          <w:sz w:val="20"/>
        </w:rPr>
      </w:pPr>
    </w:p>
    <w:p w:rsidR="00355CD5" w:rsidRDefault="00355CD5" w:rsidP="00E90A55">
      <w:pPr>
        <w:pStyle w:val="Sangra2detindependiente"/>
        <w:tabs>
          <w:tab w:val="right" w:pos="8364"/>
        </w:tabs>
        <w:rPr>
          <w:rFonts w:ascii="NewBaskerville" w:hAnsi="NewBaskerville"/>
          <w:sz w:val="20"/>
        </w:rPr>
      </w:pPr>
    </w:p>
    <w:p w:rsidR="00456615" w:rsidRDefault="002E0773" w:rsidP="00E90A55">
      <w:pPr>
        <w:pStyle w:val="Sangra2detindependiente"/>
        <w:tabs>
          <w:tab w:val="right" w:pos="8364"/>
        </w:tabs>
        <w:rPr>
          <w:rFonts w:ascii="NewBaskerville" w:hAnsi="NewBaskerville"/>
          <w:sz w:val="20"/>
        </w:rPr>
      </w:pPr>
      <w:r>
        <w:rPr>
          <w:rFonts w:ascii="NewBaskerville" w:hAnsi="NewBaskerville"/>
          <w:sz w:val="20"/>
        </w:rPr>
        <w:t>Seguidamente se relacionan por epígrafes los pasivos financieros a corto plazo registrados:</w:t>
      </w:r>
    </w:p>
    <w:p w:rsidR="00355CD5" w:rsidRDefault="00355CD5" w:rsidP="00E90A55">
      <w:pPr>
        <w:pStyle w:val="Sangra2detindependiente"/>
        <w:tabs>
          <w:tab w:val="right" w:pos="8364"/>
        </w:tabs>
        <w:rPr>
          <w:rFonts w:ascii="NewBaskerville" w:hAnsi="NewBaskerville"/>
          <w:sz w:val="20"/>
        </w:rPr>
      </w:pPr>
    </w:p>
    <w:p w:rsidR="00355CD5" w:rsidRDefault="00355CD5" w:rsidP="00E90A55">
      <w:pPr>
        <w:pStyle w:val="Sangra2detindependiente"/>
        <w:tabs>
          <w:tab w:val="right" w:pos="8364"/>
        </w:tabs>
        <w:rPr>
          <w:rFonts w:ascii="NewBaskerville" w:hAnsi="NewBaskerville"/>
          <w:sz w:val="20"/>
        </w:rPr>
      </w:pPr>
    </w:p>
    <w:p w:rsidR="00355CD5" w:rsidRDefault="00355CD5" w:rsidP="00E90A55">
      <w:pPr>
        <w:pStyle w:val="Sangra2detindependiente"/>
        <w:tabs>
          <w:tab w:val="right" w:pos="8364"/>
        </w:tabs>
        <w:rPr>
          <w:rFonts w:ascii="NewBaskerville" w:hAnsi="NewBaskerville"/>
          <w:sz w:val="20"/>
        </w:rPr>
      </w:pPr>
    </w:p>
    <w:p w:rsidR="0052512C" w:rsidRDefault="0052512C" w:rsidP="00E90A55">
      <w:pPr>
        <w:pStyle w:val="Sangra2detindependiente"/>
        <w:tabs>
          <w:tab w:val="right" w:pos="8364"/>
        </w:tabs>
        <w:rPr>
          <w:rFonts w:ascii="NewBaskerville" w:hAnsi="NewBaskerville"/>
          <w:sz w:val="20"/>
        </w:rPr>
      </w:pPr>
    </w:p>
    <w:tbl>
      <w:tblPr>
        <w:tblW w:w="0" w:type="auto"/>
        <w:tblLayout w:type="fixed"/>
        <w:tblCellMar>
          <w:left w:w="70" w:type="dxa"/>
          <w:right w:w="70" w:type="dxa"/>
        </w:tblCellMar>
        <w:tblLook w:val="04A0" w:firstRow="1" w:lastRow="0" w:firstColumn="1" w:lastColumn="0" w:noHBand="0" w:noVBand="1"/>
      </w:tblPr>
      <w:tblGrid>
        <w:gridCol w:w="4323"/>
        <w:gridCol w:w="1134"/>
        <w:gridCol w:w="1134"/>
      </w:tblGrid>
      <w:tr w:rsidR="0052512C" w:rsidRPr="0052512C" w:rsidTr="00583853">
        <w:trPr>
          <w:trHeight w:val="300"/>
        </w:trPr>
        <w:tc>
          <w:tcPr>
            <w:tcW w:w="4323" w:type="dxa"/>
            <w:tcBorders>
              <w:top w:val="nil"/>
              <w:left w:val="nil"/>
              <w:bottom w:val="nil"/>
              <w:right w:val="nil"/>
            </w:tcBorders>
            <w:shd w:val="clear" w:color="auto" w:fill="auto"/>
            <w:noWrap/>
            <w:vAlign w:val="bottom"/>
            <w:hideMark/>
          </w:tcPr>
          <w:p w:rsidR="0052512C" w:rsidRPr="0052512C" w:rsidRDefault="0052512C" w:rsidP="0052512C">
            <w:pPr>
              <w:rPr>
                <w:rFonts w:ascii="Calibri" w:hAnsi="Calibri" w:cs="Calibri"/>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52512C" w:rsidRPr="0052512C" w:rsidRDefault="0052512C" w:rsidP="0052512C">
            <w:pPr>
              <w:jc w:val="center"/>
              <w:rPr>
                <w:rFonts w:ascii="Lucida Bright" w:hAnsi="Lucida Bright" w:cs="Calibri"/>
                <w:b/>
                <w:bCs/>
                <w:color w:val="000000"/>
                <w:sz w:val="14"/>
                <w:szCs w:val="14"/>
                <w:lang w:val="es-ES"/>
              </w:rPr>
            </w:pPr>
            <w:r w:rsidRPr="0052512C">
              <w:rPr>
                <w:rFonts w:ascii="Lucida Bright" w:hAnsi="Lucida Bright" w:cs="Calibri"/>
                <w:b/>
                <w:bCs/>
                <w:color w:val="000000"/>
                <w:sz w:val="14"/>
                <w:szCs w:val="14"/>
                <w:lang w:val="es-ES"/>
              </w:rPr>
              <w:t>2024</w:t>
            </w:r>
          </w:p>
        </w:tc>
        <w:tc>
          <w:tcPr>
            <w:tcW w:w="1134" w:type="dxa"/>
            <w:tcBorders>
              <w:top w:val="single" w:sz="4" w:space="0" w:color="auto"/>
              <w:left w:val="nil"/>
              <w:bottom w:val="single" w:sz="4" w:space="0" w:color="auto"/>
              <w:right w:val="single" w:sz="4" w:space="0" w:color="auto"/>
            </w:tcBorders>
            <w:shd w:val="clear" w:color="000000" w:fill="CCFFCC"/>
            <w:noWrap/>
            <w:vAlign w:val="center"/>
            <w:hideMark/>
          </w:tcPr>
          <w:p w:rsidR="0052512C" w:rsidRPr="0052512C" w:rsidRDefault="0052512C" w:rsidP="0052512C">
            <w:pPr>
              <w:jc w:val="center"/>
              <w:rPr>
                <w:rFonts w:ascii="Lucida Bright" w:hAnsi="Lucida Bright" w:cs="Calibri"/>
                <w:b/>
                <w:bCs/>
                <w:color w:val="000000"/>
                <w:sz w:val="14"/>
                <w:szCs w:val="14"/>
                <w:lang w:val="es-ES"/>
              </w:rPr>
            </w:pPr>
            <w:r w:rsidRPr="0052512C">
              <w:rPr>
                <w:rFonts w:ascii="Lucida Bright" w:hAnsi="Lucida Bright" w:cs="Calibri"/>
                <w:b/>
                <w:bCs/>
                <w:color w:val="000000"/>
                <w:sz w:val="14"/>
                <w:szCs w:val="14"/>
                <w:lang w:val="es-ES"/>
              </w:rPr>
              <w:t>2023</w:t>
            </w:r>
          </w:p>
        </w:tc>
      </w:tr>
      <w:tr w:rsidR="0052512C" w:rsidRPr="0052512C" w:rsidTr="00583853">
        <w:trPr>
          <w:trHeight w:val="300"/>
        </w:trPr>
        <w:tc>
          <w:tcPr>
            <w:tcW w:w="4323"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52512C" w:rsidRPr="0052512C" w:rsidRDefault="0052512C" w:rsidP="0052512C">
            <w:pPr>
              <w:rPr>
                <w:rFonts w:ascii="Lucida Bright" w:hAnsi="Lucida Bright" w:cs="Calibri"/>
                <w:b/>
                <w:bCs/>
                <w:sz w:val="14"/>
                <w:szCs w:val="14"/>
                <w:lang w:val="es-ES"/>
              </w:rPr>
            </w:pPr>
            <w:r w:rsidRPr="0052512C">
              <w:rPr>
                <w:rFonts w:ascii="Lucida Bright" w:hAnsi="Lucida Bright" w:cs="Calibri"/>
                <w:b/>
                <w:bCs/>
                <w:sz w:val="14"/>
                <w:szCs w:val="14"/>
                <w:lang w:val="es-ES"/>
              </w:rPr>
              <w:t>III. Deudas a corto plazo</w:t>
            </w:r>
          </w:p>
        </w:tc>
        <w:tc>
          <w:tcPr>
            <w:tcW w:w="1134" w:type="dxa"/>
            <w:tcBorders>
              <w:top w:val="nil"/>
              <w:left w:val="nil"/>
              <w:bottom w:val="single" w:sz="4" w:space="0" w:color="auto"/>
              <w:right w:val="single" w:sz="4" w:space="0" w:color="auto"/>
            </w:tcBorders>
            <w:shd w:val="clear" w:color="000000" w:fill="CCFFCC"/>
            <w:noWrap/>
            <w:vAlign w:val="bottom"/>
            <w:hideMark/>
          </w:tcPr>
          <w:p w:rsidR="0052512C" w:rsidRPr="0052512C" w:rsidRDefault="0052512C" w:rsidP="0052512C">
            <w:pPr>
              <w:jc w:val="right"/>
              <w:rPr>
                <w:rFonts w:ascii="Lucida Bright" w:hAnsi="Lucida Bright" w:cs="Calibri"/>
                <w:b/>
                <w:bCs/>
                <w:sz w:val="14"/>
                <w:szCs w:val="14"/>
                <w:lang w:val="es-ES"/>
              </w:rPr>
            </w:pPr>
            <w:r w:rsidRPr="0052512C">
              <w:rPr>
                <w:rFonts w:ascii="Lucida Bright" w:hAnsi="Lucida Bright" w:cs="Calibri"/>
                <w:b/>
                <w:bCs/>
                <w:sz w:val="14"/>
                <w:szCs w:val="14"/>
                <w:lang w:val="es-ES"/>
              </w:rPr>
              <w:t xml:space="preserve">3.894.647,15 </w:t>
            </w:r>
          </w:p>
        </w:tc>
        <w:tc>
          <w:tcPr>
            <w:tcW w:w="1134" w:type="dxa"/>
            <w:tcBorders>
              <w:top w:val="nil"/>
              <w:left w:val="nil"/>
              <w:bottom w:val="single" w:sz="4" w:space="0" w:color="auto"/>
              <w:right w:val="single" w:sz="4" w:space="0" w:color="auto"/>
            </w:tcBorders>
            <w:shd w:val="clear" w:color="000000" w:fill="CCFFCC"/>
            <w:noWrap/>
            <w:vAlign w:val="bottom"/>
            <w:hideMark/>
          </w:tcPr>
          <w:p w:rsidR="0052512C" w:rsidRPr="0052512C" w:rsidRDefault="0052512C" w:rsidP="0052512C">
            <w:pPr>
              <w:jc w:val="right"/>
              <w:rPr>
                <w:rFonts w:ascii="Lucida Bright" w:hAnsi="Lucida Bright" w:cs="Calibri"/>
                <w:b/>
                <w:bCs/>
                <w:sz w:val="14"/>
                <w:szCs w:val="14"/>
                <w:lang w:val="es-ES"/>
              </w:rPr>
            </w:pPr>
            <w:r w:rsidRPr="0052512C">
              <w:rPr>
                <w:rFonts w:ascii="Lucida Bright" w:hAnsi="Lucida Bright" w:cs="Calibri"/>
                <w:b/>
                <w:bCs/>
                <w:sz w:val="14"/>
                <w:szCs w:val="14"/>
                <w:lang w:val="es-ES"/>
              </w:rPr>
              <w:t xml:space="preserve">1.935.929,40 </w:t>
            </w:r>
          </w:p>
        </w:tc>
      </w:tr>
      <w:tr w:rsidR="00583853" w:rsidRPr="0052512C" w:rsidTr="00583853">
        <w:trPr>
          <w:trHeight w:val="300"/>
        </w:trPr>
        <w:tc>
          <w:tcPr>
            <w:tcW w:w="4323" w:type="dxa"/>
            <w:tcBorders>
              <w:top w:val="nil"/>
              <w:left w:val="single" w:sz="4" w:space="0" w:color="auto"/>
              <w:bottom w:val="single" w:sz="4" w:space="0" w:color="auto"/>
              <w:right w:val="single" w:sz="4" w:space="0" w:color="auto"/>
            </w:tcBorders>
            <w:shd w:val="clear" w:color="000000" w:fill="FFFFFF"/>
            <w:noWrap/>
            <w:vAlign w:val="center"/>
            <w:hideMark/>
          </w:tcPr>
          <w:p w:rsidR="0052512C" w:rsidRPr="0052512C" w:rsidRDefault="0052512C" w:rsidP="0052512C">
            <w:pPr>
              <w:rPr>
                <w:rFonts w:ascii="Lucida Bright" w:hAnsi="Lucida Bright" w:cs="Calibri"/>
                <w:b/>
                <w:bCs/>
                <w:sz w:val="14"/>
                <w:szCs w:val="14"/>
                <w:lang w:val="es-ES"/>
              </w:rPr>
            </w:pPr>
            <w:r w:rsidRPr="0052512C">
              <w:rPr>
                <w:rFonts w:ascii="Lucida Bright" w:hAnsi="Lucida Bright" w:cs="Calibri"/>
                <w:b/>
                <w:bCs/>
                <w:sz w:val="14"/>
                <w:szCs w:val="14"/>
                <w:lang w:val="es-ES"/>
              </w:rPr>
              <w:t>2. Proveedores de inmovilizado a corto plazo</w:t>
            </w:r>
          </w:p>
        </w:tc>
        <w:tc>
          <w:tcPr>
            <w:tcW w:w="1134" w:type="dxa"/>
            <w:tcBorders>
              <w:top w:val="nil"/>
              <w:left w:val="nil"/>
              <w:bottom w:val="single" w:sz="4" w:space="0" w:color="auto"/>
              <w:right w:val="single" w:sz="4" w:space="0" w:color="auto"/>
            </w:tcBorders>
            <w:shd w:val="clear" w:color="auto" w:fill="auto"/>
            <w:noWrap/>
            <w:vAlign w:val="bottom"/>
            <w:hideMark/>
          </w:tcPr>
          <w:p w:rsidR="0052512C" w:rsidRPr="0052512C" w:rsidRDefault="0052512C" w:rsidP="0052512C">
            <w:pPr>
              <w:jc w:val="right"/>
              <w:rPr>
                <w:rFonts w:ascii="Lucida Bright" w:hAnsi="Lucida Bright" w:cs="Calibri"/>
                <w:b/>
                <w:bCs/>
                <w:sz w:val="14"/>
                <w:szCs w:val="14"/>
                <w:lang w:val="es-ES"/>
              </w:rPr>
            </w:pPr>
            <w:r w:rsidRPr="0052512C">
              <w:rPr>
                <w:rFonts w:ascii="Lucida Bright" w:hAnsi="Lucida Bright" w:cs="Calibri"/>
                <w:b/>
                <w:bCs/>
                <w:sz w:val="14"/>
                <w:szCs w:val="14"/>
                <w:lang w:val="es-ES"/>
              </w:rPr>
              <w:t xml:space="preserve">2.912.624,98 </w:t>
            </w:r>
          </w:p>
        </w:tc>
        <w:tc>
          <w:tcPr>
            <w:tcW w:w="1134" w:type="dxa"/>
            <w:tcBorders>
              <w:top w:val="nil"/>
              <w:left w:val="nil"/>
              <w:bottom w:val="single" w:sz="4" w:space="0" w:color="auto"/>
              <w:right w:val="single" w:sz="4" w:space="0" w:color="auto"/>
            </w:tcBorders>
            <w:shd w:val="clear" w:color="auto" w:fill="auto"/>
            <w:noWrap/>
            <w:vAlign w:val="bottom"/>
            <w:hideMark/>
          </w:tcPr>
          <w:p w:rsidR="0052512C" w:rsidRPr="0052512C" w:rsidRDefault="0052512C" w:rsidP="0052512C">
            <w:pPr>
              <w:jc w:val="right"/>
              <w:rPr>
                <w:rFonts w:ascii="Lucida Bright" w:hAnsi="Lucida Bright" w:cs="Calibri"/>
                <w:b/>
                <w:bCs/>
                <w:sz w:val="14"/>
                <w:szCs w:val="14"/>
                <w:lang w:val="es-ES"/>
              </w:rPr>
            </w:pPr>
            <w:r w:rsidRPr="0052512C">
              <w:rPr>
                <w:rFonts w:ascii="Lucida Bright" w:hAnsi="Lucida Bright" w:cs="Calibri"/>
                <w:b/>
                <w:bCs/>
                <w:sz w:val="14"/>
                <w:szCs w:val="14"/>
                <w:lang w:val="es-ES"/>
              </w:rPr>
              <w:t xml:space="preserve">1.682.570,57 </w:t>
            </w:r>
          </w:p>
        </w:tc>
      </w:tr>
      <w:tr w:rsidR="00583853" w:rsidRPr="0052512C" w:rsidTr="00583853">
        <w:trPr>
          <w:trHeight w:val="300"/>
        </w:trPr>
        <w:tc>
          <w:tcPr>
            <w:tcW w:w="4323" w:type="dxa"/>
            <w:tcBorders>
              <w:top w:val="nil"/>
              <w:left w:val="single" w:sz="4" w:space="0" w:color="auto"/>
              <w:bottom w:val="single" w:sz="4" w:space="0" w:color="auto"/>
              <w:right w:val="single" w:sz="4" w:space="0" w:color="auto"/>
            </w:tcBorders>
            <w:shd w:val="clear" w:color="000000" w:fill="FFFFFF"/>
            <w:noWrap/>
            <w:vAlign w:val="bottom"/>
            <w:hideMark/>
          </w:tcPr>
          <w:p w:rsidR="0052512C" w:rsidRPr="0052512C" w:rsidRDefault="0052512C" w:rsidP="0052512C">
            <w:pPr>
              <w:rPr>
                <w:rFonts w:ascii="Lucida Bright" w:hAnsi="Lucida Bright" w:cs="Calibri"/>
                <w:sz w:val="14"/>
                <w:szCs w:val="14"/>
                <w:lang w:val="es-ES"/>
              </w:rPr>
            </w:pPr>
            <w:r w:rsidRPr="0052512C">
              <w:rPr>
                <w:rFonts w:ascii="Lucida Bright" w:hAnsi="Lucida Bright" w:cs="Calibri"/>
                <w:sz w:val="14"/>
                <w:szCs w:val="14"/>
                <w:lang w:val="es-ES"/>
              </w:rPr>
              <w:t>Proveedores de inmovilizado a c.p.</w:t>
            </w:r>
          </w:p>
        </w:tc>
        <w:tc>
          <w:tcPr>
            <w:tcW w:w="1134" w:type="dxa"/>
            <w:tcBorders>
              <w:top w:val="nil"/>
              <w:left w:val="nil"/>
              <w:bottom w:val="single" w:sz="4" w:space="0" w:color="auto"/>
              <w:right w:val="single" w:sz="4" w:space="0" w:color="auto"/>
            </w:tcBorders>
            <w:shd w:val="clear" w:color="auto" w:fill="auto"/>
            <w:noWrap/>
            <w:vAlign w:val="bottom"/>
            <w:hideMark/>
          </w:tcPr>
          <w:p w:rsidR="0052512C" w:rsidRPr="0052512C" w:rsidRDefault="0052512C" w:rsidP="0052512C">
            <w:pPr>
              <w:jc w:val="right"/>
              <w:rPr>
                <w:rFonts w:ascii="Lucida Bright" w:hAnsi="Lucida Bright" w:cs="Calibri"/>
                <w:sz w:val="14"/>
                <w:szCs w:val="14"/>
                <w:lang w:val="es-ES"/>
              </w:rPr>
            </w:pPr>
            <w:r w:rsidRPr="0052512C">
              <w:rPr>
                <w:rFonts w:ascii="Lucida Bright" w:hAnsi="Lucida Bright" w:cs="Calibri"/>
                <w:sz w:val="14"/>
                <w:szCs w:val="14"/>
                <w:lang w:val="es-ES"/>
              </w:rPr>
              <w:t xml:space="preserve">2.912.624,98 </w:t>
            </w:r>
          </w:p>
        </w:tc>
        <w:tc>
          <w:tcPr>
            <w:tcW w:w="1134" w:type="dxa"/>
            <w:tcBorders>
              <w:top w:val="nil"/>
              <w:left w:val="nil"/>
              <w:bottom w:val="single" w:sz="4" w:space="0" w:color="auto"/>
              <w:right w:val="single" w:sz="4" w:space="0" w:color="auto"/>
            </w:tcBorders>
            <w:shd w:val="clear" w:color="auto" w:fill="auto"/>
            <w:noWrap/>
            <w:vAlign w:val="bottom"/>
            <w:hideMark/>
          </w:tcPr>
          <w:p w:rsidR="0052512C" w:rsidRPr="0052512C" w:rsidRDefault="0052512C" w:rsidP="0052512C">
            <w:pPr>
              <w:jc w:val="right"/>
              <w:rPr>
                <w:rFonts w:ascii="Lucida Bright" w:hAnsi="Lucida Bright" w:cs="Calibri"/>
                <w:sz w:val="14"/>
                <w:szCs w:val="14"/>
                <w:lang w:val="es-ES"/>
              </w:rPr>
            </w:pPr>
            <w:r w:rsidRPr="0052512C">
              <w:rPr>
                <w:rFonts w:ascii="Lucida Bright" w:hAnsi="Lucida Bright" w:cs="Calibri"/>
                <w:sz w:val="14"/>
                <w:szCs w:val="14"/>
                <w:lang w:val="es-ES"/>
              </w:rPr>
              <w:t xml:space="preserve">1.682.570,57 </w:t>
            </w:r>
          </w:p>
        </w:tc>
      </w:tr>
      <w:tr w:rsidR="00583853" w:rsidRPr="0052512C" w:rsidTr="00583853">
        <w:trPr>
          <w:trHeight w:val="300"/>
        </w:trPr>
        <w:tc>
          <w:tcPr>
            <w:tcW w:w="4323" w:type="dxa"/>
            <w:tcBorders>
              <w:top w:val="nil"/>
              <w:left w:val="single" w:sz="4" w:space="0" w:color="auto"/>
              <w:bottom w:val="single" w:sz="4" w:space="0" w:color="auto"/>
              <w:right w:val="single" w:sz="4" w:space="0" w:color="auto"/>
            </w:tcBorders>
            <w:shd w:val="clear" w:color="000000" w:fill="FFFFFF"/>
            <w:noWrap/>
            <w:vAlign w:val="center"/>
            <w:hideMark/>
          </w:tcPr>
          <w:p w:rsidR="0052512C" w:rsidRPr="0052512C" w:rsidRDefault="0052512C" w:rsidP="0052512C">
            <w:pPr>
              <w:rPr>
                <w:rFonts w:ascii="Lucida Bright" w:hAnsi="Lucida Bright" w:cs="Calibri"/>
                <w:b/>
                <w:bCs/>
                <w:sz w:val="14"/>
                <w:szCs w:val="14"/>
                <w:lang w:val="es-ES"/>
              </w:rPr>
            </w:pPr>
            <w:r w:rsidRPr="0052512C">
              <w:rPr>
                <w:rFonts w:ascii="Lucida Bright" w:hAnsi="Lucida Bright" w:cs="Calibri"/>
                <w:b/>
                <w:bCs/>
                <w:sz w:val="14"/>
                <w:szCs w:val="14"/>
                <w:lang w:val="es-ES"/>
              </w:rPr>
              <w:t>3. Otros pasivos financieros</w:t>
            </w:r>
          </w:p>
        </w:tc>
        <w:tc>
          <w:tcPr>
            <w:tcW w:w="1134" w:type="dxa"/>
            <w:tcBorders>
              <w:top w:val="nil"/>
              <w:left w:val="nil"/>
              <w:bottom w:val="single" w:sz="4" w:space="0" w:color="auto"/>
              <w:right w:val="single" w:sz="4" w:space="0" w:color="auto"/>
            </w:tcBorders>
            <w:shd w:val="clear" w:color="auto" w:fill="auto"/>
            <w:noWrap/>
            <w:vAlign w:val="bottom"/>
            <w:hideMark/>
          </w:tcPr>
          <w:p w:rsidR="0052512C" w:rsidRPr="0052512C" w:rsidRDefault="0052512C" w:rsidP="0052512C">
            <w:pPr>
              <w:jc w:val="right"/>
              <w:rPr>
                <w:rFonts w:ascii="Lucida Bright" w:hAnsi="Lucida Bright" w:cs="Calibri"/>
                <w:b/>
                <w:bCs/>
                <w:sz w:val="14"/>
                <w:szCs w:val="14"/>
                <w:lang w:val="es-ES"/>
              </w:rPr>
            </w:pPr>
            <w:r w:rsidRPr="0052512C">
              <w:rPr>
                <w:rFonts w:ascii="Lucida Bright" w:hAnsi="Lucida Bright" w:cs="Calibri"/>
                <w:b/>
                <w:bCs/>
                <w:sz w:val="14"/>
                <w:szCs w:val="14"/>
                <w:lang w:val="es-ES"/>
              </w:rPr>
              <w:t xml:space="preserve">982.022,17 </w:t>
            </w:r>
          </w:p>
        </w:tc>
        <w:tc>
          <w:tcPr>
            <w:tcW w:w="1134" w:type="dxa"/>
            <w:tcBorders>
              <w:top w:val="nil"/>
              <w:left w:val="nil"/>
              <w:bottom w:val="single" w:sz="4" w:space="0" w:color="auto"/>
              <w:right w:val="single" w:sz="4" w:space="0" w:color="auto"/>
            </w:tcBorders>
            <w:shd w:val="clear" w:color="auto" w:fill="auto"/>
            <w:noWrap/>
            <w:vAlign w:val="bottom"/>
            <w:hideMark/>
          </w:tcPr>
          <w:p w:rsidR="0052512C" w:rsidRPr="0052512C" w:rsidRDefault="0052512C" w:rsidP="0052512C">
            <w:pPr>
              <w:jc w:val="right"/>
              <w:rPr>
                <w:rFonts w:ascii="Lucida Bright" w:hAnsi="Lucida Bright" w:cs="Calibri"/>
                <w:b/>
                <w:bCs/>
                <w:sz w:val="14"/>
                <w:szCs w:val="14"/>
                <w:lang w:val="es-ES"/>
              </w:rPr>
            </w:pPr>
            <w:r w:rsidRPr="0052512C">
              <w:rPr>
                <w:rFonts w:ascii="Lucida Bright" w:hAnsi="Lucida Bright" w:cs="Calibri"/>
                <w:b/>
                <w:bCs/>
                <w:sz w:val="14"/>
                <w:szCs w:val="14"/>
                <w:lang w:val="es-ES"/>
              </w:rPr>
              <w:t xml:space="preserve">253.358,83 </w:t>
            </w:r>
          </w:p>
        </w:tc>
      </w:tr>
      <w:tr w:rsidR="0052512C" w:rsidRPr="0052512C" w:rsidTr="00583853">
        <w:trPr>
          <w:trHeight w:val="300"/>
        </w:trPr>
        <w:tc>
          <w:tcPr>
            <w:tcW w:w="4323" w:type="dxa"/>
            <w:tcBorders>
              <w:top w:val="nil"/>
              <w:left w:val="single" w:sz="4" w:space="0" w:color="auto"/>
              <w:bottom w:val="single" w:sz="4" w:space="0" w:color="auto"/>
              <w:right w:val="single" w:sz="4" w:space="0" w:color="auto"/>
            </w:tcBorders>
            <w:shd w:val="clear" w:color="000000" w:fill="FFFFFF"/>
            <w:noWrap/>
            <w:vAlign w:val="bottom"/>
            <w:hideMark/>
          </w:tcPr>
          <w:p w:rsidR="0052512C" w:rsidRPr="0052512C" w:rsidRDefault="0052512C" w:rsidP="0052512C">
            <w:pPr>
              <w:rPr>
                <w:rFonts w:ascii="Lucida Bright" w:hAnsi="Lucida Bright" w:cs="Calibri"/>
                <w:sz w:val="14"/>
                <w:szCs w:val="14"/>
                <w:lang w:val="es-ES"/>
              </w:rPr>
            </w:pPr>
            <w:r w:rsidRPr="0052512C">
              <w:rPr>
                <w:rFonts w:ascii="Lucida Bright" w:hAnsi="Lucida Bright" w:cs="Calibri"/>
                <w:sz w:val="14"/>
                <w:szCs w:val="14"/>
                <w:lang w:val="es-ES"/>
              </w:rPr>
              <w:t>Deudas a corto plazo</w:t>
            </w:r>
          </w:p>
        </w:tc>
        <w:tc>
          <w:tcPr>
            <w:tcW w:w="1134" w:type="dxa"/>
            <w:tcBorders>
              <w:top w:val="nil"/>
              <w:left w:val="nil"/>
              <w:bottom w:val="single" w:sz="4" w:space="0" w:color="auto"/>
              <w:right w:val="single" w:sz="4" w:space="0" w:color="auto"/>
            </w:tcBorders>
            <w:shd w:val="clear" w:color="000000" w:fill="FFFFFF"/>
            <w:noWrap/>
            <w:vAlign w:val="bottom"/>
            <w:hideMark/>
          </w:tcPr>
          <w:p w:rsidR="0052512C" w:rsidRPr="0052512C" w:rsidRDefault="0052512C" w:rsidP="0052512C">
            <w:pPr>
              <w:jc w:val="right"/>
              <w:rPr>
                <w:rFonts w:ascii="Lucida Bright" w:hAnsi="Lucida Bright" w:cs="Calibri"/>
                <w:sz w:val="14"/>
                <w:szCs w:val="14"/>
                <w:lang w:val="es-ES"/>
              </w:rPr>
            </w:pPr>
            <w:r w:rsidRPr="0052512C">
              <w:rPr>
                <w:rFonts w:ascii="Lucida Bright" w:hAnsi="Lucida Bright" w:cs="Calibri"/>
                <w:sz w:val="14"/>
                <w:szCs w:val="14"/>
                <w:lang w:val="es-ES"/>
              </w:rPr>
              <w:t xml:space="preserve">961.564,94 </w:t>
            </w:r>
          </w:p>
        </w:tc>
        <w:tc>
          <w:tcPr>
            <w:tcW w:w="1134" w:type="dxa"/>
            <w:tcBorders>
              <w:top w:val="nil"/>
              <w:left w:val="nil"/>
              <w:bottom w:val="single" w:sz="4" w:space="0" w:color="auto"/>
              <w:right w:val="single" w:sz="4" w:space="0" w:color="auto"/>
            </w:tcBorders>
            <w:shd w:val="clear" w:color="000000" w:fill="FFFFFF"/>
            <w:noWrap/>
            <w:vAlign w:val="bottom"/>
            <w:hideMark/>
          </w:tcPr>
          <w:p w:rsidR="0052512C" w:rsidRPr="0052512C" w:rsidRDefault="0052512C" w:rsidP="0052512C">
            <w:pPr>
              <w:jc w:val="right"/>
              <w:rPr>
                <w:rFonts w:ascii="Lucida Bright" w:hAnsi="Lucida Bright" w:cs="Calibri"/>
                <w:sz w:val="14"/>
                <w:szCs w:val="14"/>
                <w:lang w:val="es-ES"/>
              </w:rPr>
            </w:pPr>
            <w:r w:rsidRPr="0052512C">
              <w:rPr>
                <w:rFonts w:ascii="Lucida Bright" w:hAnsi="Lucida Bright" w:cs="Calibri"/>
                <w:sz w:val="14"/>
                <w:szCs w:val="14"/>
                <w:lang w:val="es-ES"/>
              </w:rPr>
              <w:t xml:space="preserve">212.517,70 </w:t>
            </w:r>
          </w:p>
        </w:tc>
      </w:tr>
      <w:tr w:rsidR="0052512C" w:rsidRPr="0052512C" w:rsidTr="00583853">
        <w:trPr>
          <w:trHeight w:val="300"/>
        </w:trPr>
        <w:tc>
          <w:tcPr>
            <w:tcW w:w="4323" w:type="dxa"/>
            <w:tcBorders>
              <w:top w:val="nil"/>
              <w:left w:val="single" w:sz="4" w:space="0" w:color="auto"/>
              <w:bottom w:val="single" w:sz="4" w:space="0" w:color="auto"/>
              <w:right w:val="single" w:sz="4" w:space="0" w:color="auto"/>
            </w:tcBorders>
            <w:shd w:val="clear" w:color="000000" w:fill="FFFFFF"/>
            <w:noWrap/>
            <w:vAlign w:val="bottom"/>
            <w:hideMark/>
          </w:tcPr>
          <w:p w:rsidR="0052512C" w:rsidRPr="0052512C" w:rsidRDefault="0052512C" w:rsidP="0052512C">
            <w:pPr>
              <w:rPr>
                <w:rFonts w:ascii="Lucida Bright" w:hAnsi="Lucida Bright" w:cs="Calibri"/>
                <w:sz w:val="14"/>
                <w:szCs w:val="14"/>
                <w:lang w:val="es-ES"/>
              </w:rPr>
            </w:pPr>
            <w:r w:rsidRPr="0052512C">
              <w:rPr>
                <w:rFonts w:ascii="Lucida Bright" w:hAnsi="Lucida Bright" w:cs="Calibri"/>
                <w:sz w:val="14"/>
                <w:szCs w:val="14"/>
                <w:lang w:val="es-ES"/>
              </w:rPr>
              <w:t>Fianzas y depósitos recibidos a c.p.</w:t>
            </w:r>
          </w:p>
        </w:tc>
        <w:tc>
          <w:tcPr>
            <w:tcW w:w="1134" w:type="dxa"/>
            <w:tcBorders>
              <w:top w:val="nil"/>
              <w:left w:val="nil"/>
              <w:bottom w:val="single" w:sz="4" w:space="0" w:color="auto"/>
              <w:right w:val="single" w:sz="4" w:space="0" w:color="auto"/>
            </w:tcBorders>
            <w:shd w:val="clear" w:color="000000" w:fill="FFFFFF"/>
            <w:noWrap/>
            <w:vAlign w:val="bottom"/>
            <w:hideMark/>
          </w:tcPr>
          <w:p w:rsidR="0052512C" w:rsidRPr="0052512C" w:rsidRDefault="0052512C" w:rsidP="0052512C">
            <w:pPr>
              <w:jc w:val="right"/>
              <w:rPr>
                <w:rFonts w:ascii="Lucida Bright" w:hAnsi="Lucida Bright" w:cs="Calibri"/>
                <w:sz w:val="14"/>
                <w:szCs w:val="14"/>
                <w:lang w:val="es-ES"/>
              </w:rPr>
            </w:pPr>
            <w:r w:rsidRPr="0052512C">
              <w:rPr>
                <w:rFonts w:ascii="Lucida Bright" w:hAnsi="Lucida Bright" w:cs="Calibri"/>
                <w:sz w:val="14"/>
                <w:szCs w:val="14"/>
                <w:lang w:val="es-ES"/>
              </w:rPr>
              <w:t xml:space="preserve">20.457,23 </w:t>
            </w:r>
          </w:p>
        </w:tc>
        <w:tc>
          <w:tcPr>
            <w:tcW w:w="1134" w:type="dxa"/>
            <w:tcBorders>
              <w:top w:val="nil"/>
              <w:left w:val="nil"/>
              <w:bottom w:val="single" w:sz="4" w:space="0" w:color="auto"/>
              <w:right w:val="single" w:sz="4" w:space="0" w:color="auto"/>
            </w:tcBorders>
            <w:shd w:val="clear" w:color="000000" w:fill="FFFFFF"/>
            <w:noWrap/>
            <w:vAlign w:val="bottom"/>
            <w:hideMark/>
          </w:tcPr>
          <w:p w:rsidR="0052512C" w:rsidRPr="0052512C" w:rsidRDefault="0052512C" w:rsidP="0052512C">
            <w:pPr>
              <w:jc w:val="right"/>
              <w:rPr>
                <w:rFonts w:ascii="Lucida Bright" w:hAnsi="Lucida Bright" w:cs="Calibri"/>
                <w:sz w:val="14"/>
                <w:szCs w:val="14"/>
                <w:lang w:val="es-ES"/>
              </w:rPr>
            </w:pPr>
            <w:r w:rsidRPr="0052512C">
              <w:rPr>
                <w:rFonts w:ascii="Lucida Bright" w:hAnsi="Lucida Bright" w:cs="Calibri"/>
                <w:sz w:val="14"/>
                <w:szCs w:val="14"/>
                <w:lang w:val="es-ES"/>
              </w:rPr>
              <w:t xml:space="preserve">40.841,13 </w:t>
            </w:r>
          </w:p>
        </w:tc>
      </w:tr>
    </w:tbl>
    <w:p w:rsidR="00355CD5" w:rsidRPr="00E867B3" w:rsidRDefault="00355CD5" w:rsidP="00E90A55">
      <w:pPr>
        <w:pStyle w:val="Sangra2detindependiente"/>
        <w:tabs>
          <w:tab w:val="right" w:pos="8364"/>
        </w:tabs>
        <w:rPr>
          <w:rFonts w:ascii="NewBaskerville" w:hAnsi="NewBaskerville"/>
          <w:sz w:val="20"/>
        </w:rPr>
      </w:pPr>
    </w:p>
    <w:p w:rsidR="007661D9" w:rsidRPr="007661D9" w:rsidRDefault="007661D9" w:rsidP="0075305A">
      <w:pPr>
        <w:pStyle w:val="Sangra2detindependiente"/>
        <w:tabs>
          <w:tab w:val="right" w:pos="8364"/>
        </w:tabs>
        <w:ind w:firstLine="0"/>
        <w:rPr>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223"/>
        <w:gridCol w:w="1164"/>
        <w:gridCol w:w="1134"/>
      </w:tblGrid>
      <w:tr w:rsidR="0052512C" w:rsidRPr="0052512C" w:rsidTr="00583853">
        <w:trPr>
          <w:trHeight w:val="300"/>
        </w:trPr>
        <w:tc>
          <w:tcPr>
            <w:tcW w:w="4223" w:type="dxa"/>
            <w:tcBorders>
              <w:top w:val="nil"/>
              <w:left w:val="nil"/>
              <w:bottom w:val="nil"/>
              <w:right w:val="nil"/>
            </w:tcBorders>
            <w:shd w:val="clear" w:color="auto" w:fill="auto"/>
            <w:noWrap/>
            <w:vAlign w:val="bottom"/>
            <w:hideMark/>
          </w:tcPr>
          <w:p w:rsidR="0052512C" w:rsidRPr="0052512C" w:rsidRDefault="0052512C" w:rsidP="0052512C">
            <w:pPr>
              <w:rPr>
                <w:rFonts w:ascii="Calibri" w:hAnsi="Calibri" w:cs="Calibri"/>
                <w:color w:val="000000"/>
                <w:sz w:val="22"/>
                <w:szCs w:val="22"/>
                <w:lang w:val="es-ES"/>
              </w:rPr>
            </w:pPr>
          </w:p>
        </w:tc>
        <w:tc>
          <w:tcPr>
            <w:tcW w:w="1164"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52512C" w:rsidRPr="0052512C" w:rsidRDefault="0052512C" w:rsidP="0052512C">
            <w:pPr>
              <w:jc w:val="center"/>
              <w:rPr>
                <w:rFonts w:ascii="Lucida Bright" w:hAnsi="Lucida Bright" w:cs="Calibri"/>
                <w:b/>
                <w:bCs/>
                <w:color w:val="000000"/>
                <w:sz w:val="14"/>
                <w:szCs w:val="14"/>
                <w:lang w:val="es-ES"/>
              </w:rPr>
            </w:pPr>
            <w:r w:rsidRPr="0052512C">
              <w:rPr>
                <w:rFonts w:ascii="Lucida Bright" w:hAnsi="Lucida Bright" w:cs="Calibri"/>
                <w:b/>
                <w:bCs/>
                <w:color w:val="000000"/>
                <w:sz w:val="14"/>
                <w:szCs w:val="14"/>
                <w:lang w:val="es-ES"/>
              </w:rPr>
              <w:t>2024</w:t>
            </w:r>
          </w:p>
        </w:tc>
        <w:tc>
          <w:tcPr>
            <w:tcW w:w="1134" w:type="dxa"/>
            <w:tcBorders>
              <w:top w:val="single" w:sz="4" w:space="0" w:color="auto"/>
              <w:left w:val="nil"/>
              <w:bottom w:val="single" w:sz="4" w:space="0" w:color="auto"/>
              <w:right w:val="single" w:sz="4" w:space="0" w:color="auto"/>
            </w:tcBorders>
            <w:shd w:val="clear" w:color="000000" w:fill="CCFFCC"/>
            <w:noWrap/>
            <w:vAlign w:val="center"/>
            <w:hideMark/>
          </w:tcPr>
          <w:p w:rsidR="0052512C" w:rsidRPr="0052512C" w:rsidRDefault="0052512C" w:rsidP="0052512C">
            <w:pPr>
              <w:jc w:val="center"/>
              <w:rPr>
                <w:rFonts w:ascii="Lucida Bright" w:hAnsi="Lucida Bright" w:cs="Calibri"/>
                <w:b/>
                <w:bCs/>
                <w:color w:val="000000"/>
                <w:sz w:val="14"/>
                <w:szCs w:val="14"/>
                <w:lang w:val="es-ES"/>
              </w:rPr>
            </w:pPr>
            <w:r w:rsidRPr="0052512C">
              <w:rPr>
                <w:rFonts w:ascii="Lucida Bright" w:hAnsi="Lucida Bright" w:cs="Calibri"/>
                <w:b/>
                <w:bCs/>
                <w:color w:val="000000"/>
                <w:sz w:val="14"/>
                <w:szCs w:val="14"/>
                <w:lang w:val="es-ES"/>
              </w:rPr>
              <w:t>2023</w:t>
            </w:r>
          </w:p>
        </w:tc>
      </w:tr>
      <w:tr w:rsidR="0052512C" w:rsidRPr="0052512C" w:rsidTr="00583853">
        <w:trPr>
          <w:trHeight w:val="300"/>
        </w:trPr>
        <w:tc>
          <w:tcPr>
            <w:tcW w:w="4223"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52512C" w:rsidRPr="0052512C" w:rsidRDefault="0052512C" w:rsidP="0052512C">
            <w:pPr>
              <w:rPr>
                <w:rFonts w:ascii="Lucida Bright" w:hAnsi="Lucida Bright" w:cs="Calibri"/>
                <w:b/>
                <w:bCs/>
                <w:sz w:val="14"/>
                <w:szCs w:val="14"/>
                <w:lang w:val="es-ES"/>
              </w:rPr>
            </w:pPr>
            <w:r w:rsidRPr="0052512C">
              <w:rPr>
                <w:rFonts w:ascii="Lucida Bright" w:hAnsi="Lucida Bright" w:cs="Calibri"/>
                <w:b/>
                <w:bCs/>
                <w:sz w:val="14"/>
                <w:szCs w:val="14"/>
                <w:lang w:val="es-ES"/>
              </w:rPr>
              <w:t>IV. Deudas con empr. del grupo y asociadas a c.p.</w:t>
            </w:r>
          </w:p>
        </w:tc>
        <w:tc>
          <w:tcPr>
            <w:tcW w:w="1164" w:type="dxa"/>
            <w:tcBorders>
              <w:top w:val="nil"/>
              <w:left w:val="nil"/>
              <w:bottom w:val="single" w:sz="4" w:space="0" w:color="auto"/>
              <w:right w:val="single" w:sz="4" w:space="0" w:color="auto"/>
            </w:tcBorders>
            <w:shd w:val="clear" w:color="000000" w:fill="CCFFCC"/>
            <w:noWrap/>
            <w:vAlign w:val="bottom"/>
            <w:hideMark/>
          </w:tcPr>
          <w:p w:rsidR="0052512C" w:rsidRPr="0052512C" w:rsidRDefault="0052512C" w:rsidP="0052512C">
            <w:pPr>
              <w:jc w:val="right"/>
              <w:rPr>
                <w:rFonts w:ascii="Lucida Bright" w:hAnsi="Lucida Bright" w:cs="Calibri"/>
                <w:b/>
                <w:bCs/>
                <w:sz w:val="14"/>
                <w:szCs w:val="14"/>
                <w:lang w:val="es-ES"/>
              </w:rPr>
            </w:pPr>
            <w:r w:rsidRPr="0052512C">
              <w:rPr>
                <w:rFonts w:ascii="Lucida Bright" w:hAnsi="Lucida Bright" w:cs="Calibri"/>
                <w:b/>
                <w:bCs/>
                <w:sz w:val="14"/>
                <w:szCs w:val="14"/>
                <w:lang w:val="es-ES"/>
              </w:rPr>
              <w:t xml:space="preserve">22.872,92 </w:t>
            </w:r>
          </w:p>
        </w:tc>
        <w:tc>
          <w:tcPr>
            <w:tcW w:w="1134" w:type="dxa"/>
            <w:tcBorders>
              <w:top w:val="nil"/>
              <w:left w:val="nil"/>
              <w:bottom w:val="single" w:sz="4" w:space="0" w:color="auto"/>
              <w:right w:val="single" w:sz="4" w:space="0" w:color="auto"/>
            </w:tcBorders>
            <w:shd w:val="clear" w:color="000000" w:fill="CCFFCC"/>
            <w:noWrap/>
            <w:vAlign w:val="bottom"/>
            <w:hideMark/>
          </w:tcPr>
          <w:p w:rsidR="0052512C" w:rsidRPr="0052512C" w:rsidRDefault="0052512C" w:rsidP="0052512C">
            <w:pPr>
              <w:jc w:val="right"/>
              <w:rPr>
                <w:rFonts w:ascii="Lucida Bright" w:hAnsi="Lucida Bright" w:cs="Calibri"/>
                <w:b/>
                <w:bCs/>
                <w:sz w:val="14"/>
                <w:szCs w:val="14"/>
                <w:lang w:val="es-ES"/>
              </w:rPr>
            </w:pPr>
            <w:r w:rsidRPr="0052512C">
              <w:rPr>
                <w:rFonts w:ascii="Lucida Bright" w:hAnsi="Lucida Bright" w:cs="Calibri"/>
                <w:b/>
                <w:bCs/>
                <w:sz w:val="14"/>
                <w:szCs w:val="14"/>
                <w:lang w:val="es-ES"/>
              </w:rPr>
              <w:t xml:space="preserve">11.556,64 </w:t>
            </w:r>
          </w:p>
        </w:tc>
      </w:tr>
      <w:tr w:rsidR="0052512C" w:rsidRPr="0052512C" w:rsidTr="00583853">
        <w:trPr>
          <w:trHeight w:val="300"/>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52512C" w:rsidRPr="0052512C" w:rsidRDefault="0052512C" w:rsidP="0052512C">
            <w:pPr>
              <w:rPr>
                <w:rFonts w:ascii="Lucida Bright" w:hAnsi="Lucida Bright" w:cs="Calibri"/>
                <w:sz w:val="14"/>
                <w:szCs w:val="14"/>
                <w:lang w:val="es-ES"/>
              </w:rPr>
            </w:pPr>
            <w:r w:rsidRPr="0052512C">
              <w:rPr>
                <w:rFonts w:ascii="Lucida Bright" w:hAnsi="Lucida Bright" w:cs="Calibri"/>
                <w:sz w:val="14"/>
                <w:szCs w:val="14"/>
                <w:lang w:val="es-ES"/>
              </w:rPr>
              <w:t>OPPE, acreedor principales e inter. litig. tarif. (anticipos, etc)</w:t>
            </w:r>
          </w:p>
        </w:tc>
        <w:tc>
          <w:tcPr>
            <w:tcW w:w="1164" w:type="dxa"/>
            <w:tcBorders>
              <w:top w:val="nil"/>
              <w:left w:val="nil"/>
              <w:bottom w:val="single" w:sz="4" w:space="0" w:color="auto"/>
              <w:right w:val="single" w:sz="4" w:space="0" w:color="auto"/>
            </w:tcBorders>
            <w:shd w:val="clear" w:color="000000" w:fill="FFFFFF"/>
            <w:noWrap/>
            <w:vAlign w:val="bottom"/>
            <w:hideMark/>
          </w:tcPr>
          <w:p w:rsidR="0052512C" w:rsidRPr="0052512C" w:rsidRDefault="0052512C" w:rsidP="0052512C">
            <w:pPr>
              <w:rPr>
                <w:rFonts w:ascii="Lucida Bright" w:hAnsi="Lucida Bright" w:cs="Calibri"/>
                <w:sz w:val="14"/>
                <w:szCs w:val="14"/>
                <w:lang w:val="es-ES"/>
              </w:rPr>
            </w:pPr>
            <w:r w:rsidRPr="0052512C">
              <w:rPr>
                <w:rFonts w:ascii="Lucida Bright" w:hAnsi="Lucida Bright" w:cs="Calibri"/>
                <w:sz w:val="14"/>
                <w:szCs w:val="14"/>
                <w:lang w:val="es-E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52512C" w:rsidRPr="0052512C" w:rsidRDefault="0052512C" w:rsidP="0052512C">
            <w:pPr>
              <w:rPr>
                <w:rFonts w:ascii="Lucida Bright" w:hAnsi="Lucida Bright" w:cs="Calibri"/>
                <w:sz w:val="14"/>
                <w:szCs w:val="14"/>
                <w:lang w:val="es-ES"/>
              </w:rPr>
            </w:pPr>
            <w:r w:rsidRPr="0052512C">
              <w:rPr>
                <w:rFonts w:ascii="Lucida Bright" w:hAnsi="Lucida Bright" w:cs="Calibri"/>
                <w:sz w:val="14"/>
                <w:szCs w:val="14"/>
                <w:lang w:val="es-ES"/>
              </w:rPr>
              <w:t> </w:t>
            </w:r>
          </w:p>
        </w:tc>
      </w:tr>
      <w:tr w:rsidR="0052512C" w:rsidRPr="0052512C" w:rsidTr="00583853">
        <w:trPr>
          <w:trHeight w:val="300"/>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52512C" w:rsidRPr="0052512C" w:rsidRDefault="0052512C" w:rsidP="0052512C">
            <w:pPr>
              <w:rPr>
                <w:rFonts w:ascii="Lucida Bright" w:hAnsi="Lucida Bright" w:cs="Calibri"/>
                <w:sz w:val="14"/>
                <w:szCs w:val="14"/>
                <w:lang w:val="es-ES"/>
              </w:rPr>
            </w:pPr>
            <w:r w:rsidRPr="0052512C">
              <w:rPr>
                <w:rFonts w:ascii="Lucida Bright" w:hAnsi="Lucida Bright" w:cs="Calibri"/>
                <w:sz w:val="14"/>
                <w:szCs w:val="14"/>
                <w:lang w:val="es-ES"/>
              </w:rPr>
              <w:t>FFATP acreedor</w:t>
            </w:r>
          </w:p>
        </w:tc>
        <w:tc>
          <w:tcPr>
            <w:tcW w:w="1164" w:type="dxa"/>
            <w:tcBorders>
              <w:top w:val="nil"/>
              <w:left w:val="nil"/>
              <w:bottom w:val="single" w:sz="4" w:space="0" w:color="auto"/>
              <w:right w:val="single" w:sz="4" w:space="0" w:color="auto"/>
            </w:tcBorders>
            <w:shd w:val="clear" w:color="000000" w:fill="FFFFFF"/>
            <w:noWrap/>
            <w:vAlign w:val="bottom"/>
            <w:hideMark/>
          </w:tcPr>
          <w:p w:rsidR="0052512C" w:rsidRPr="0052512C" w:rsidRDefault="0052512C" w:rsidP="0052512C">
            <w:pPr>
              <w:jc w:val="right"/>
              <w:rPr>
                <w:rFonts w:ascii="Lucida Bright" w:hAnsi="Lucida Bright" w:cs="Calibri"/>
                <w:sz w:val="14"/>
                <w:szCs w:val="14"/>
                <w:lang w:val="es-ES"/>
              </w:rPr>
            </w:pPr>
            <w:r w:rsidRPr="0052512C">
              <w:rPr>
                <w:rFonts w:ascii="Lucida Bright" w:hAnsi="Lucida Bright" w:cs="Calibri"/>
                <w:sz w:val="14"/>
                <w:szCs w:val="14"/>
                <w:lang w:val="es-ES"/>
              </w:rPr>
              <w:t xml:space="preserve">19.847,92 </w:t>
            </w:r>
          </w:p>
        </w:tc>
        <w:tc>
          <w:tcPr>
            <w:tcW w:w="1134" w:type="dxa"/>
            <w:tcBorders>
              <w:top w:val="nil"/>
              <w:left w:val="nil"/>
              <w:bottom w:val="single" w:sz="4" w:space="0" w:color="auto"/>
              <w:right w:val="single" w:sz="4" w:space="0" w:color="auto"/>
            </w:tcBorders>
            <w:shd w:val="clear" w:color="000000" w:fill="FFFFFF"/>
            <w:noWrap/>
            <w:vAlign w:val="bottom"/>
            <w:hideMark/>
          </w:tcPr>
          <w:p w:rsidR="0052512C" w:rsidRPr="0052512C" w:rsidRDefault="0052512C" w:rsidP="0052512C">
            <w:pPr>
              <w:jc w:val="right"/>
              <w:rPr>
                <w:rFonts w:ascii="Lucida Bright" w:hAnsi="Lucida Bright" w:cs="Calibri"/>
                <w:sz w:val="14"/>
                <w:szCs w:val="14"/>
                <w:lang w:val="es-ES"/>
              </w:rPr>
            </w:pPr>
            <w:r w:rsidRPr="0052512C">
              <w:rPr>
                <w:rFonts w:ascii="Lucida Bright" w:hAnsi="Lucida Bright" w:cs="Calibri"/>
                <w:sz w:val="14"/>
                <w:szCs w:val="14"/>
                <w:lang w:val="es-ES"/>
              </w:rPr>
              <w:t xml:space="preserve">11.556,64 </w:t>
            </w:r>
          </w:p>
        </w:tc>
      </w:tr>
      <w:tr w:rsidR="0052512C" w:rsidRPr="0052512C" w:rsidTr="00583853">
        <w:trPr>
          <w:trHeight w:val="300"/>
        </w:trPr>
        <w:tc>
          <w:tcPr>
            <w:tcW w:w="4223" w:type="dxa"/>
            <w:tcBorders>
              <w:top w:val="nil"/>
              <w:left w:val="single" w:sz="4" w:space="0" w:color="auto"/>
              <w:bottom w:val="single" w:sz="4" w:space="0" w:color="auto"/>
              <w:right w:val="single" w:sz="4" w:space="0" w:color="auto"/>
            </w:tcBorders>
            <w:shd w:val="clear" w:color="000000" w:fill="FFFFFF"/>
            <w:noWrap/>
            <w:vAlign w:val="bottom"/>
            <w:hideMark/>
          </w:tcPr>
          <w:p w:rsidR="0052512C" w:rsidRPr="0052512C" w:rsidRDefault="0052512C" w:rsidP="0052512C">
            <w:pPr>
              <w:rPr>
                <w:rFonts w:ascii="Lucida Bright" w:hAnsi="Lucida Bright" w:cs="Calibri"/>
                <w:sz w:val="14"/>
                <w:szCs w:val="14"/>
                <w:lang w:val="es-ES"/>
              </w:rPr>
            </w:pPr>
            <w:r w:rsidRPr="0052512C">
              <w:rPr>
                <w:rFonts w:ascii="Lucida Bright" w:hAnsi="Lucida Bright" w:cs="Calibri"/>
                <w:sz w:val="14"/>
                <w:szCs w:val="14"/>
                <w:lang w:val="es-ES"/>
              </w:rPr>
              <w:t>O P PUERTOS DEL ESTADO</w:t>
            </w:r>
          </w:p>
        </w:tc>
        <w:tc>
          <w:tcPr>
            <w:tcW w:w="1164" w:type="dxa"/>
            <w:tcBorders>
              <w:top w:val="nil"/>
              <w:left w:val="nil"/>
              <w:bottom w:val="single" w:sz="4" w:space="0" w:color="auto"/>
              <w:right w:val="single" w:sz="4" w:space="0" w:color="auto"/>
            </w:tcBorders>
            <w:shd w:val="clear" w:color="000000" w:fill="FFFFFF"/>
            <w:noWrap/>
            <w:vAlign w:val="bottom"/>
            <w:hideMark/>
          </w:tcPr>
          <w:p w:rsidR="0052512C" w:rsidRPr="0052512C" w:rsidRDefault="0052512C" w:rsidP="0052512C">
            <w:pPr>
              <w:jc w:val="right"/>
              <w:rPr>
                <w:rFonts w:ascii="Lucida Bright" w:hAnsi="Lucida Bright" w:cs="Calibri"/>
                <w:sz w:val="14"/>
                <w:szCs w:val="14"/>
                <w:lang w:val="es-ES"/>
              </w:rPr>
            </w:pPr>
            <w:r w:rsidRPr="0052512C">
              <w:rPr>
                <w:rFonts w:ascii="Lucida Bright" w:hAnsi="Lucida Bright" w:cs="Calibri"/>
                <w:sz w:val="14"/>
                <w:szCs w:val="14"/>
                <w:lang w:val="es-ES"/>
              </w:rPr>
              <w:t xml:space="preserve">3.025,00 </w:t>
            </w:r>
          </w:p>
        </w:tc>
        <w:tc>
          <w:tcPr>
            <w:tcW w:w="1134" w:type="dxa"/>
            <w:tcBorders>
              <w:top w:val="nil"/>
              <w:left w:val="nil"/>
              <w:bottom w:val="single" w:sz="4" w:space="0" w:color="auto"/>
              <w:right w:val="single" w:sz="4" w:space="0" w:color="auto"/>
            </w:tcBorders>
            <w:shd w:val="clear" w:color="000000" w:fill="FFFFFF"/>
            <w:noWrap/>
            <w:vAlign w:val="bottom"/>
            <w:hideMark/>
          </w:tcPr>
          <w:p w:rsidR="0052512C" w:rsidRPr="0052512C" w:rsidRDefault="0052512C" w:rsidP="0052512C">
            <w:pPr>
              <w:rPr>
                <w:rFonts w:ascii="Lucida Bright" w:hAnsi="Lucida Bright" w:cs="Calibri"/>
                <w:sz w:val="14"/>
                <w:szCs w:val="14"/>
                <w:lang w:val="es-ES"/>
              </w:rPr>
            </w:pPr>
            <w:r w:rsidRPr="0052512C">
              <w:rPr>
                <w:rFonts w:ascii="Lucida Bright" w:hAnsi="Lucida Bright" w:cs="Calibri"/>
                <w:sz w:val="14"/>
                <w:szCs w:val="14"/>
                <w:lang w:val="es-ES"/>
              </w:rPr>
              <w:t> </w:t>
            </w:r>
          </w:p>
        </w:tc>
      </w:tr>
    </w:tbl>
    <w:p w:rsidR="008053F9" w:rsidRDefault="008053F9" w:rsidP="00C82D5D">
      <w:pPr>
        <w:tabs>
          <w:tab w:val="right" w:pos="8364"/>
        </w:tabs>
        <w:ind w:left="142" w:firstLine="420"/>
        <w:jc w:val="both"/>
        <w:rPr>
          <w:sz w:val="24"/>
        </w:rPr>
      </w:pPr>
    </w:p>
    <w:p w:rsidR="00583853" w:rsidRDefault="00583853" w:rsidP="00C82D5D">
      <w:pPr>
        <w:tabs>
          <w:tab w:val="right" w:pos="8364"/>
        </w:tabs>
        <w:ind w:left="142" w:firstLine="420"/>
        <w:jc w:val="both"/>
        <w:rPr>
          <w:sz w:val="24"/>
        </w:rPr>
      </w:pPr>
    </w:p>
    <w:tbl>
      <w:tblPr>
        <w:tblW w:w="0" w:type="auto"/>
        <w:tblInd w:w="70" w:type="dxa"/>
        <w:tblLayout w:type="fixed"/>
        <w:tblCellMar>
          <w:left w:w="70" w:type="dxa"/>
          <w:right w:w="70" w:type="dxa"/>
        </w:tblCellMar>
        <w:tblLook w:val="04A0" w:firstRow="1" w:lastRow="0" w:firstColumn="1" w:lastColumn="0" w:noHBand="0" w:noVBand="1"/>
      </w:tblPr>
      <w:tblGrid>
        <w:gridCol w:w="4253"/>
        <w:gridCol w:w="1134"/>
        <w:gridCol w:w="1134"/>
      </w:tblGrid>
      <w:tr w:rsidR="007867AB" w:rsidRPr="007867AB" w:rsidTr="00583853">
        <w:trPr>
          <w:trHeight w:val="300"/>
        </w:trPr>
        <w:tc>
          <w:tcPr>
            <w:tcW w:w="4253" w:type="dxa"/>
            <w:tcBorders>
              <w:top w:val="nil"/>
              <w:left w:val="nil"/>
              <w:bottom w:val="nil"/>
              <w:right w:val="nil"/>
            </w:tcBorders>
            <w:shd w:val="clear" w:color="auto" w:fill="auto"/>
            <w:noWrap/>
            <w:vAlign w:val="bottom"/>
            <w:hideMark/>
          </w:tcPr>
          <w:p w:rsidR="007867AB" w:rsidRPr="007867AB" w:rsidRDefault="007867AB" w:rsidP="007867AB">
            <w:pPr>
              <w:rPr>
                <w:rFonts w:ascii="Calibri" w:hAnsi="Calibri" w:cs="Calibri"/>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867AB" w:rsidRPr="007867AB" w:rsidRDefault="007867AB" w:rsidP="007867AB">
            <w:pPr>
              <w:jc w:val="center"/>
              <w:rPr>
                <w:rFonts w:ascii="Lucida Bright" w:hAnsi="Lucida Bright" w:cs="Calibri"/>
                <w:b/>
                <w:bCs/>
                <w:color w:val="000000"/>
                <w:sz w:val="14"/>
                <w:szCs w:val="14"/>
                <w:lang w:val="es-ES"/>
              </w:rPr>
            </w:pPr>
            <w:r w:rsidRPr="007867AB">
              <w:rPr>
                <w:rFonts w:ascii="Lucida Bright" w:hAnsi="Lucida Bright" w:cs="Calibri"/>
                <w:b/>
                <w:bCs/>
                <w:color w:val="000000"/>
                <w:sz w:val="14"/>
                <w:szCs w:val="14"/>
                <w:lang w:val="es-ES"/>
              </w:rPr>
              <w:t>2024</w:t>
            </w:r>
          </w:p>
        </w:tc>
        <w:tc>
          <w:tcPr>
            <w:tcW w:w="1134" w:type="dxa"/>
            <w:tcBorders>
              <w:top w:val="single" w:sz="4" w:space="0" w:color="auto"/>
              <w:left w:val="nil"/>
              <w:bottom w:val="single" w:sz="4" w:space="0" w:color="auto"/>
              <w:right w:val="single" w:sz="4" w:space="0" w:color="auto"/>
            </w:tcBorders>
            <w:shd w:val="clear" w:color="000000" w:fill="CCFFCC"/>
            <w:noWrap/>
            <w:vAlign w:val="center"/>
            <w:hideMark/>
          </w:tcPr>
          <w:p w:rsidR="007867AB" w:rsidRPr="007867AB" w:rsidRDefault="007867AB" w:rsidP="007867AB">
            <w:pPr>
              <w:jc w:val="center"/>
              <w:rPr>
                <w:rFonts w:ascii="Lucida Bright" w:hAnsi="Lucida Bright" w:cs="Calibri"/>
                <w:b/>
                <w:bCs/>
                <w:color w:val="000000"/>
                <w:sz w:val="14"/>
                <w:szCs w:val="14"/>
                <w:lang w:val="es-ES"/>
              </w:rPr>
            </w:pPr>
            <w:r w:rsidRPr="007867AB">
              <w:rPr>
                <w:rFonts w:ascii="Lucida Bright" w:hAnsi="Lucida Bright" w:cs="Calibri"/>
                <w:b/>
                <w:bCs/>
                <w:color w:val="000000"/>
                <w:sz w:val="14"/>
                <w:szCs w:val="14"/>
                <w:lang w:val="es-ES"/>
              </w:rPr>
              <w:t>2023</w:t>
            </w:r>
          </w:p>
        </w:tc>
      </w:tr>
      <w:tr w:rsidR="007867AB" w:rsidRPr="007867AB" w:rsidTr="00583853">
        <w:trPr>
          <w:trHeight w:val="300"/>
        </w:trPr>
        <w:tc>
          <w:tcPr>
            <w:tcW w:w="4253"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7867AB" w:rsidRPr="007867AB" w:rsidRDefault="007867AB" w:rsidP="007867AB">
            <w:pPr>
              <w:rPr>
                <w:rFonts w:ascii="Lucida Bright" w:hAnsi="Lucida Bright" w:cs="Calibri"/>
                <w:b/>
                <w:bCs/>
                <w:sz w:val="14"/>
                <w:szCs w:val="14"/>
                <w:lang w:val="es-ES"/>
              </w:rPr>
            </w:pPr>
            <w:r w:rsidRPr="007867AB">
              <w:rPr>
                <w:rFonts w:ascii="Lucida Bright" w:hAnsi="Lucida Bright" w:cs="Calibri"/>
                <w:b/>
                <w:bCs/>
                <w:sz w:val="14"/>
                <w:szCs w:val="14"/>
                <w:lang w:val="es-ES"/>
              </w:rPr>
              <w:t>V. Acreedores comerciales y otras cuentas a pagar</w:t>
            </w:r>
          </w:p>
        </w:tc>
        <w:tc>
          <w:tcPr>
            <w:tcW w:w="1134" w:type="dxa"/>
            <w:tcBorders>
              <w:top w:val="nil"/>
              <w:left w:val="nil"/>
              <w:bottom w:val="single" w:sz="4" w:space="0" w:color="auto"/>
              <w:right w:val="single" w:sz="4" w:space="0" w:color="auto"/>
            </w:tcBorders>
            <w:shd w:val="clear" w:color="000000" w:fill="CCFFCC"/>
            <w:noWrap/>
            <w:vAlign w:val="bottom"/>
            <w:hideMark/>
          </w:tcPr>
          <w:p w:rsidR="007867AB" w:rsidRPr="007867AB" w:rsidRDefault="007867AB" w:rsidP="007867AB">
            <w:pPr>
              <w:jc w:val="right"/>
              <w:rPr>
                <w:rFonts w:ascii="Lucida Bright" w:hAnsi="Lucida Bright" w:cs="Calibri"/>
                <w:b/>
                <w:bCs/>
                <w:sz w:val="14"/>
                <w:szCs w:val="14"/>
                <w:lang w:val="es-ES"/>
              </w:rPr>
            </w:pPr>
            <w:r w:rsidRPr="007867AB">
              <w:rPr>
                <w:rFonts w:ascii="Lucida Bright" w:hAnsi="Lucida Bright" w:cs="Calibri"/>
                <w:b/>
                <w:bCs/>
                <w:sz w:val="14"/>
                <w:szCs w:val="14"/>
                <w:lang w:val="es-ES"/>
              </w:rPr>
              <w:t xml:space="preserve">6.465.124,22 </w:t>
            </w:r>
          </w:p>
        </w:tc>
        <w:tc>
          <w:tcPr>
            <w:tcW w:w="1134" w:type="dxa"/>
            <w:tcBorders>
              <w:top w:val="nil"/>
              <w:left w:val="nil"/>
              <w:bottom w:val="single" w:sz="4" w:space="0" w:color="auto"/>
              <w:right w:val="single" w:sz="4" w:space="0" w:color="auto"/>
            </w:tcBorders>
            <w:shd w:val="clear" w:color="000000" w:fill="CCFFCC"/>
            <w:noWrap/>
            <w:vAlign w:val="bottom"/>
            <w:hideMark/>
          </w:tcPr>
          <w:p w:rsidR="007867AB" w:rsidRPr="007867AB" w:rsidRDefault="007867AB" w:rsidP="007867AB">
            <w:pPr>
              <w:jc w:val="right"/>
              <w:rPr>
                <w:rFonts w:ascii="Lucida Bright" w:hAnsi="Lucida Bright" w:cs="Calibri"/>
                <w:b/>
                <w:bCs/>
                <w:sz w:val="14"/>
                <w:szCs w:val="14"/>
                <w:lang w:val="es-ES"/>
              </w:rPr>
            </w:pPr>
            <w:r w:rsidRPr="007867AB">
              <w:rPr>
                <w:rFonts w:ascii="Lucida Bright" w:hAnsi="Lucida Bright" w:cs="Calibri"/>
                <w:b/>
                <w:bCs/>
                <w:sz w:val="14"/>
                <w:szCs w:val="14"/>
                <w:lang w:val="es-ES"/>
              </w:rPr>
              <w:t xml:space="preserve">6.902.688,72 </w:t>
            </w:r>
          </w:p>
        </w:tc>
      </w:tr>
      <w:tr w:rsidR="007867AB" w:rsidRPr="007867AB" w:rsidTr="00583853">
        <w:trPr>
          <w:trHeight w:val="300"/>
        </w:trPr>
        <w:tc>
          <w:tcPr>
            <w:tcW w:w="4253" w:type="dxa"/>
            <w:tcBorders>
              <w:top w:val="nil"/>
              <w:left w:val="single" w:sz="4" w:space="0" w:color="auto"/>
              <w:bottom w:val="single" w:sz="4" w:space="0" w:color="auto"/>
              <w:right w:val="single" w:sz="4" w:space="0" w:color="auto"/>
            </w:tcBorders>
            <w:shd w:val="clear" w:color="000000" w:fill="FFFFFF"/>
            <w:noWrap/>
            <w:vAlign w:val="center"/>
            <w:hideMark/>
          </w:tcPr>
          <w:p w:rsidR="007867AB" w:rsidRPr="007867AB" w:rsidRDefault="007867AB" w:rsidP="007867AB">
            <w:pPr>
              <w:rPr>
                <w:rFonts w:ascii="Lucida Bright" w:hAnsi="Lucida Bright" w:cs="Calibri"/>
                <w:b/>
                <w:bCs/>
                <w:sz w:val="14"/>
                <w:szCs w:val="14"/>
                <w:lang w:val="es-ES"/>
              </w:rPr>
            </w:pPr>
            <w:r w:rsidRPr="007867AB">
              <w:rPr>
                <w:rFonts w:ascii="Lucida Bright" w:hAnsi="Lucida Bright" w:cs="Calibri"/>
                <w:b/>
                <w:bCs/>
                <w:sz w:val="14"/>
                <w:szCs w:val="14"/>
                <w:lang w:val="es-ES"/>
              </w:rPr>
              <w:t>1. Acreedores y otras cuentas a pagar</w:t>
            </w:r>
          </w:p>
        </w:tc>
        <w:tc>
          <w:tcPr>
            <w:tcW w:w="1134" w:type="dxa"/>
            <w:tcBorders>
              <w:top w:val="nil"/>
              <w:left w:val="nil"/>
              <w:bottom w:val="single" w:sz="4" w:space="0" w:color="auto"/>
              <w:right w:val="single" w:sz="4" w:space="0" w:color="auto"/>
            </w:tcBorders>
            <w:shd w:val="clear" w:color="auto" w:fill="auto"/>
            <w:noWrap/>
            <w:vAlign w:val="bottom"/>
            <w:hideMark/>
          </w:tcPr>
          <w:p w:rsidR="007867AB" w:rsidRPr="007867AB" w:rsidRDefault="007867AB" w:rsidP="007867AB">
            <w:pPr>
              <w:jc w:val="right"/>
              <w:rPr>
                <w:rFonts w:ascii="Lucida Bright" w:hAnsi="Lucida Bright" w:cs="Calibri"/>
                <w:b/>
                <w:bCs/>
                <w:sz w:val="14"/>
                <w:szCs w:val="14"/>
                <w:lang w:val="es-ES"/>
              </w:rPr>
            </w:pPr>
            <w:r w:rsidRPr="007867AB">
              <w:rPr>
                <w:rFonts w:ascii="Lucida Bright" w:hAnsi="Lucida Bright" w:cs="Calibri"/>
                <w:b/>
                <w:bCs/>
                <w:sz w:val="14"/>
                <w:szCs w:val="14"/>
                <w:lang w:val="es-ES"/>
              </w:rPr>
              <w:t xml:space="preserve">6.465.124,22 </w:t>
            </w:r>
          </w:p>
        </w:tc>
        <w:tc>
          <w:tcPr>
            <w:tcW w:w="1134" w:type="dxa"/>
            <w:tcBorders>
              <w:top w:val="nil"/>
              <w:left w:val="nil"/>
              <w:bottom w:val="single" w:sz="4" w:space="0" w:color="auto"/>
              <w:right w:val="single" w:sz="4" w:space="0" w:color="auto"/>
            </w:tcBorders>
            <w:shd w:val="clear" w:color="auto" w:fill="auto"/>
            <w:noWrap/>
            <w:vAlign w:val="bottom"/>
            <w:hideMark/>
          </w:tcPr>
          <w:p w:rsidR="007867AB" w:rsidRPr="007867AB" w:rsidRDefault="007867AB" w:rsidP="007867AB">
            <w:pPr>
              <w:jc w:val="right"/>
              <w:rPr>
                <w:rFonts w:ascii="Lucida Bright" w:hAnsi="Lucida Bright" w:cs="Calibri"/>
                <w:b/>
                <w:bCs/>
                <w:sz w:val="14"/>
                <w:szCs w:val="14"/>
                <w:lang w:val="es-ES"/>
              </w:rPr>
            </w:pPr>
            <w:r w:rsidRPr="007867AB">
              <w:rPr>
                <w:rFonts w:ascii="Lucida Bright" w:hAnsi="Lucida Bright" w:cs="Calibri"/>
                <w:b/>
                <w:bCs/>
                <w:sz w:val="14"/>
                <w:szCs w:val="14"/>
                <w:lang w:val="es-ES"/>
              </w:rPr>
              <w:t xml:space="preserve">6.902.688,72 </w:t>
            </w:r>
          </w:p>
        </w:tc>
      </w:tr>
      <w:tr w:rsidR="007867AB" w:rsidRPr="007867AB" w:rsidTr="00583853">
        <w:trPr>
          <w:trHeight w:val="300"/>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7867AB" w:rsidRPr="007867AB" w:rsidRDefault="007867AB" w:rsidP="007867AB">
            <w:pPr>
              <w:rPr>
                <w:rFonts w:ascii="Lucida Bright" w:hAnsi="Lucida Bright" w:cs="Calibri"/>
                <w:sz w:val="14"/>
                <w:szCs w:val="14"/>
                <w:lang w:val="es-ES"/>
              </w:rPr>
            </w:pPr>
            <w:r w:rsidRPr="007867AB">
              <w:rPr>
                <w:rFonts w:ascii="Lucida Bright" w:hAnsi="Lucida Bright" w:cs="Calibri"/>
                <w:sz w:val="14"/>
                <w:szCs w:val="14"/>
                <w:lang w:val="es-ES"/>
              </w:rPr>
              <w:t>Acreedores por prestaciones de servicios</w:t>
            </w:r>
          </w:p>
        </w:tc>
        <w:tc>
          <w:tcPr>
            <w:tcW w:w="1134" w:type="dxa"/>
            <w:tcBorders>
              <w:top w:val="nil"/>
              <w:left w:val="nil"/>
              <w:bottom w:val="single" w:sz="4" w:space="0" w:color="auto"/>
              <w:right w:val="single" w:sz="4" w:space="0" w:color="auto"/>
            </w:tcBorders>
            <w:shd w:val="clear" w:color="000000" w:fill="FFFFFF"/>
            <w:noWrap/>
            <w:vAlign w:val="bottom"/>
            <w:hideMark/>
          </w:tcPr>
          <w:p w:rsidR="007867AB" w:rsidRPr="007867AB" w:rsidRDefault="007867AB" w:rsidP="007867AB">
            <w:pPr>
              <w:jc w:val="right"/>
              <w:rPr>
                <w:rFonts w:ascii="Lucida Bright" w:hAnsi="Lucida Bright" w:cs="Calibri"/>
                <w:sz w:val="14"/>
                <w:szCs w:val="14"/>
                <w:lang w:val="es-ES"/>
              </w:rPr>
            </w:pPr>
            <w:r w:rsidRPr="007867AB">
              <w:rPr>
                <w:rFonts w:ascii="Lucida Bright" w:hAnsi="Lucida Bright" w:cs="Calibri"/>
                <w:sz w:val="14"/>
                <w:szCs w:val="14"/>
                <w:lang w:val="es-ES"/>
              </w:rPr>
              <w:t xml:space="preserve">6.196.124,48 </w:t>
            </w:r>
          </w:p>
        </w:tc>
        <w:tc>
          <w:tcPr>
            <w:tcW w:w="1134" w:type="dxa"/>
            <w:tcBorders>
              <w:top w:val="nil"/>
              <w:left w:val="nil"/>
              <w:bottom w:val="single" w:sz="4" w:space="0" w:color="auto"/>
              <w:right w:val="single" w:sz="4" w:space="0" w:color="auto"/>
            </w:tcBorders>
            <w:shd w:val="clear" w:color="000000" w:fill="FFFFFF"/>
            <w:noWrap/>
            <w:vAlign w:val="bottom"/>
            <w:hideMark/>
          </w:tcPr>
          <w:p w:rsidR="007867AB" w:rsidRPr="007867AB" w:rsidRDefault="007867AB" w:rsidP="007867AB">
            <w:pPr>
              <w:jc w:val="right"/>
              <w:rPr>
                <w:rFonts w:ascii="Lucida Bright" w:hAnsi="Lucida Bright" w:cs="Calibri"/>
                <w:sz w:val="14"/>
                <w:szCs w:val="14"/>
                <w:lang w:val="es-ES"/>
              </w:rPr>
            </w:pPr>
            <w:r w:rsidRPr="007867AB">
              <w:rPr>
                <w:rFonts w:ascii="Lucida Bright" w:hAnsi="Lucida Bright" w:cs="Calibri"/>
                <w:sz w:val="14"/>
                <w:szCs w:val="14"/>
                <w:lang w:val="es-ES"/>
              </w:rPr>
              <w:t xml:space="preserve">6.756.217,29 </w:t>
            </w:r>
          </w:p>
        </w:tc>
      </w:tr>
      <w:tr w:rsidR="007867AB" w:rsidRPr="007867AB" w:rsidTr="00583853">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867AB" w:rsidRPr="007867AB" w:rsidRDefault="007867AB" w:rsidP="007867AB">
            <w:pPr>
              <w:rPr>
                <w:rFonts w:ascii="Lucida Bright" w:hAnsi="Lucida Bright" w:cs="Calibri"/>
                <w:sz w:val="14"/>
                <w:szCs w:val="14"/>
                <w:lang w:val="es-ES"/>
              </w:rPr>
            </w:pPr>
            <w:r w:rsidRPr="007867AB">
              <w:rPr>
                <w:rFonts w:ascii="Lucida Bright" w:hAnsi="Lucida Bright" w:cs="Calibri"/>
                <w:sz w:val="14"/>
                <w:szCs w:val="14"/>
                <w:lang w:val="es-ES"/>
              </w:rPr>
              <w:t>Acreedores por sentencias firmes</w:t>
            </w:r>
          </w:p>
        </w:tc>
        <w:tc>
          <w:tcPr>
            <w:tcW w:w="1134" w:type="dxa"/>
            <w:tcBorders>
              <w:top w:val="nil"/>
              <w:left w:val="nil"/>
              <w:bottom w:val="single" w:sz="4" w:space="0" w:color="auto"/>
              <w:right w:val="single" w:sz="4" w:space="0" w:color="auto"/>
            </w:tcBorders>
            <w:shd w:val="clear" w:color="000000" w:fill="FFFFFF"/>
            <w:noWrap/>
            <w:vAlign w:val="bottom"/>
            <w:hideMark/>
          </w:tcPr>
          <w:p w:rsidR="007867AB" w:rsidRPr="007867AB" w:rsidRDefault="007867AB" w:rsidP="007867AB">
            <w:pPr>
              <w:jc w:val="right"/>
              <w:rPr>
                <w:rFonts w:ascii="Lucida Bright" w:hAnsi="Lucida Bright" w:cs="Calibri"/>
                <w:sz w:val="14"/>
                <w:szCs w:val="14"/>
                <w:lang w:val="es-ES"/>
              </w:rPr>
            </w:pPr>
            <w:r w:rsidRPr="007867AB">
              <w:rPr>
                <w:rFonts w:ascii="Lucida Bright" w:hAnsi="Lucida Bright" w:cs="Calibri"/>
                <w:sz w:val="14"/>
                <w:szCs w:val="14"/>
                <w:lang w:val="es-ES"/>
              </w:rPr>
              <w:t xml:space="preserve">268.999,74 </w:t>
            </w:r>
          </w:p>
        </w:tc>
        <w:tc>
          <w:tcPr>
            <w:tcW w:w="1134" w:type="dxa"/>
            <w:tcBorders>
              <w:top w:val="nil"/>
              <w:left w:val="nil"/>
              <w:bottom w:val="single" w:sz="4" w:space="0" w:color="auto"/>
              <w:right w:val="single" w:sz="4" w:space="0" w:color="auto"/>
            </w:tcBorders>
            <w:shd w:val="clear" w:color="000000" w:fill="FFFFFF"/>
            <w:noWrap/>
            <w:vAlign w:val="bottom"/>
            <w:hideMark/>
          </w:tcPr>
          <w:p w:rsidR="007867AB" w:rsidRPr="007867AB" w:rsidRDefault="007867AB" w:rsidP="007867AB">
            <w:pPr>
              <w:jc w:val="right"/>
              <w:rPr>
                <w:rFonts w:ascii="Lucida Bright" w:hAnsi="Lucida Bright" w:cs="Calibri"/>
                <w:sz w:val="14"/>
                <w:szCs w:val="14"/>
                <w:lang w:val="es-ES"/>
              </w:rPr>
            </w:pPr>
            <w:r w:rsidRPr="007867AB">
              <w:rPr>
                <w:rFonts w:ascii="Lucida Bright" w:hAnsi="Lucida Bright" w:cs="Calibri"/>
                <w:sz w:val="14"/>
                <w:szCs w:val="14"/>
                <w:lang w:val="es-ES"/>
              </w:rPr>
              <w:t xml:space="preserve">146.471,43 </w:t>
            </w:r>
          </w:p>
        </w:tc>
      </w:tr>
    </w:tbl>
    <w:p w:rsidR="007867AB" w:rsidRDefault="007867AB" w:rsidP="00C82D5D">
      <w:pPr>
        <w:tabs>
          <w:tab w:val="right" w:pos="8364"/>
        </w:tabs>
        <w:ind w:left="142" w:firstLine="420"/>
        <w:jc w:val="both"/>
        <w:rPr>
          <w:sz w:val="24"/>
        </w:rPr>
      </w:pPr>
    </w:p>
    <w:p w:rsidR="007867AB" w:rsidRDefault="007867AB" w:rsidP="00C82D5D">
      <w:pPr>
        <w:tabs>
          <w:tab w:val="right" w:pos="8364"/>
        </w:tabs>
        <w:ind w:left="142" w:firstLine="420"/>
        <w:jc w:val="both"/>
        <w:rPr>
          <w:sz w:val="24"/>
        </w:rPr>
      </w:pPr>
    </w:p>
    <w:p w:rsidR="005C5D72" w:rsidRDefault="005C5D72" w:rsidP="00C82D5D">
      <w:pPr>
        <w:tabs>
          <w:tab w:val="right" w:pos="8364"/>
        </w:tabs>
        <w:ind w:left="142" w:firstLine="420"/>
        <w:jc w:val="both"/>
        <w:rPr>
          <w:sz w:val="24"/>
        </w:rPr>
      </w:pPr>
    </w:p>
    <w:p w:rsidR="002C4355" w:rsidRPr="008053F9" w:rsidRDefault="00F706A9" w:rsidP="00F348FE">
      <w:pPr>
        <w:tabs>
          <w:tab w:val="right" w:pos="8364"/>
        </w:tabs>
        <w:ind w:left="120"/>
        <w:jc w:val="both"/>
        <w:rPr>
          <w:rFonts w:ascii="NewBaskerville" w:hAnsi="NewBaskerville"/>
          <w:bCs/>
        </w:rPr>
      </w:pPr>
      <w:r w:rsidRPr="008053F9">
        <w:rPr>
          <w:rFonts w:ascii="NewBaskerville" w:hAnsi="NewBaskerville"/>
        </w:rPr>
        <w:t>9</w:t>
      </w:r>
      <w:r w:rsidR="007B1941" w:rsidRPr="008053F9">
        <w:rPr>
          <w:rFonts w:ascii="NewBaskerville" w:hAnsi="NewBaskerville"/>
        </w:rPr>
        <w:t>.</w:t>
      </w:r>
      <w:r w:rsidR="007867AB">
        <w:rPr>
          <w:rFonts w:ascii="NewBaskerville" w:hAnsi="NewBaskerville"/>
        </w:rPr>
        <w:t>3</w:t>
      </w:r>
      <w:r w:rsidR="00F348FE" w:rsidRPr="008053F9">
        <w:rPr>
          <w:rFonts w:ascii="NewBaskerville" w:hAnsi="NewBaskerville"/>
        </w:rPr>
        <w:t xml:space="preserve"> </w:t>
      </w:r>
      <w:r w:rsidR="002C4355" w:rsidRPr="008053F9">
        <w:rPr>
          <w:rFonts w:ascii="NewBaskerville" w:hAnsi="NewBaskerville"/>
        </w:rPr>
        <w:t>Fondos propios</w:t>
      </w:r>
    </w:p>
    <w:p w:rsidR="002C4355" w:rsidRPr="008053F9" w:rsidRDefault="002C4355">
      <w:pPr>
        <w:pStyle w:val="Sangradetextonormal"/>
        <w:tabs>
          <w:tab w:val="clear" w:pos="8364"/>
          <w:tab w:val="left" w:pos="6369"/>
          <w:tab w:val="right" w:pos="8460"/>
        </w:tabs>
        <w:ind w:firstLine="0"/>
        <w:rPr>
          <w:rFonts w:ascii="NewBaskerville" w:hAnsi="NewBaskerville"/>
          <w:sz w:val="20"/>
        </w:rPr>
      </w:pPr>
    </w:p>
    <w:p w:rsidR="002C4355" w:rsidRDefault="002C4355">
      <w:pPr>
        <w:pStyle w:val="Sangradetextonormal"/>
        <w:tabs>
          <w:tab w:val="clear" w:pos="8364"/>
          <w:tab w:val="left" w:pos="6369"/>
          <w:tab w:val="right" w:pos="8460"/>
        </w:tabs>
        <w:rPr>
          <w:rFonts w:ascii="NewBaskerville" w:hAnsi="NewBaskerville"/>
          <w:sz w:val="20"/>
        </w:rPr>
      </w:pPr>
      <w:r w:rsidRPr="008053F9">
        <w:rPr>
          <w:rFonts w:ascii="NewBaskerville" w:hAnsi="NewBaskerville"/>
          <w:sz w:val="20"/>
        </w:rPr>
        <w:t>El importe registrado en el epígrafe de “Patrimonio” del balance de situación de esta Auto</w:t>
      </w:r>
      <w:r w:rsidR="005046B2" w:rsidRPr="008053F9">
        <w:rPr>
          <w:rFonts w:ascii="NewBaskerville" w:hAnsi="NewBaskerville"/>
          <w:sz w:val="20"/>
        </w:rPr>
        <w:t>r</w:t>
      </w:r>
      <w:r w:rsidR="006D5036" w:rsidRPr="008053F9">
        <w:rPr>
          <w:rFonts w:ascii="NewBaskerville" w:hAnsi="NewBaskerville"/>
          <w:sz w:val="20"/>
        </w:rPr>
        <w:t xml:space="preserve">idad Portuaria a </w:t>
      </w:r>
      <w:r w:rsidR="008053F9">
        <w:rPr>
          <w:rFonts w:ascii="NewBaskerville" w:hAnsi="NewBaskerville"/>
          <w:sz w:val="20"/>
        </w:rPr>
        <w:t>01/01/</w:t>
      </w:r>
      <w:r w:rsidR="006D5036" w:rsidRPr="008053F9">
        <w:rPr>
          <w:rFonts w:ascii="NewBaskerville" w:hAnsi="NewBaskerville"/>
          <w:sz w:val="20"/>
        </w:rPr>
        <w:t>202</w:t>
      </w:r>
      <w:r w:rsidR="00F20351">
        <w:rPr>
          <w:rFonts w:ascii="NewBaskerville" w:hAnsi="NewBaskerville"/>
          <w:sz w:val="20"/>
        </w:rPr>
        <w:t>4</w:t>
      </w:r>
      <w:r w:rsidR="003976DD" w:rsidRPr="008053F9">
        <w:rPr>
          <w:rFonts w:ascii="NewBaskerville" w:hAnsi="NewBaskerville"/>
          <w:sz w:val="20"/>
        </w:rPr>
        <w:t xml:space="preserve"> </w:t>
      </w:r>
      <w:r w:rsidRPr="008053F9">
        <w:rPr>
          <w:rFonts w:ascii="NewBaskerville" w:hAnsi="NewBaskerville"/>
          <w:sz w:val="20"/>
        </w:rPr>
        <w:t>era de 212.3</w:t>
      </w:r>
      <w:r w:rsidR="00F20351">
        <w:rPr>
          <w:rFonts w:ascii="NewBaskerville" w:hAnsi="NewBaskerville"/>
          <w:sz w:val="20"/>
        </w:rPr>
        <w:t>97</w:t>
      </w:r>
      <w:r w:rsidRPr="008053F9">
        <w:rPr>
          <w:rFonts w:ascii="NewBaskerville" w:hAnsi="NewBaskerville"/>
          <w:sz w:val="20"/>
        </w:rPr>
        <w:t>.</w:t>
      </w:r>
      <w:r w:rsidR="00F20351">
        <w:rPr>
          <w:rFonts w:ascii="NewBaskerville" w:hAnsi="NewBaskerville"/>
          <w:sz w:val="20"/>
        </w:rPr>
        <w:t>594,47</w:t>
      </w:r>
      <w:r w:rsidRPr="008053F9">
        <w:rPr>
          <w:rFonts w:ascii="NewBaskerville" w:hAnsi="NewBaskerville"/>
          <w:sz w:val="20"/>
        </w:rPr>
        <w:t xml:space="preserve"> euros</w:t>
      </w:r>
      <w:r w:rsidR="007867AB">
        <w:rPr>
          <w:rFonts w:ascii="NewBaskerville" w:hAnsi="NewBaskerville"/>
          <w:sz w:val="20"/>
        </w:rPr>
        <w:t xml:space="preserve"> y no ha sufrido variación durante el ejercicio 2024</w:t>
      </w:r>
      <w:r w:rsidRPr="008053F9">
        <w:rPr>
          <w:rFonts w:ascii="NewBaskerville" w:hAnsi="NewBaskerville"/>
          <w:sz w:val="20"/>
        </w:rPr>
        <w:t xml:space="preserve">. </w:t>
      </w:r>
      <w:r w:rsidR="003A63E2">
        <w:rPr>
          <w:rFonts w:ascii="NewBaskerville" w:hAnsi="NewBaskerville"/>
          <w:sz w:val="20"/>
        </w:rPr>
        <w:t>Este</w:t>
      </w:r>
      <w:r w:rsidRPr="008053F9">
        <w:rPr>
          <w:rFonts w:ascii="NewBaskerville" w:hAnsi="NewBaskerville"/>
          <w:sz w:val="20"/>
        </w:rPr>
        <w:t xml:space="preserve"> importe del patrimonio</w:t>
      </w:r>
      <w:r w:rsidR="007867AB">
        <w:rPr>
          <w:rFonts w:ascii="NewBaskerville" w:hAnsi="NewBaskerville"/>
          <w:sz w:val="20"/>
        </w:rPr>
        <w:t xml:space="preserve"> </w:t>
      </w:r>
      <w:r w:rsidRPr="008053F9">
        <w:rPr>
          <w:rFonts w:ascii="NewBaskerville" w:hAnsi="NewBaskerville"/>
          <w:sz w:val="20"/>
        </w:rPr>
        <w:t>es la suma del valor de los bienes de activo fijo aportados a 1 de enero de 1993 y de la diferencia entre los restantes activos y pasivos tambi</w:t>
      </w:r>
      <w:r w:rsidR="007867AB">
        <w:rPr>
          <w:rFonts w:ascii="NewBaskerville" w:hAnsi="NewBaskerville"/>
          <w:sz w:val="20"/>
        </w:rPr>
        <w:t>én aportados en la citada fecha, y las aportaciones de bienes por afectaciones y adscripciones producidas desde dicha fecha.</w:t>
      </w:r>
    </w:p>
    <w:p w:rsidR="00746AD3" w:rsidRDefault="00746AD3">
      <w:pPr>
        <w:pStyle w:val="Sangradetextonormal"/>
        <w:tabs>
          <w:tab w:val="clear" w:pos="8364"/>
          <w:tab w:val="left" w:pos="6369"/>
          <w:tab w:val="right" w:pos="8460"/>
        </w:tabs>
        <w:rPr>
          <w:rFonts w:ascii="NewBaskerville" w:hAnsi="NewBaskerville"/>
          <w:sz w:val="20"/>
        </w:rPr>
      </w:pPr>
    </w:p>
    <w:p w:rsidR="002C4355" w:rsidRPr="00192C0A" w:rsidRDefault="002C4355">
      <w:pPr>
        <w:tabs>
          <w:tab w:val="right" w:pos="8364"/>
        </w:tabs>
        <w:ind w:firstLine="567"/>
        <w:jc w:val="both"/>
        <w:rPr>
          <w:rFonts w:ascii="NewBaskerville" w:hAnsi="NewBaskerville"/>
        </w:rPr>
      </w:pPr>
    </w:p>
    <w:p w:rsidR="002C4355" w:rsidRPr="00192C0A" w:rsidRDefault="00F706A9" w:rsidP="00F348FE">
      <w:pPr>
        <w:tabs>
          <w:tab w:val="right" w:pos="8364"/>
        </w:tabs>
        <w:ind w:left="120"/>
        <w:jc w:val="both"/>
        <w:rPr>
          <w:rFonts w:ascii="NewBaskerville" w:hAnsi="NewBaskerville"/>
        </w:rPr>
      </w:pPr>
      <w:r w:rsidRPr="00192C0A">
        <w:rPr>
          <w:rFonts w:ascii="NewBaskerville" w:hAnsi="NewBaskerville"/>
        </w:rPr>
        <w:t>9</w:t>
      </w:r>
      <w:r w:rsidR="007B1941" w:rsidRPr="00192C0A">
        <w:rPr>
          <w:rFonts w:ascii="NewBaskerville" w:hAnsi="NewBaskerville"/>
        </w:rPr>
        <w:t>.</w:t>
      </w:r>
      <w:r w:rsidR="007867AB">
        <w:rPr>
          <w:rFonts w:ascii="NewBaskerville" w:hAnsi="NewBaskerville"/>
        </w:rPr>
        <w:t>4</w:t>
      </w:r>
      <w:r w:rsidR="002C4355" w:rsidRPr="00192C0A">
        <w:rPr>
          <w:rFonts w:ascii="NewBaskerville" w:hAnsi="NewBaskerville"/>
        </w:rPr>
        <w:t xml:space="preserve"> Política y Gestión de Riesgos</w:t>
      </w:r>
    </w:p>
    <w:p w:rsidR="002C4355" w:rsidRPr="00192C0A" w:rsidRDefault="002C4355">
      <w:pPr>
        <w:tabs>
          <w:tab w:val="right" w:pos="8364"/>
        </w:tabs>
        <w:ind w:left="480"/>
        <w:jc w:val="both"/>
        <w:rPr>
          <w:rFonts w:ascii="NewBaskerville" w:hAnsi="NewBaskerville"/>
          <w:bCs/>
        </w:rPr>
      </w:pPr>
    </w:p>
    <w:p w:rsidR="004C1F29" w:rsidRPr="00192C0A" w:rsidRDefault="002C4355" w:rsidP="004C1F29">
      <w:pPr>
        <w:tabs>
          <w:tab w:val="right" w:pos="8364"/>
        </w:tabs>
        <w:ind w:firstLine="567"/>
        <w:jc w:val="both"/>
        <w:rPr>
          <w:rFonts w:ascii="NewBaskerville" w:hAnsi="NewBaskerville"/>
        </w:rPr>
      </w:pPr>
      <w:r w:rsidRPr="00192C0A">
        <w:rPr>
          <w:rFonts w:ascii="NewBaskerville" w:hAnsi="NewBaskerville"/>
          <w:b/>
        </w:rPr>
        <w:t>Riesgo de crédito</w:t>
      </w:r>
      <w:r w:rsidR="005F2715" w:rsidRPr="00192C0A">
        <w:rPr>
          <w:rFonts w:ascii="NewBaskerville" w:hAnsi="NewBaskerville"/>
        </w:rPr>
        <w:t>: se produce por la posible pérdida causada por el incumplimiento de las obligaciones contractuales de las contrapartes de la Entidad, es decir, por la posibilidad de no recuperar los activos financieros por el importe contabilizado y en el plazo establecido</w:t>
      </w:r>
      <w:r w:rsidR="004C1F29" w:rsidRPr="00192C0A">
        <w:rPr>
          <w:rFonts w:ascii="NewBaskerville" w:hAnsi="NewBaskerville"/>
        </w:rPr>
        <w:t>.</w:t>
      </w:r>
      <w:r w:rsidR="00224A04">
        <w:rPr>
          <w:rFonts w:ascii="NewBaskerville" w:hAnsi="NewBaskerville"/>
        </w:rPr>
        <w:t xml:space="preserve"> La Entidad dispone para la recuperación de los saldos de clientes por tasas la posibilidad de utilizar la vía de apremio</w:t>
      </w:r>
      <w:r w:rsidR="00CE7197">
        <w:rPr>
          <w:rFonts w:ascii="NewBaskerville" w:hAnsi="NewBaskerville"/>
        </w:rPr>
        <w:t>,</w:t>
      </w:r>
      <w:r w:rsidR="00224A04">
        <w:rPr>
          <w:rFonts w:ascii="NewBaskerville" w:hAnsi="NewBaskerville"/>
        </w:rPr>
        <w:t xml:space="preserve"> a través del convenio con la Agencia Estatal de la Administración Tributaria. No existen</w:t>
      </w:r>
      <w:r w:rsidR="004C1F29" w:rsidRPr="00192C0A">
        <w:rPr>
          <w:rFonts w:ascii="NewBaskerville" w:hAnsi="NewBaskerville"/>
        </w:rPr>
        <w:t xml:space="preserve"> concentraciones significativas de riesgo de crédito.</w:t>
      </w:r>
      <w:r w:rsidR="00224A04">
        <w:rPr>
          <w:rFonts w:ascii="NewBaskerville" w:hAnsi="NewBaskerville"/>
        </w:rPr>
        <w:t xml:space="preserve"> </w:t>
      </w:r>
    </w:p>
    <w:p w:rsidR="002C4355" w:rsidRPr="00192C0A" w:rsidRDefault="002C4355" w:rsidP="004C1F29">
      <w:pPr>
        <w:tabs>
          <w:tab w:val="right" w:pos="8364"/>
        </w:tabs>
        <w:jc w:val="both"/>
        <w:rPr>
          <w:rFonts w:ascii="NewBaskerville" w:hAnsi="NewBaskerville"/>
        </w:rPr>
      </w:pPr>
    </w:p>
    <w:p w:rsidR="002C4355" w:rsidRPr="00192C0A" w:rsidRDefault="002C4355" w:rsidP="004C1F29">
      <w:pPr>
        <w:tabs>
          <w:tab w:val="right" w:pos="8364"/>
        </w:tabs>
        <w:ind w:firstLine="567"/>
        <w:jc w:val="both"/>
        <w:rPr>
          <w:rFonts w:ascii="NewBaskerville" w:hAnsi="NewBaskerville"/>
        </w:rPr>
      </w:pPr>
      <w:r w:rsidRPr="00192C0A">
        <w:rPr>
          <w:rFonts w:ascii="NewBaskerville" w:hAnsi="NewBaskerville"/>
          <w:b/>
        </w:rPr>
        <w:t>Riesgo de liquidez</w:t>
      </w:r>
      <w:r w:rsidR="004C1F29" w:rsidRPr="00192C0A">
        <w:rPr>
          <w:rFonts w:ascii="NewBaskerville" w:hAnsi="NewBaskerville"/>
        </w:rPr>
        <w:t xml:space="preserve">: se produce por la posibilidad de que la Entidad no pueda disponer de fondos líquidos, o acceder a ellos, en la cuantía suficiente y al coste adecuado, para hacer frente en todo momento a sus obligaciones de pago. El objetivo de la Entidad es </w:t>
      </w:r>
      <w:r w:rsidR="0052640F" w:rsidRPr="00192C0A">
        <w:rPr>
          <w:rFonts w:ascii="NewBaskerville" w:hAnsi="NewBaskerville"/>
        </w:rPr>
        <w:t>mantener las disponibilidades lí</w:t>
      </w:r>
      <w:r w:rsidR="004C1F29" w:rsidRPr="00192C0A">
        <w:rPr>
          <w:rFonts w:ascii="NewBaskerville" w:hAnsi="NewBaskerville"/>
        </w:rPr>
        <w:t>quidas necesarias.</w:t>
      </w:r>
    </w:p>
    <w:p w:rsidR="002C4355" w:rsidRDefault="002C4355">
      <w:pPr>
        <w:tabs>
          <w:tab w:val="right" w:pos="8364"/>
        </w:tabs>
        <w:jc w:val="both"/>
        <w:rPr>
          <w:b/>
          <w:u w:val="single"/>
        </w:rPr>
      </w:pPr>
    </w:p>
    <w:p w:rsidR="0046575F" w:rsidRDefault="0046575F" w:rsidP="001307F8">
      <w:pPr>
        <w:tabs>
          <w:tab w:val="right" w:pos="8364"/>
        </w:tabs>
        <w:jc w:val="both"/>
        <w:rPr>
          <w:rFonts w:ascii="NewBaskerville" w:hAnsi="NewBaskerville"/>
          <w:b/>
          <w:bCs/>
          <w:sz w:val="24"/>
          <w:szCs w:val="24"/>
        </w:rPr>
      </w:pPr>
    </w:p>
    <w:p w:rsidR="002C4355" w:rsidRPr="00192C0A" w:rsidRDefault="00F706A9" w:rsidP="001307F8">
      <w:pPr>
        <w:tabs>
          <w:tab w:val="right" w:pos="8364"/>
        </w:tabs>
        <w:jc w:val="both"/>
        <w:rPr>
          <w:rFonts w:ascii="NewBaskerville" w:hAnsi="NewBaskerville"/>
          <w:b/>
          <w:bCs/>
        </w:rPr>
      </w:pPr>
      <w:r w:rsidRPr="00192C0A">
        <w:rPr>
          <w:rFonts w:ascii="NewBaskerville" w:hAnsi="NewBaskerville"/>
          <w:b/>
          <w:bCs/>
          <w:sz w:val="24"/>
          <w:szCs w:val="24"/>
        </w:rPr>
        <w:t>10</w:t>
      </w:r>
      <w:r w:rsidR="001307F8" w:rsidRPr="00192C0A">
        <w:rPr>
          <w:rFonts w:ascii="NewBaskerville" w:hAnsi="NewBaskerville"/>
          <w:b/>
          <w:bCs/>
          <w:sz w:val="24"/>
          <w:szCs w:val="24"/>
        </w:rPr>
        <w:t xml:space="preserve">. </w:t>
      </w:r>
      <w:r w:rsidR="002C4355" w:rsidRPr="00192C0A">
        <w:rPr>
          <w:rFonts w:ascii="NewBaskerville" w:hAnsi="NewBaskerville"/>
          <w:b/>
          <w:bCs/>
          <w:sz w:val="24"/>
          <w:szCs w:val="24"/>
        </w:rPr>
        <w:t>Provisión  y contingencias</w:t>
      </w:r>
      <w:bookmarkStart w:id="0" w:name="_Hlk4433322"/>
    </w:p>
    <w:p w:rsidR="002C4355" w:rsidRDefault="002C4355">
      <w:pPr>
        <w:tabs>
          <w:tab w:val="right" w:pos="8364"/>
        </w:tabs>
        <w:jc w:val="both"/>
      </w:pPr>
    </w:p>
    <w:p w:rsidR="00A73B7B" w:rsidRDefault="00A73B7B" w:rsidP="00A1261C">
      <w:pPr>
        <w:tabs>
          <w:tab w:val="right" w:pos="8364"/>
        </w:tabs>
        <w:ind w:firstLine="567"/>
        <w:jc w:val="both"/>
        <w:rPr>
          <w:rFonts w:ascii="NewBaskerville" w:hAnsi="NewBaskerville"/>
        </w:rPr>
      </w:pPr>
      <w:r>
        <w:rPr>
          <w:rFonts w:ascii="NewBaskerville" w:hAnsi="NewBaskerville"/>
        </w:rPr>
        <w:t xml:space="preserve">El  movimiento durante los </w:t>
      </w:r>
      <w:r w:rsidR="003F24D6">
        <w:rPr>
          <w:rFonts w:ascii="NewBaskerville" w:hAnsi="NewBaskerville"/>
        </w:rPr>
        <w:t>ejercicios</w:t>
      </w:r>
      <w:r>
        <w:rPr>
          <w:rFonts w:ascii="NewBaskerville" w:hAnsi="NewBaskerville"/>
        </w:rPr>
        <w:t xml:space="preserve"> 202</w:t>
      </w:r>
      <w:r w:rsidR="00224A04">
        <w:rPr>
          <w:rFonts w:ascii="NewBaskerville" w:hAnsi="NewBaskerville"/>
        </w:rPr>
        <w:t>4</w:t>
      </w:r>
      <w:r>
        <w:rPr>
          <w:rFonts w:ascii="NewBaskerville" w:hAnsi="NewBaskerville"/>
        </w:rPr>
        <w:t xml:space="preserve"> y 202</w:t>
      </w:r>
      <w:r w:rsidR="00224A04">
        <w:rPr>
          <w:rFonts w:ascii="NewBaskerville" w:hAnsi="NewBaskerville"/>
        </w:rPr>
        <w:t>3</w:t>
      </w:r>
      <w:r>
        <w:rPr>
          <w:rFonts w:ascii="NewBaskerville" w:hAnsi="NewBaskerville"/>
        </w:rPr>
        <w:t xml:space="preserve"> es el siguiente:</w:t>
      </w:r>
    </w:p>
    <w:p w:rsidR="00E07B62" w:rsidRPr="00A73B7B" w:rsidRDefault="00E07B62" w:rsidP="00A1261C">
      <w:pPr>
        <w:tabs>
          <w:tab w:val="right" w:pos="8364"/>
        </w:tabs>
        <w:ind w:firstLine="567"/>
        <w:jc w:val="both"/>
        <w:rPr>
          <w:rFonts w:ascii="NewBaskerville" w:hAnsi="NewBaskerville"/>
        </w:rPr>
      </w:pPr>
    </w:p>
    <w:p w:rsidR="00A73B7B" w:rsidRDefault="00A73B7B">
      <w:pPr>
        <w:tabs>
          <w:tab w:val="right" w:pos="8364"/>
        </w:tabs>
        <w:jc w:val="both"/>
      </w:pPr>
    </w:p>
    <w:p w:rsidR="002C4355" w:rsidRPr="00266597" w:rsidRDefault="002C4355" w:rsidP="005D0B44">
      <w:pPr>
        <w:numPr>
          <w:ilvl w:val="0"/>
          <w:numId w:val="2"/>
        </w:numPr>
        <w:tabs>
          <w:tab w:val="right" w:pos="8364"/>
        </w:tabs>
        <w:ind w:hanging="219"/>
        <w:jc w:val="both"/>
        <w:rPr>
          <w:rFonts w:ascii="NewBaskerville" w:hAnsi="NewBaskerville"/>
          <w:u w:val="single"/>
        </w:rPr>
      </w:pPr>
      <w:r w:rsidRPr="00266597">
        <w:rPr>
          <w:rFonts w:ascii="NewBaskerville" w:hAnsi="NewBaskerville"/>
          <w:u w:val="single"/>
        </w:rPr>
        <w:t>Provisión por impuestos</w:t>
      </w:r>
    </w:p>
    <w:bookmarkEnd w:id="0"/>
    <w:p w:rsidR="002C4355" w:rsidRPr="00BE7AB1" w:rsidRDefault="002C4355">
      <w:pPr>
        <w:tabs>
          <w:tab w:val="right" w:pos="8364"/>
        </w:tabs>
        <w:jc w:val="both"/>
      </w:pPr>
    </w:p>
    <w:p w:rsidR="00A73B7B" w:rsidRDefault="00A1261C">
      <w:pPr>
        <w:pStyle w:val="Sangra3detindependiente"/>
        <w:tabs>
          <w:tab w:val="clear" w:pos="5671"/>
          <w:tab w:val="clear" w:pos="7797"/>
          <w:tab w:val="right" w:pos="8364"/>
        </w:tabs>
        <w:rPr>
          <w:rFonts w:ascii="NewBaskerville" w:hAnsi="NewBaskerville"/>
          <w:sz w:val="20"/>
          <w:szCs w:val="20"/>
        </w:rPr>
      </w:pPr>
      <w:r>
        <w:rPr>
          <w:rFonts w:ascii="NewBaskerville" w:hAnsi="NewBaskerville"/>
          <w:sz w:val="20"/>
          <w:szCs w:val="20"/>
        </w:rPr>
        <w:t>En el ejercicio 202</w:t>
      </w:r>
      <w:r w:rsidR="00A04A80">
        <w:rPr>
          <w:rFonts w:ascii="NewBaskerville" w:hAnsi="NewBaskerville"/>
          <w:sz w:val="20"/>
          <w:szCs w:val="20"/>
        </w:rPr>
        <w:t>4</w:t>
      </w:r>
      <w:r>
        <w:rPr>
          <w:rFonts w:ascii="NewBaskerville" w:hAnsi="NewBaskerville"/>
          <w:sz w:val="20"/>
          <w:szCs w:val="20"/>
        </w:rPr>
        <w:t xml:space="preserve"> se ha estimado que </w:t>
      </w:r>
      <w:r w:rsidR="00A77D69">
        <w:rPr>
          <w:rFonts w:ascii="NewBaskerville" w:hAnsi="NewBaskerville"/>
          <w:sz w:val="20"/>
          <w:szCs w:val="20"/>
        </w:rPr>
        <w:t>no existiendo procesos administrativo</w:t>
      </w:r>
      <w:r w:rsidR="00E07B62">
        <w:rPr>
          <w:rFonts w:ascii="NewBaskerville" w:hAnsi="NewBaskerville"/>
          <w:sz w:val="20"/>
          <w:szCs w:val="20"/>
        </w:rPr>
        <w:t>s ni judiciales sobre impuestos</w:t>
      </w:r>
      <w:r w:rsidR="00812E0C">
        <w:rPr>
          <w:rFonts w:ascii="NewBaskerville" w:hAnsi="NewBaskerville"/>
          <w:sz w:val="20"/>
          <w:szCs w:val="20"/>
        </w:rPr>
        <w:t>,</w:t>
      </w:r>
      <w:r w:rsidR="00E07B62">
        <w:rPr>
          <w:rFonts w:ascii="NewBaskerville" w:hAnsi="NewBaskerville"/>
          <w:sz w:val="20"/>
          <w:szCs w:val="20"/>
        </w:rPr>
        <w:t xml:space="preserve"> </w:t>
      </w:r>
      <w:r w:rsidR="003D3C0E">
        <w:rPr>
          <w:rFonts w:ascii="NewBaskerville" w:hAnsi="NewBaskerville"/>
          <w:sz w:val="20"/>
          <w:szCs w:val="20"/>
        </w:rPr>
        <w:t>no reconocer provisión por dicha contingencia.</w:t>
      </w:r>
    </w:p>
    <w:p w:rsidR="00A1261C" w:rsidRPr="00A1261C" w:rsidRDefault="00A1261C">
      <w:pPr>
        <w:pStyle w:val="Sangra3detindependiente"/>
        <w:tabs>
          <w:tab w:val="clear" w:pos="5671"/>
          <w:tab w:val="clear" w:pos="7797"/>
          <w:tab w:val="right" w:pos="8364"/>
        </w:tabs>
        <w:rPr>
          <w:rFonts w:ascii="NewBaskerville" w:hAnsi="NewBaskerville"/>
          <w:sz w:val="20"/>
          <w:szCs w:val="20"/>
        </w:rPr>
      </w:pPr>
    </w:p>
    <w:p w:rsidR="00A73B7B" w:rsidRDefault="00A73B7B">
      <w:pPr>
        <w:pStyle w:val="Sangra3detindependiente"/>
        <w:tabs>
          <w:tab w:val="clear" w:pos="5671"/>
          <w:tab w:val="clear" w:pos="7797"/>
          <w:tab w:val="right" w:pos="8364"/>
        </w:tabs>
        <w:rPr>
          <w:sz w:val="20"/>
          <w:szCs w:val="20"/>
        </w:rPr>
      </w:pPr>
    </w:p>
    <w:p w:rsidR="00192EA6" w:rsidRPr="00A73B7B" w:rsidRDefault="00192EA6" w:rsidP="00192EA6">
      <w:pPr>
        <w:numPr>
          <w:ilvl w:val="0"/>
          <w:numId w:val="2"/>
        </w:numPr>
        <w:tabs>
          <w:tab w:val="right" w:pos="8364"/>
        </w:tabs>
        <w:ind w:hanging="219"/>
        <w:jc w:val="both"/>
        <w:rPr>
          <w:rFonts w:ascii="NewBaskerville" w:hAnsi="NewBaskerville"/>
          <w:u w:val="single"/>
        </w:rPr>
      </w:pPr>
      <w:r w:rsidRPr="00A73B7B">
        <w:rPr>
          <w:rFonts w:ascii="NewBaskerville" w:hAnsi="NewBaskerville"/>
          <w:u w:val="single"/>
        </w:rPr>
        <w:t>Provisión para responsabilidades</w:t>
      </w:r>
    </w:p>
    <w:p w:rsidR="00A1261C" w:rsidRDefault="00A1261C" w:rsidP="00A1261C">
      <w:pPr>
        <w:pStyle w:val="ListParagraph1"/>
        <w:ind w:left="0" w:firstLine="709"/>
        <w:rPr>
          <w:rFonts w:ascii="NewBaskerville" w:hAnsi="NewBaskerville"/>
        </w:rPr>
      </w:pPr>
    </w:p>
    <w:tbl>
      <w:tblPr>
        <w:tblW w:w="5592" w:type="dxa"/>
        <w:tblInd w:w="70" w:type="dxa"/>
        <w:tblCellMar>
          <w:left w:w="70" w:type="dxa"/>
          <w:right w:w="70" w:type="dxa"/>
        </w:tblCellMar>
        <w:tblLook w:val="04A0" w:firstRow="1" w:lastRow="0" w:firstColumn="1" w:lastColumn="0" w:noHBand="0" w:noVBand="1"/>
      </w:tblPr>
      <w:tblGrid>
        <w:gridCol w:w="3990"/>
        <w:gridCol w:w="146"/>
        <w:gridCol w:w="1576"/>
      </w:tblGrid>
      <w:tr w:rsidR="00A04A80" w:rsidRPr="00A04A80" w:rsidTr="00A04A80">
        <w:trPr>
          <w:trHeight w:val="300"/>
        </w:trPr>
        <w:tc>
          <w:tcPr>
            <w:tcW w:w="4016" w:type="dxa"/>
            <w:gridSpan w:val="2"/>
            <w:tcBorders>
              <w:top w:val="nil"/>
              <w:left w:val="nil"/>
              <w:bottom w:val="nil"/>
              <w:right w:val="nil"/>
            </w:tcBorders>
            <w:shd w:val="clear" w:color="auto" w:fill="auto"/>
            <w:noWrap/>
            <w:vAlign w:val="bottom"/>
            <w:hideMark/>
          </w:tcPr>
          <w:p w:rsidR="00A04A80" w:rsidRPr="00A04A80" w:rsidRDefault="00A04A80" w:rsidP="00A04A80">
            <w:pPr>
              <w:rPr>
                <w:rFonts w:ascii="Lucida Bright" w:hAnsi="Lucida Bright" w:cs="Calibri"/>
                <w:b/>
                <w:bCs/>
                <w:color w:val="000000"/>
                <w:sz w:val="18"/>
                <w:szCs w:val="18"/>
                <w:lang w:val="es-ES"/>
              </w:rPr>
            </w:pPr>
            <w:r w:rsidRPr="00A04A80">
              <w:rPr>
                <w:rFonts w:ascii="Lucida Bright" w:hAnsi="Lucida Bright" w:cs="Calibri"/>
                <w:b/>
                <w:bCs/>
                <w:color w:val="000000"/>
                <w:sz w:val="18"/>
                <w:szCs w:val="18"/>
                <w:lang w:val="es-ES"/>
              </w:rPr>
              <w:t>Saldo a 31/12/2023</w:t>
            </w:r>
          </w:p>
        </w:tc>
        <w:tc>
          <w:tcPr>
            <w:tcW w:w="1576" w:type="dxa"/>
            <w:tcBorders>
              <w:top w:val="nil"/>
              <w:left w:val="nil"/>
              <w:bottom w:val="nil"/>
              <w:right w:val="nil"/>
            </w:tcBorders>
            <w:shd w:val="clear" w:color="auto" w:fill="auto"/>
            <w:noWrap/>
            <w:vAlign w:val="bottom"/>
            <w:hideMark/>
          </w:tcPr>
          <w:p w:rsidR="00A04A80" w:rsidRPr="00A04A80" w:rsidRDefault="00A04A80" w:rsidP="00A04A80">
            <w:pPr>
              <w:jc w:val="right"/>
              <w:rPr>
                <w:rFonts w:ascii="Lucida Bright" w:hAnsi="Lucida Bright" w:cs="Calibri"/>
                <w:b/>
                <w:bCs/>
                <w:color w:val="000000"/>
                <w:sz w:val="18"/>
                <w:szCs w:val="18"/>
                <w:lang w:val="es-ES"/>
              </w:rPr>
            </w:pPr>
            <w:r w:rsidRPr="00A04A80">
              <w:rPr>
                <w:rFonts w:ascii="Lucida Bright" w:hAnsi="Lucida Bright" w:cs="Calibri"/>
                <w:b/>
                <w:bCs/>
                <w:color w:val="000000"/>
                <w:sz w:val="18"/>
                <w:szCs w:val="18"/>
                <w:lang w:val="es-ES"/>
              </w:rPr>
              <w:t xml:space="preserve">14.064.476,80  </w:t>
            </w:r>
          </w:p>
        </w:tc>
      </w:tr>
      <w:tr w:rsidR="00A04A80" w:rsidRPr="00A04A80" w:rsidTr="00A04A80">
        <w:trPr>
          <w:trHeight w:val="300"/>
        </w:trPr>
        <w:tc>
          <w:tcPr>
            <w:tcW w:w="4016" w:type="dxa"/>
            <w:gridSpan w:val="2"/>
            <w:tcBorders>
              <w:top w:val="nil"/>
              <w:left w:val="nil"/>
              <w:bottom w:val="nil"/>
              <w:right w:val="nil"/>
            </w:tcBorders>
            <w:shd w:val="clear" w:color="auto" w:fill="auto"/>
            <w:noWrap/>
            <w:vAlign w:val="bottom"/>
            <w:hideMark/>
          </w:tcPr>
          <w:p w:rsidR="00A04A80" w:rsidRPr="00A04A80" w:rsidRDefault="00A04A80" w:rsidP="00A04A80">
            <w:pPr>
              <w:rPr>
                <w:rFonts w:ascii="Lucida Bright" w:hAnsi="Lucida Bright" w:cs="Calibri"/>
                <w:color w:val="000000"/>
                <w:sz w:val="18"/>
                <w:szCs w:val="18"/>
                <w:lang w:val="es-ES"/>
              </w:rPr>
            </w:pPr>
            <w:r w:rsidRPr="00A04A80">
              <w:rPr>
                <w:rFonts w:ascii="Lucida Bright" w:hAnsi="Lucida Bright" w:cs="Calibri"/>
                <w:color w:val="000000"/>
                <w:sz w:val="18"/>
                <w:szCs w:val="18"/>
                <w:lang w:val="es-ES"/>
              </w:rPr>
              <w:t>(+) Dotación del ejercicio</w:t>
            </w:r>
          </w:p>
        </w:tc>
        <w:tc>
          <w:tcPr>
            <w:tcW w:w="1576" w:type="dxa"/>
            <w:tcBorders>
              <w:top w:val="nil"/>
              <w:left w:val="nil"/>
              <w:bottom w:val="nil"/>
              <w:right w:val="nil"/>
            </w:tcBorders>
            <w:shd w:val="clear" w:color="auto" w:fill="auto"/>
            <w:noWrap/>
            <w:vAlign w:val="bottom"/>
            <w:hideMark/>
          </w:tcPr>
          <w:p w:rsidR="00A04A80" w:rsidRPr="00A04A80" w:rsidRDefault="00A04A80" w:rsidP="00A04A80">
            <w:pPr>
              <w:jc w:val="right"/>
              <w:rPr>
                <w:rFonts w:ascii="Lucida Bright" w:hAnsi="Lucida Bright" w:cs="Calibri"/>
                <w:color w:val="000000"/>
                <w:sz w:val="18"/>
                <w:szCs w:val="18"/>
                <w:lang w:val="es-ES"/>
              </w:rPr>
            </w:pPr>
            <w:r w:rsidRPr="00A04A80">
              <w:rPr>
                <w:rFonts w:ascii="Lucida Bright" w:hAnsi="Lucida Bright" w:cs="Calibri"/>
                <w:color w:val="000000"/>
                <w:sz w:val="18"/>
                <w:szCs w:val="18"/>
                <w:lang w:val="es-ES"/>
              </w:rPr>
              <w:t xml:space="preserve">6.840.155,59  </w:t>
            </w:r>
          </w:p>
        </w:tc>
      </w:tr>
      <w:tr w:rsidR="00A04A80" w:rsidRPr="00A04A80" w:rsidTr="00A04A80">
        <w:trPr>
          <w:trHeight w:val="300"/>
        </w:trPr>
        <w:tc>
          <w:tcPr>
            <w:tcW w:w="4016" w:type="dxa"/>
            <w:gridSpan w:val="2"/>
            <w:tcBorders>
              <w:top w:val="nil"/>
              <w:left w:val="nil"/>
              <w:bottom w:val="nil"/>
              <w:right w:val="nil"/>
            </w:tcBorders>
            <w:shd w:val="clear" w:color="auto" w:fill="auto"/>
            <w:noWrap/>
            <w:vAlign w:val="bottom"/>
            <w:hideMark/>
          </w:tcPr>
          <w:p w:rsidR="00A04A80" w:rsidRPr="00A04A80" w:rsidRDefault="00A04A80" w:rsidP="00A04A80">
            <w:pPr>
              <w:rPr>
                <w:rFonts w:ascii="Lucida Bright" w:hAnsi="Lucida Bright" w:cs="Calibri"/>
                <w:color w:val="000000"/>
                <w:sz w:val="18"/>
                <w:szCs w:val="18"/>
                <w:lang w:val="es-ES"/>
              </w:rPr>
            </w:pPr>
            <w:r w:rsidRPr="00A04A80">
              <w:rPr>
                <w:rFonts w:ascii="Lucida Bright" w:hAnsi="Lucida Bright" w:cs="Calibri"/>
                <w:color w:val="000000"/>
                <w:sz w:val="18"/>
                <w:szCs w:val="18"/>
                <w:lang w:val="es-ES"/>
              </w:rPr>
              <w:t>(-) Aplicaciones</w:t>
            </w:r>
          </w:p>
        </w:tc>
        <w:tc>
          <w:tcPr>
            <w:tcW w:w="1576" w:type="dxa"/>
            <w:tcBorders>
              <w:top w:val="nil"/>
              <w:left w:val="nil"/>
              <w:bottom w:val="nil"/>
              <w:right w:val="nil"/>
            </w:tcBorders>
            <w:shd w:val="clear" w:color="auto" w:fill="auto"/>
            <w:noWrap/>
            <w:vAlign w:val="bottom"/>
            <w:hideMark/>
          </w:tcPr>
          <w:p w:rsidR="00A04A80" w:rsidRPr="00A04A80" w:rsidRDefault="00A04A80" w:rsidP="00A04A80">
            <w:pPr>
              <w:jc w:val="right"/>
              <w:rPr>
                <w:rFonts w:ascii="Lucida Bright" w:hAnsi="Lucida Bright" w:cs="Calibri"/>
                <w:color w:val="000000"/>
                <w:sz w:val="18"/>
                <w:szCs w:val="18"/>
                <w:lang w:val="es-ES"/>
              </w:rPr>
            </w:pPr>
            <w:r w:rsidRPr="00A04A80">
              <w:rPr>
                <w:rFonts w:ascii="Lucida Bright" w:hAnsi="Lucida Bright" w:cs="Calibri"/>
                <w:color w:val="000000"/>
                <w:sz w:val="18"/>
                <w:szCs w:val="18"/>
                <w:lang w:val="es-ES"/>
              </w:rPr>
              <w:t xml:space="preserve">(5.486.686,34)  </w:t>
            </w:r>
          </w:p>
        </w:tc>
      </w:tr>
      <w:tr w:rsidR="00A04A80" w:rsidRPr="00A04A80" w:rsidTr="00A04A80">
        <w:trPr>
          <w:trHeight w:val="300"/>
        </w:trPr>
        <w:tc>
          <w:tcPr>
            <w:tcW w:w="3990" w:type="dxa"/>
            <w:tcBorders>
              <w:top w:val="nil"/>
              <w:left w:val="nil"/>
              <w:bottom w:val="nil"/>
              <w:right w:val="nil"/>
            </w:tcBorders>
            <w:shd w:val="clear" w:color="auto" w:fill="auto"/>
            <w:noWrap/>
            <w:vAlign w:val="bottom"/>
            <w:hideMark/>
          </w:tcPr>
          <w:p w:rsidR="00A04A80" w:rsidRPr="00A04A80" w:rsidRDefault="00A04A80" w:rsidP="00A04A80">
            <w:pPr>
              <w:rPr>
                <w:rFonts w:ascii="Lucida Bright" w:hAnsi="Lucida Bright" w:cs="Calibri"/>
                <w:color w:val="000000"/>
                <w:sz w:val="18"/>
                <w:szCs w:val="18"/>
                <w:lang w:val="es-ES"/>
              </w:rPr>
            </w:pPr>
            <w:r w:rsidRPr="00A04A80">
              <w:rPr>
                <w:rFonts w:ascii="Lucida Bright" w:hAnsi="Lucida Bright" w:cs="Calibri"/>
                <w:color w:val="000000"/>
                <w:sz w:val="18"/>
                <w:szCs w:val="18"/>
                <w:lang w:val="es-ES"/>
              </w:rPr>
              <w:t>(-) Excesos</w:t>
            </w:r>
          </w:p>
        </w:tc>
        <w:tc>
          <w:tcPr>
            <w:tcW w:w="26" w:type="dxa"/>
            <w:tcBorders>
              <w:top w:val="nil"/>
              <w:left w:val="nil"/>
              <w:bottom w:val="nil"/>
              <w:right w:val="nil"/>
            </w:tcBorders>
            <w:shd w:val="clear" w:color="auto" w:fill="auto"/>
            <w:noWrap/>
            <w:vAlign w:val="bottom"/>
            <w:hideMark/>
          </w:tcPr>
          <w:p w:rsidR="00A04A80" w:rsidRPr="00A04A80" w:rsidRDefault="00A04A80" w:rsidP="00A04A80">
            <w:pPr>
              <w:rPr>
                <w:rFonts w:ascii="Calibri" w:hAnsi="Calibri" w:cs="Calibri"/>
                <w:color w:val="000000"/>
                <w:sz w:val="22"/>
                <w:szCs w:val="22"/>
                <w:lang w:val="es-ES"/>
              </w:rPr>
            </w:pPr>
          </w:p>
        </w:tc>
        <w:tc>
          <w:tcPr>
            <w:tcW w:w="1576" w:type="dxa"/>
            <w:tcBorders>
              <w:top w:val="nil"/>
              <w:left w:val="nil"/>
              <w:bottom w:val="nil"/>
              <w:right w:val="nil"/>
            </w:tcBorders>
            <w:shd w:val="clear" w:color="auto" w:fill="auto"/>
            <w:noWrap/>
            <w:vAlign w:val="bottom"/>
            <w:hideMark/>
          </w:tcPr>
          <w:p w:rsidR="00A04A80" w:rsidRPr="00A04A80" w:rsidRDefault="00A04A80" w:rsidP="00A04A80">
            <w:pPr>
              <w:jc w:val="right"/>
              <w:rPr>
                <w:rFonts w:ascii="Lucida Bright" w:hAnsi="Lucida Bright" w:cs="Calibri"/>
                <w:color w:val="000000"/>
                <w:sz w:val="18"/>
                <w:szCs w:val="18"/>
                <w:lang w:val="es-ES"/>
              </w:rPr>
            </w:pPr>
            <w:r w:rsidRPr="00A04A80">
              <w:rPr>
                <w:rFonts w:ascii="Lucida Bright" w:hAnsi="Lucida Bright" w:cs="Calibri"/>
                <w:color w:val="000000"/>
                <w:sz w:val="18"/>
                <w:szCs w:val="18"/>
                <w:lang w:val="es-ES"/>
              </w:rPr>
              <w:t xml:space="preserve">(14.003,24)  </w:t>
            </w:r>
          </w:p>
        </w:tc>
      </w:tr>
      <w:tr w:rsidR="00A04A80" w:rsidRPr="00A04A80" w:rsidTr="00A04A80">
        <w:trPr>
          <w:trHeight w:val="300"/>
        </w:trPr>
        <w:tc>
          <w:tcPr>
            <w:tcW w:w="4016" w:type="dxa"/>
            <w:gridSpan w:val="2"/>
            <w:tcBorders>
              <w:top w:val="nil"/>
              <w:left w:val="nil"/>
              <w:bottom w:val="nil"/>
              <w:right w:val="nil"/>
            </w:tcBorders>
            <w:shd w:val="clear" w:color="auto" w:fill="auto"/>
            <w:noWrap/>
            <w:vAlign w:val="bottom"/>
            <w:hideMark/>
          </w:tcPr>
          <w:p w:rsidR="00A04A80" w:rsidRPr="00A04A80" w:rsidRDefault="00A04A80" w:rsidP="00A04A80">
            <w:pPr>
              <w:rPr>
                <w:rFonts w:ascii="Lucida Bright" w:hAnsi="Lucida Bright" w:cs="Calibri"/>
                <w:color w:val="000000"/>
                <w:sz w:val="18"/>
                <w:szCs w:val="18"/>
                <w:lang w:val="es-ES"/>
              </w:rPr>
            </w:pPr>
            <w:r w:rsidRPr="00A04A80">
              <w:rPr>
                <w:rFonts w:ascii="Lucida Bright" w:hAnsi="Lucida Bright" w:cs="Calibri"/>
                <w:color w:val="000000"/>
                <w:sz w:val="18"/>
                <w:szCs w:val="18"/>
                <w:lang w:val="es-ES"/>
              </w:rPr>
              <w:t>(-) Traspasos a corto plazo</w:t>
            </w:r>
          </w:p>
        </w:tc>
        <w:tc>
          <w:tcPr>
            <w:tcW w:w="1576" w:type="dxa"/>
            <w:tcBorders>
              <w:top w:val="nil"/>
              <w:left w:val="nil"/>
              <w:bottom w:val="nil"/>
              <w:right w:val="nil"/>
            </w:tcBorders>
            <w:shd w:val="clear" w:color="auto" w:fill="auto"/>
            <w:noWrap/>
            <w:vAlign w:val="bottom"/>
            <w:hideMark/>
          </w:tcPr>
          <w:p w:rsidR="00A04A80" w:rsidRPr="00A04A80" w:rsidRDefault="00A04A80" w:rsidP="00A04A80">
            <w:pPr>
              <w:jc w:val="right"/>
              <w:rPr>
                <w:rFonts w:ascii="Lucida Bright" w:hAnsi="Lucida Bright" w:cs="Calibri"/>
                <w:color w:val="000000"/>
                <w:sz w:val="18"/>
                <w:szCs w:val="18"/>
                <w:lang w:val="es-ES"/>
              </w:rPr>
            </w:pPr>
            <w:r w:rsidRPr="00A04A80">
              <w:rPr>
                <w:rFonts w:ascii="Lucida Bright" w:hAnsi="Lucida Bright" w:cs="Calibri"/>
                <w:color w:val="000000"/>
                <w:sz w:val="18"/>
                <w:szCs w:val="18"/>
                <w:lang w:val="es-ES"/>
              </w:rPr>
              <w:t xml:space="preserve">(116.259,86)  </w:t>
            </w:r>
          </w:p>
        </w:tc>
      </w:tr>
      <w:tr w:rsidR="00A04A80" w:rsidRPr="00A04A80" w:rsidTr="00A04A80">
        <w:trPr>
          <w:trHeight w:val="300"/>
        </w:trPr>
        <w:tc>
          <w:tcPr>
            <w:tcW w:w="4016" w:type="dxa"/>
            <w:gridSpan w:val="2"/>
            <w:tcBorders>
              <w:top w:val="nil"/>
              <w:left w:val="nil"/>
              <w:bottom w:val="nil"/>
              <w:right w:val="nil"/>
            </w:tcBorders>
            <w:shd w:val="clear" w:color="auto" w:fill="auto"/>
            <w:noWrap/>
            <w:vAlign w:val="bottom"/>
            <w:hideMark/>
          </w:tcPr>
          <w:p w:rsidR="00A04A80" w:rsidRPr="00A04A80" w:rsidRDefault="00A04A80" w:rsidP="00A04A80">
            <w:pPr>
              <w:rPr>
                <w:rFonts w:ascii="Lucida Bright" w:hAnsi="Lucida Bright" w:cs="Calibri"/>
                <w:b/>
                <w:bCs/>
                <w:color w:val="000000"/>
                <w:sz w:val="18"/>
                <w:szCs w:val="18"/>
                <w:lang w:val="es-ES"/>
              </w:rPr>
            </w:pPr>
            <w:r w:rsidRPr="00A04A80">
              <w:rPr>
                <w:rFonts w:ascii="Lucida Bright" w:hAnsi="Lucida Bright" w:cs="Calibri"/>
                <w:b/>
                <w:bCs/>
                <w:color w:val="000000"/>
                <w:sz w:val="18"/>
                <w:szCs w:val="18"/>
                <w:lang w:val="es-ES"/>
              </w:rPr>
              <w:t>Saldo a 31/12/2024</w:t>
            </w:r>
          </w:p>
        </w:tc>
        <w:tc>
          <w:tcPr>
            <w:tcW w:w="1576" w:type="dxa"/>
            <w:tcBorders>
              <w:top w:val="nil"/>
              <w:left w:val="nil"/>
              <w:bottom w:val="nil"/>
              <w:right w:val="nil"/>
            </w:tcBorders>
            <w:shd w:val="clear" w:color="auto" w:fill="auto"/>
            <w:noWrap/>
            <w:vAlign w:val="bottom"/>
            <w:hideMark/>
          </w:tcPr>
          <w:p w:rsidR="00A04A80" w:rsidRPr="00A04A80" w:rsidRDefault="00A04A80" w:rsidP="00A04A80">
            <w:pPr>
              <w:jc w:val="right"/>
              <w:rPr>
                <w:rFonts w:ascii="Lucida Bright" w:hAnsi="Lucida Bright" w:cs="Calibri"/>
                <w:b/>
                <w:bCs/>
                <w:color w:val="000000"/>
                <w:sz w:val="18"/>
                <w:szCs w:val="18"/>
                <w:lang w:val="es-ES"/>
              </w:rPr>
            </w:pPr>
            <w:r w:rsidRPr="00A04A80">
              <w:rPr>
                <w:rFonts w:ascii="Lucida Bright" w:hAnsi="Lucida Bright" w:cs="Calibri"/>
                <w:b/>
                <w:bCs/>
                <w:color w:val="000000"/>
                <w:sz w:val="18"/>
                <w:szCs w:val="18"/>
                <w:lang w:val="es-ES"/>
              </w:rPr>
              <w:t xml:space="preserve">15.287.682,95  </w:t>
            </w:r>
          </w:p>
        </w:tc>
      </w:tr>
      <w:tr w:rsidR="00A04A80" w:rsidRPr="00A04A80" w:rsidTr="00A04A80">
        <w:trPr>
          <w:trHeight w:val="300"/>
        </w:trPr>
        <w:tc>
          <w:tcPr>
            <w:tcW w:w="3990" w:type="dxa"/>
            <w:tcBorders>
              <w:top w:val="nil"/>
              <w:left w:val="nil"/>
              <w:bottom w:val="nil"/>
              <w:right w:val="nil"/>
            </w:tcBorders>
            <w:shd w:val="clear" w:color="auto" w:fill="auto"/>
            <w:noWrap/>
            <w:vAlign w:val="bottom"/>
            <w:hideMark/>
          </w:tcPr>
          <w:p w:rsidR="00A04A80" w:rsidRPr="00A04A80" w:rsidRDefault="00A04A80" w:rsidP="00A04A80">
            <w:pPr>
              <w:rPr>
                <w:rFonts w:ascii="Lucida Bright" w:hAnsi="Lucida Bright" w:cs="Calibri"/>
                <w:color w:val="000000"/>
                <w:sz w:val="18"/>
                <w:szCs w:val="18"/>
                <w:lang w:val="es-ES"/>
              </w:rPr>
            </w:pPr>
          </w:p>
        </w:tc>
        <w:tc>
          <w:tcPr>
            <w:tcW w:w="26" w:type="dxa"/>
            <w:tcBorders>
              <w:top w:val="nil"/>
              <w:left w:val="nil"/>
              <w:bottom w:val="nil"/>
              <w:right w:val="nil"/>
            </w:tcBorders>
            <w:shd w:val="clear" w:color="auto" w:fill="auto"/>
            <w:noWrap/>
            <w:vAlign w:val="bottom"/>
            <w:hideMark/>
          </w:tcPr>
          <w:p w:rsidR="00A04A80" w:rsidRPr="00A04A80" w:rsidRDefault="00A04A80" w:rsidP="00A04A80">
            <w:pPr>
              <w:rPr>
                <w:rFonts w:ascii="Calibri" w:hAnsi="Calibri" w:cs="Calibri"/>
                <w:color w:val="000000"/>
                <w:sz w:val="22"/>
                <w:szCs w:val="22"/>
                <w:lang w:val="es-ES"/>
              </w:rPr>
            </w:pPr>
          </w:p>
        </w:tc>
        <w:tc>
          <w:tcPr>
            <w:tcW w:w="1576" w:type="dxa"/>
            <w:tcBorders>
              <w:top w:val="nil"/>
              <w:left w:val="nil"/>
              <w:bottom w:val="nil"/>
              <w:right w:val="nil"/>
            </w:tcBorders>
            <w:shd w:val="clear" w:color="auto" w:fill="auto"/>
            <w:noWrap/>
            <w:vAlign w:val="bottom"/>
            <w:hideMark/>
          </w:tcPr>
          <w:p w:rsidR="00A04A80" w:rsidRPr="00A04A80" w:rsidRDefault="00A04A80" w:rsidP="00A04A80">
            <w:pPr>
              <w:rPr>
                <w:rFonts w:ascii="Calibri" w:hAnsi="Calibri" w:cs="Calibri"/>
                <w:color w:val="000000"/>
                <w:sz w:val="22"/>
                <w:szCs w:val="22"/>
                <w:lang w:val="es-ES"/>
              </w:rPr>
            </w:pPr>
          </w:p>
        </w:tc>
      </w:tr>
      <w:tr w:rsidR="00A04A80" w:rsidRPr="00A04A80" w:rsidTr="00A04A80">
        <w:trPr>
          <w:trHeight w:val="300"/>
        </w:trPr>
        <w:tc>
          <w:tcPr>
            <w:tcW w:w="4016" w:type="dxa"/>
            <w:gridSpan w:val="2"/>
            <w:tcBorders>
              <w:top w:val="nil"/>
              <w:left w:val="nil"/>
              <w:bottom w:val="nil"/>
              <w:right w:val="nil"/>
            </w:tcBorders>
            <w:shd w:val="clear" w:color="auto" w:fill="auto"/>
            <w:noWrap/>
            <w:vAlign w:val="bottom"/>
            <w:hideMark/>
          </w:tcPr>
          <w:p w:rsidR="00A04A80" w:rsidRPr="00A04A80" w:rsidRDefault="00A04A80" w:rsidP="00A04A80">
            <w:pPr>
              <w:rPr>
                <w:rFonts w:ascii="Lucida Bright" w:hAnsi="Lucida Bright" w:cs="Calibri"/>
                <w:b/>
                <w:bCs/>
                <w:color w:val="000000"/>
                <w:sz w:val="18"/>
                <w:szCs w:val="18"/>
                <w:lang w:val="es-ES"/>
              </w:rPr>
            </w:pPr>
            <w:r w:rsidRPr="00A04A80">
              <w:rPr>
                <w:rFonts w:ascii="Lucida Bright" w:hAnsi="Lucida Bright" w:cs="Calibri"/>
                <w:b/>
                <w:bCs/>
                <w:color w:val="000000"/>
                <w:sz w:val="18"/>
                <w:szCs w:val="18"/>
                <w:lang w:val="es-ES"/>
              </w:rPr>
              <w:t>Saldo a 31/12/2022</w:t>
            </w:r>
          </w:p>
        </w:tc>
        <w:tc>
          <w:tcPr>
            <w:tcW w:w="1576" w:type="dxa"/>
            <w:tcBorders>
              <w:top w:val="nil"/>
              <w:left w:val="nil"/>
              <w:bottom w:val="nil"/>
              <w:right w:val="nil"/>
            </w:tcBorders>
            <w:shd w:val="clear" w:color="auto" w:fill="auto"/>
            <w:noWrap/>
            <w:vAlign w:val="bottom"/>
            <w:hideMark/>
          </w:tcPr>
          <w:p w:rsidR="00A04A80" w:rsidRPr="00A04A80" w:rsidRDefault="00A04A80" w:rsidP="00A04A80">
            <w:pPr>
              <w:jc w:val="right"/>
              <w:rPr>
                <w:rFonts w:ascii="Lucida Bright" w:hAnsi="Lucida Bright" w:cs="Calibri"/>
                <w:b/>
                <w:bCs/>
                <w:color w:val="000000"/>
                <w:sz w:val="18"/>
                <w:szCs w:val="18"/>
                <w:lang w:val="es-ES"/>
              </w:rPr>
            </w:pPr>
            <w:r w:rsidRPr="00A04A80">
              <w:rPr>
                <w:rFonts w:ascii="Lucida Bright" w:hAnsi="Lucida Bright" w:cs="Calibri"/>
                <w:b/>
                <w:bCs/>
                <w:color w:val="000000"/>
                <w:sz w:val="18"/>
                <w:szCs w:val="18"/>
                <w:lang w:val="es-ES"/>
              </w:rPr>
              <w:t xml:space="preserve">12.234.149,15  </w:t>
            </w:r>
          </w:p>
        </w:tc>
      </w:tr>
      <w:tr w:rsidR="00A04A80" w:rsidRPr="00A04A80" w:rsidTr="00A04A80">
        <w:trPr>
          <w:trHeight w:val="300"/>
        </w:trPr>
        <w:tc>
          <w:tcPr>
            <w:tcW w:w="4016" w:type="dxa"/>
            <w:gridSpan w:val="2"/>
            <w:tcBorders>
              <w:top w:val="nil"/>
              <w:left w:val="nil"/>
              <w:bottom w:val="nil"/>
              <w:right w:val="nil"/>
            </w:tcBorders>
            <w:shd w:val="clear" w:color="auto" w:fill="auto"/>
            <w:noWrap/>
            <w:vAlign w:val="bottom"/>
            <w:hideMark/>
          </w:tcPr>
          <w:p w:rsidR="00A04A80" w:rsidRPr="00A04A80" w:rsidRDefault="00A04A80" w:rsidP="00A04A80">
            <w:pPr>
              <w:rPr>
                <w:rFonts w:ascii="Lucida Bright" w:hAnsi="Lucida Bright" w:cs="Calibri"/>
                <w:color w:val="000000"/>
                <w:sz w:val="18"/>
                <w:szCs w:val="18"/>
                <w:lang w:val="es-ES"/>
              </w:rPr>
            </w:pPr>
            <w:r w:rsidRPr="00A04A80">
              <w:rPr>
                <w:rFonts w:ascii="Lucida Bright" w:hAnsi="Lucida Bright" w:cs="Calibri"/>
                <w:color w:val="000000"/>
                <w:sz w:val="18"/>
                <w:szCs w:val="18"/>
                <w:lang w:val="es-ES"/>
              </w:rPr>
              <w:t>(+) Dotación del ejercicio</w:t>
            </w:r>
          </w:p>
        </w:tc>
        <w:tc>
          <w:tcPr>
            <w:tcW w:w="1576" w:type="dxa"/>
            <w:tcBorders>
              <w:top w:val="nil"/>
              <w:left w:val="nil"/>
              <w:bottom w:val="nil"/>
              <w:right w:val="nil"/>
            </w:tcBorders>
            <w:shd w:val="clear" w:color="auto" w:fill="auto"/>
            <w:noWrap/>
            <w:vAlign w:val="bottom"/>
            <w:hideMark/>
          </w:tcPr>
          <w:p w:rsidR="00A04A80" w:rsidRPr="00A04A80" w:rsidRDefault="00A04A80" w:rsidP="00A04A80">
            <w:pPr>
              <w:jc w:val="right"/>
              <w:rPr>
                <w:rFonts w:ascii="Lucida Bright" w:hAnsi="Lucida Bright" w:cs="Calibri"/>
                <w:color w:val="000000"/>
                <w:sz w:val="18"/>
                <w:szCs w:val="18"/>
                <w:lang w:val="es-ES"/>
              </w:rPr>
            </w:pPr>
            <w:r w:rsidRPr="00A04A80">
              <w:rPr>
                <w:rFonts w:ascii="Lucida Bright" w:hAnsi="Lucida Bright" w:cs="Calibri"/>
                <w:color w:val="000000"/>
                <w:sz w:val="18"/>
                <w:szCs w:val="18"/>
                <w:lang w:val="es-ES"/>
              </w:rPr>
              <w:t xml:space="preserve">1.830.327,65  </w:t>
            </w:r>
          </w:p>
        </w:tc>
      </w:tr>
      <w:tr w:rsidR="00A04A80" w:rsidRPr="00A04A80" w:rsidTr="00A04A80">
        <w:trPr>
          <w:trHeight w:val="300"/>
        </w:trPr>
        <w:tc>
          <w:tcPr>
            <w:tcW w:w="4016" w:type="dxa"/>
            <w:gridSpan w:val="2"/>
            <w:tcBorders>
              <w:top w:val="nil"/>
              <w:left w:val="nil"/>
              <w:bottom w:val="nil"/>
              <w:right w:val="nil"/>
            </w:tcBorders>
            <w:shd w:val="clear" w:color="auto" w:fill="auto"/>
            <w:noWrap/>
            <w:vAlign w:val="bottom"/>
            <w:hideMark/>
          </w:tcPr>
          <w:p w:rsidR="00A04A80" w:rsidRPr="00A04A80" w:rsidRDefault="00A04A80" w:rsidP="00A04A80">
            <w:pPr>
              <w:rPr>
                <w:rFonts w:ascii="Lucida Bright" w:hAnsi="Lucida Bright" w:cs="Calibri"/>
                <w:color w:val="000000"/>
                <w:sz w:val="18"/>
                <w:szCs w:val="18"/>
                <w:lang w:val="es-ES"/>
              </w:rPr>
            </w:pPr>
            <w:r w:rsidRPr="00A04A80">
              <w:rPr>
                <w:rFonts w:ascii="Lucida Bright" w:hAnsi="Lucida Bright" w:cs="Calibri"/>
                <w:color w:val="000000"/>
                <w:sz w:val="18"/>
                <w:szCs w:val="18"/>
                <w:lang w:val="es-ES"/>
              </w:rPr>
              <w:t>(-) Aplicaciones</w:t>
            </w:r>
          </w:p>
        </w:tc>
        <w:tc>
          <w:tcPr>
            <w:tcW w:w="1576" w:type="dxa"/>
            <w:tcBorders>
              <w:top w:val="nil"/>
              <w:left w:val="nil"/>
              <w:bottom w:val="nil"/>
              <w:right w:val="nil"/>
            </w:tcBorders>
            <w:shd w:val="clear" w:color="auto" w:fill="auto"/>
            <w:noWrap/>
            <w:vAlign w:val="bottom"/>
            <w:hideMark/>
          </w:tcPr>
          <w:p w:rsidR="00A04A80" w:rsidRPr="00A04A80" w:rsidRDefault="00A04A80" w:rsidP="00A04A80">
            <w:pPr>
              <w:jc w:val="right"/>
              <w:rPr>
                <w:rFonts w:ascii="Lucida Bright" w:hAnsi="Lucida Bright" w:cs="Calibri"/>
                <w:color w:val="000000"/>
                <w:sz w:val="18"/>
                <w:szCs w:val="18"/>
                <w:lang w:val="es-ES"/>
              </w:rPr>
            </w:pPr>
            <w:r w:rsidRPr="00A04A80">
              <w:rPr>
                <w:rFonts w:ascii="Lucida Bright" w:hAnsi="Lucida Bright" w:cs="Calibri"/>
                <w:color w:val="000000"/>
                <w:sz w:val="18"/>
                <w:szCs w:val="18"/>
                <w:lang w:val="es-ES"/>
              </w:rPr>
              <w:t xml:space="preserve">-  </w:t>
            </w:r>
          </w:p>
        </w:tc>
      </w:tr>
      <w:tr w:rsidR="00A04A80" w:rsidRPr="00A04A80" w:rsidTr="00A04A80">
        <w:trPr>
          <w:trHeight w:val="300"/>
        </w:trPr>
        <w:tc>
          <w:tcPr>
            <w:tcW w:w="3990" w:type="dxa"/>
            <w:tcBorders>
              <w:top w:val="nil"/>
              <w:left w:val="nil"/>
              <w:bottom w:val="nil"/>
              <w:right w:val="nil"/>
            </w:tcBorders>
            <w:shd w:val="clear" w:color="auto" w:fill="auto"/>
            <w:noWrap/>
            <w:vAlign w:val="bottom"/>
            <w:hideMark/>
          </w:tcPr>
          <w:p w:rsidR="00A04A80" w:rsidRPr="00A04A80" w:rsidRDefault="00A04A80" w:rsidP="00A04A80">
            <w:pPr>
              <w:rPr>
                <w:rFonts w:ascii="Lucida Bright" w:hAnsi="Lucida Bright" w:cs="Calibri"/>
                <w:color w:val="000000"/>
                <w:sz w:val="18"/>
                <w:szCs w:val="18"/>
                <w:lang w:val="es-ES"/>
              </w:rPr>
            </w:pPr>
            <w:r w:rsidRPr="00A04A80">
              <w:rPr>
                <w:rFonts w:ascii="Lucida Bright" w:hAnsi="Lucida Bright" w:cs="Calibri"/>
                <w:color w:val="000000"/>
                <w:sz w:val="18"/>
                <w:szCs w:val="18"/>
                <w:lang w:val="es-ES"/>
              </w:rPr>
              <w:t>(-) Excesos</w:t>
            </w:r>
          </w:p>
        </w:tc>
        <w:tc>
          <w:tcPr>
            <w:tcW w:w="26" w:type="dxa"/>
            <w:tcBorders>
              <w:top w:val="nil"/>
              <w:left w:val="nil"/>
              <w:bottom w:val="nil"/>
              <w:right w:val="nil"/>
            </w:tcBorders>
            <w:shd w:val="clear" w:color="auto" w:fill="auto"/>
            <w:noWrap/>
            <w:vAlign w:val="bottom"/>
            <w:hideMark/>
          </w:tcPr>
          <w:p w:rsidR="00A04A80" w:rsidRPr="00A04A80" w:rsidRDefault="00A04A80" w:rsidP="00A04A80">
            <w:pPr>
              <w:rPr>
                <w:rFonts w:ascii="Calibri" w:hAnsi="Calibri" w:cs="Calibri"/>
                <w:color w:val="000000"/>
                <w:sz w:val="22"/>
                <w:szCs w:val="22"/>
                <w:lang w:val="es-ES"/>
              </w:rPr>
            </w:pPr>
          </w:p>
        </w:tc>
        <w:tc>
          <w:tcPr>
            <w:tcW w:w="1576" w:type="dxa"/>
            <w:tcBorders>
              <w:top w:val="nil"/>
              <w:left w:val="nil"/>
              <w:bottom w:val="nil"/>
              <w:right w:val="nil"/>
            </w:tcBorders>
            <w:shd w:val="clear" w:color="auto" w:fill="auto"/>
            <w:noWrap/>
            <w:vAlign w:val="bottom"/>
            <w:hideMark/>
          </w:tcPr>
          <w:p w:rsidR="00A04A80" w:rsidRPr="00A04A80" w:rsidRDefault="00A04A80" w:rsidP="00A04A80">
            <w:pPr>
              <w:jc w:val="right"/>
              <w:rPr>
                <w:rFonts w:ascii="Lucida Bright" w:hAnsi="Lucida Bright" w:cs="Calibri"/>
                <w:color w:val="000000"/>
                <w:sz w:val="18"/>
                <w:szCs w:val="18"/>
                <w:lang w:val="es-ES"/>
              </w:rPr>
            </w:pPr>
            <w:r w:rsidRPr="00A04A80">
              <w:rPr>
                <w:rFonts w:ascii="Lucida Bright" w:hAnsi="Lucida Bright" w:cs="Calibri"/>
                <w:color w:val="000000"/>
                <w:sz w:val="18"/>
                <w:szCs w:val="18"/>
                <w:lang w:val="es-ES"/>
              </w:rPr>
              <w:t xml:space="preserve">-  </w:t>
            </w:r>
          </w:p>
        </w:tc>
      </w:tr>
      <w:tr w:rsidR="00A04A80" w:rsidRPr="00A04A80" w:rsidTr="00A04A80">
        <w:trPr>
          <w:trHeight w:val="300"/>
        </w:trPr>
        <w:tc>
          <w:tcPr>
            <w:tcW w:w="4016" w:type="dxa"/>
            <w:gridSpan w:val="2"/>
            <w:tcBorders>
              <w:top w:val="nil"/>
              <w:left w:val="nil"/>
              <w:bottom w:val="nil"/>
              <w:right w:val="nil"/>
            </w:tcBorders>
            <w:shd w:val="clear" w:color="auto" w:fill="auto"/>
            <w:noWrap/>
            <w:vAlign w:val="bottom"/>
            <w:hideMark/>
          </w:tcPr>
          <w:p w:rsidR="00A04A80" w:rsidRPr="00A04A80" w:rsidRDefault="00A04A80" w:rsidP="00A04A80">
            <w:pPr>
              <w:rPr>
                <w:rFonts w:ascii="Lucida Bright" w:hAnsi="Lucida Bright" w:cs="Calibri"/>
                <w:b/>
                <w:bCs/>
                <w:color w:val="000000"/>
                <w:sz w:val="18"/>
                <w:szCs w:val="18"/>
                <w:lang w:val="es-ES"/>
              </w:rPr>
            </w:pPr>
            <w:r w:rsidRPr="00A04A80">
              <w:rPr>
                <w:rFonts w:ascii="Lucida Bright" w:hAnsi="Lucida Bright" w:cs="Calibri"/>
                <w:b/>
                <w:bCs/>
                <w:color w:val="000000"/>
                <w:sz w:val="18"/>
                <w:szCs w:val="18"/>
                <w:lang w:val="es-ES"/>
              </w:rPr>
              <w:t>Saldo a 31/12/2023</w:t>
            </w:r>
          </w:p>
        </w:tc>
        <w:tc>
          <w:tcPr>
            <w:tcW w:w="1576" w:type="dxa"/>
            <w:tcBorders>
              <w:top w:val="nil"/>
              <w:left w:val="nil"/>
              <w:bottom w:val="nil"/>
              <w:right w:val="nil"/>
            </w:tcBorders>
            <w:shd w:val="clear" w:color="auto" w:fill="auto"/>
            <w:noWrap/>
            <w:vAlign w:val="bottom"/>
            <w:hideMark/>
          </w:tcPr>
          <w:p w:rsidR="00A04A80" w:rsidRPr="00A04A80" w:rsidRDefault="00A04A80" w:rsidP="00A04A80">
            <w:pPr>
              <w:jc w:val="right"/>
              <w:rPr>
                <w:rFonts w:ascii="Lucida Bright" w:hAnsi="Lucida Bright" w:cs="Calibri"/>
                <w:b/>
                <w:bCs/>
                <w:color w:val="000000"/>
                <w:sz w:val="18"/>
                <w:szCs w:val="18"/>
                <w:lang w:val="es-ES"/>
              </w:rPr>
            </w:pPr>
            <w:r w:rsidRPr="00A04A80">
              <w:rPr>
                <w:rFonts w:ascii="Lucida Bright" w:hAnsi="Lucida Bright" w:cs="Calibri"/>
                <w:b/>
                <w:bCs/>
                <w:color w:val="000000"/>
                <w:sz w:val="18"/>
                <w:szCs w:val="18"/>
                <w:lang w:val="es-ES"/>
              </w:rPr>
              <w:t xml:space="preserve">14.064.476,80  </w:t>
            </w:r>
          </w:p>
        </w:tc>
      </w:tr>
    </w:tbl>
    <w:p w:rsidR="00A1261C" w:rsidRDefault="00A1261C" w:rsidP="00A1261C">
      <w:pPr>
        <w:pStyle w:val="ListParagraph1"/>
        <w:ind w:left="0" w:firstLine="709"/>
        <w:rPr>
          <w:rFonts w:ascii="NewBaskerville" w:hAnsi="NewBaskerville"/>
        </w:rPr>
      </w:pPr>
    </w:p>
    <w:p w:rsidR="00A1261C" w:rsidRPr="00A1261C" w:rsidRDefault="00A1261C" w:rsidP="00A1261C">
      <w:pPr>
        <w:pStyle w:val="ListParagraph1"/>
        <w:ind w:left="0" w:firstLine="709"/>
        <w:rPr>
          <w:rFonts w:ascii="NewBaskerville" w:hAnsi="NewBaskerville"/>
        </w:rPr>
      </w:pPr>
    </w:p>
    <w:p w:rsidR="00475B03" w:rsidRDefault="00475B03" w:rsidP="00CF7FBD">
      <w:pPr>
        <w:pStyle w:val="ListParagraph1"/>
      </w:pPr>
    </w:p>
    <w:p w:rsidR="003A195D" w:rsidRPr="00CE3273" w:rsidRDefault="003A195D" w:rsidP="005C285D">
      <w:pPr>
        <w:tabs>
          <w:tab w:val="right" w:pos="8364"/>
        </w:tabs>
        <w:ind w:left="360"/>
        <w:rPr>
          <w:rFonts w:ascii="NewBaskerville" w:hAnsi="NewBaskerville"/>
          <w:bCs/>
        </w:rPr>
      </w:pPr>
      <w:r w:rsidRPr="00CE3273">
        <w:rPr>
          <w:rFonts w:ascii="NewBaskerville" w:hAnsi="NewBaskerville"/>
          <w:bCs/>
        </w:rPr>
        <w:t xml:space="preserve">Las provisiones por responsabilidades corresponden </w:t>
      </w:r>
      <w:r w:rsidR="008155BC" w:rsidRPr="00CE3273">
        <w:rPr>
          <w:rFonts w:ascii="NewBaskerville" w:hAnsi="NewBaskerville"/>
          <w:bCs/>
        </w:rPr>
        <w:t>a:</w:t>
      </w:r>
    </w:p>
    <w:p w:rsidR="00514E88" w:rsidRPr="00AE63D4" w:rsidRDefault="00514E88">
      <w:pPr>
        <w:tabs>
          <w:tab w:val="right" w:pos="8364"/>
        </w:tabs>
        <w:ind w:left="567"/>
        <w:jc w:val="both"/>
        <w:rPr>
          <w:bCs/>
        </w:rPr>
      </w:pPr>
    </w:p>
    <w:p w:rsidR="00E257E5" w:rsidRPr="00CE3273" w:rsidRDefault="00CD7D91" w:rsidP="00514E88">
      <w:pPr>
        <w:numPr>
          <w:ilvl w:val="0"/>
          <w:numId w:val="2"/>
        </w:numPr>
        <w:tabs>
          <w:tab w:val="right" w:pos="8364"/>
        </w:tabs>
        <w:jc w:val="both"/>
        <w:rPr>
          <w:rFonts w:ascii="NewBaskerville" w:hAnsi="NewBaskerville"/>
          <w:bCs/>
          <w:u w:val="single"/>
        </w:rPr>
      </w:pPr>
      <w:r w:rsidRPr="00CE3273">
        <w:rPr>
          <w:rFonts w:ascii="NewBaskerville" w:hAnsi="NewBaskerville"/>
          <w:u w:val="single"/>
          <w:lang w:val="es-ES"/>
        </w:rPr>
        <w:t>Sentencias Tarifa T</w:t>
      </w:r>
      <w:r w:rsidR="00CE3273" w:rsidRPr="00CE3273">
        <w:rPr>
          <w:rFonts w:ascii="NewBaskerville" w:hAnsi="NewBaskerville"/>
          <w:u w:val="single"/>
          <w:lang w:val="es-ES"/>
        </w:rPr>
        <w:t>-</w:t>
      </w:r>
      <w:r w:rsidRPr="00CE3273">
        <w:rPr>
          <w:rFonts w:ascii="NewBaskerville" w:hAnsi="NewBaskerville"/>
          <w:u w:val="single"/>
          <w:lang w:val="es-ES"/>
        </w:rPr>
        <w:t>3</w:t>
      </w:r>
      <w:r w:rsidR="00514E88" w:rsidRPr="00CE3273">
        <w:rPr>
          <w:rFonts w:ascii="NewBaskerville" w:hAnsi="NewBaskerville"/>
          <w:u w:val="single"/>
          <w:lang w:val="es-ES"/>
        </w:rPr>
        <w:t>.</w:t>
      </w:r>
    </w:p>
    <w:p w:rsidR="003A195D" w:rsidRPr="00AE63D4" w:rsidRDefault="003A195D" w:rsidP="00514E88">
      <w:pPr>
        <w:pStyle w:val="Sangra3detindependiente"/>
        <w:ind w:left="567" w:hanging="27"/>
        <w:rPr>
          <w:sz w:val="20"/>
          <w:szCs w:val="20"/>
        </w:rPr>
      </w:pPr>
    </w:p>
    <w:p w:rsidR="002C4355" w:rsidRPr="00F00EE6" w:rsidRDefault="003A195D" w:rsidP="00CE3273">
      <w:pPr>
        <w:pStyle w:val="Sangra3detindependiente"/>
        <w:ind w:firstLine="567"/>
        <w:rPr>
          <w:sz w:val="20"/>
          <w:szCs w:val="20"/>
        </w:rPr>
      </w:pPr>
      <w:r w:rsidRPr="00AE63D4">
        <w:rPr>
          <w:sz w:val="20"/>
          <w:szCs w:val="20"/>
        </w:rPr>
        <w:t xml:space="preserve"> </w:t>
      </w:r>
      <w:r w:rsidR="001D5514" w:rsidRPr="00CE3273">
        <w:rPr>
          <w:rFonts w:ascii="NewBaskerville" w:hAnsi="NewBaskerville"/>
          <w:sz w:val="20"/>
          <w:szCs w:val="20"/>
        </w:rPr>
        <w:t>Las sentencias del Tribunal Constitucional 116/2009</w:t>
      </w:r>
      <w:r w:rsidR="008155BC" w:rsidRPr="00CE3273">
        <w:rPr>
          <w:rFonts w:ascii="NewBaskerville" w:hAnsi="NewBaskerville"/>
          <w:sz w:val="20"/>
          <w:szCs w:val="20"/>
        </w:rPr>
        <w:t>, de</w:t>
      </w:r>
      <w:r w:rsidR="001D5514" w:rsidRPr="00CE3273">
        <w:rPr>
          <w:rFonts w:ascii="NewBaskerville" w:hAnsi="NewBaskerville"/>
          <w:sz w:val="20"/>
          <w:szCs w:val="20"/>
        </w:rPr>
        <w:t xml:space="preserve"> 18 de mayo, 146/2009 de 15 de junio y 161/2009 de 29 de junio declararon inconstitucionales diversos apartados de </w:t>
      </w:r>
      <w:r w:rsidRPr="00CE3273">
        <w:rPr>
          <w:rFonts w:ascii="NewBaskerville" w:hAnsi="NewBaskerville"/>
          <w:sz w:val="20"/>
          <w:szCs w:val="20"/>
        </w:rPr>
        <w:t xml:space="preserve">la </w:t>
      </w:r>
      <w:r w:rsidR="00CE3273">
        <w:rPr>
          <w:rFonts w:ascii="NewBaskerville" w:hAnsi="NewBaskerville"/>
          <w:sz w:val="20"/>
          <w:szCs w:val="20"/>
        </w:rPr>
        <w:t>d</w:t>
      </w:r>
      <w:r w:rsidR="001D5514" w:rsidRPr="00CE3273">
        <w:rPr>
          <w:rFonts w:ascii="NewBaskerville" w:hAnsi="NewBaskerville"/>
          <w:sz w:val="20"/>
          <w:szCs w:val="20"/>
        </w:rPr>
        <w:t>isposición adicional de la Ley 55/1999 de 25 de diciembre y de la Ley 14/200</w:t>
      </w:r>
      <w:r w:rsidR="004F501D" w:rsidRPr="00CE3273">
        <w:rPr>
          <w:rFonts w:ascii="NewBaskerville" w:hAnsi="NewBaskerville"/>
          <w:sz w:val="20"/>
          <w:szCs w:val="20"/>
        </w:rPr>
        <w:t>0</w:t>
      </w:r>
      <w:r w:rsidR="001D5514" w:rsidRPr="00CE3273">
        <w:rPr>
          <w:rFonts w:ascii="NewBaskerville" w:hAnsi="NewBaskerville"/>
          <w:sz w:val="20"/>
          <w:szCs w:val="20"/>
        </w:rPr>
        <w:t xml:space="preserve"> de 29 de diciembre que se aplicaba para la refacturación y compensación de las liquidaciones anuladas por sentencia judicial. Dado que existe la imposibilidad futura de refacturar las liquidaciones de </w:t>
      </w:r>
      <w:r w:rsidRPr="00CE3273">
        <w:rPr>
          <w:rFonts w:ascii="NewBaskerville" w:hAnsi="NewBaskerville"/>
          <w:sz w:val="20"/>
          <w:szCs w:val="20"/>
        </w:rPr>
        <w:t xml:space="preserve">las </w:t>
      </w:r>
      <w:r w:rsidR="001D5514" w:rsidRPr="00CE3273">
        <w:rPr>
          <w:rFonts w:ascii="NewBaskerville" w:hAnsi="NewBaskerville"/>
          <w:sz w:val="20"/>
          <w:szCs w:val="20"/>
        </w:rPr>
        <w:t>tarifas recurridas</w:t>
      </w:r>
      <w:r w:rsidRPr="00CE3273">
        <w:rPr>
          <w:rFonts w:ascii="NewBaskerville" w:hAnsi="NewBaskerville"/>
          <w:sz w:val="20"/>
          <w:szCs w:val="20"/>
        </w:rPr>
        <w:t>,</w:t>
      </w:r>
      <w:r w:rsidR="001D5514" w:rsidRPr="00CE3273">
        <w:rPr>
          <w:rFonts w:ascii="NewBaskerville" w:hAnsi="NewBaskerville"/>
          <w:sz w:val="20"/>
          <w:szCs w:val="20"/>
        </w:rPr>
        <w:t xml:space="preserve"> sobre las que aún no haya recaído sentencia anulatoria</w:t>
      </w:r>
      <w:r w:rsidR="008469C2" w:rsidRPr="00CE3273">
        <w:rPr>
          <w:rFonts w:ascii="NewBaskerville" w:hAnsi="NewBaskerville"/>
          <w:sz w:val="20"/>
          <w:szCs w:val="20"/>
        </w:rPr>
        <w:t>,</w:t>
      </w:r>
      <w:r w:rsidR="001D5514" w:rsidRPr="00CE3273">
        <w:rPr>
          <w:rFonts w:ascii="NewBaskerville" w:hAnsi="NewBaskerville"/>
          <w:sz w:val="20"/>
          <w:szCs w:val="20"/>
        </w:rPr>
        <w:t xml:space="preserve"> es necesario considerar las obligaciones económicas</w:t>
      </w:r>
      <w:r w:rsidRPr="00CE3273">
        <w:rPr>
          <w:rFonts w:ascii="NewBaskerville" w:hAnsi="NewBaskerville"/>
          <w:sz w:val="20"/>
          <w:szCs w:val="20"/>
        </w:rPr>
        <w:t xml:space="preserve"> que se deriven</w:t>
      </w:r>
      <w:r w:rsidR="001D5514" w:rsidRPr="00CE3273">
        <w:rPr>
          <w:rFonts w:ascii="NewBaskerville" w:hAnsi="NewBaskerville"/>
          <w:sz w:val="20"/>
          <w:szCs w:val="20"/>
        </w:rPr>
        <w:t xml:space="preserve"> </w:t>
      </w:r>
      <w:r w:rsidR="008469C2" w:rsidRPr="00CE3273">
        <w:rPr>
          <w:rFonts w:ascii="NewBaskerville" w:hAnsi="NewBaskerville"/>
          <w:sz w:val="20"/>
          <w:szCs w:val="20"/>
        </w:rPr>
        <w:t>de ello</w:t>
      </w:r>
      <w:r w:rsidR="001D5514" w:rsidRPr="00CE3273">
        <w:rPr>
          <w:rFonts w:ascii="NewBaskerville" w:hAnsi="NewBaskerville"/>
          <w:sz w:val="20"/>
          <w:szCs w:val="20"/>
        </w:rPr>
        <w:t xml:space="preserve">. </w:t>
      </w:r>
      <w:r w:rsidR="008469C2" w:rsidRPr="00CE3273">
        <w:rPr>
          <w:rFonts w:ascii="NewBaskerville" w:hAnsi="NewBaskerville"/>
          <w:sz w:val="20"/>
          <w:szCs w:val="20"/>
        </w:rPr>
        <w:t>En consecuencia</w:t>
      </w:r>
      <w:r w:rsidR="001D5514" w:rsidRPr="00CE3273">
        <w:rPr>
          <w:rFonts w:ascii="NewBaskerville" w:hAnsi="NewBaskerville"/>
          <w:sz w:val="20"/>
          <w:szCs w:val="20"/>
        </w:rPr>
        <w:t xml:space="preserve"> se ha dotado una provisión por el importe del principal </w:t>
      </w:r>
      <w:r w:rsidRPr="00CE3273">
        <w:rPr>
          <w:rFonts w:ascii="NewBaskerville" w:hAnsi="NewBaskerville"/>
          <w:sz w:val="20"/>
          <w:szCs w:val="20"/>
        </w:rPr>
        <w:t>y los correspondientes</w:t>
      </w:r>
      <w:r w:rsidR="001D5514" w:rsidRPr="00CE3273">
        <w:rPr>
          <w:rFonts w:ascii="NewBaskerville" w:hAnsi="NewBaskerville"/>
          <w:sz w:val="20"/>
          <w:szCs w:val="20"/>
        </w:rPr>
        <w:t xml:space="preserve"> intereses de los recursos sobre los que aún no ha recaído sentencia, el principal </w:t>
      </w:r>
      <w:r w:rsidRPr="00CE3273">
        <w:rPr>
          <w:rFonts w:ascii="NewBaskerville" w:hAnsi="NewBaskerville"/>
          <w:sz w:val="20"/>
          <w:szCs w:val="20"/>
        </w:rPr>
        <w:t xml:space="preserve">se contabiliza </w:t>
      </w:r>
      <w:r w:rsidR="001D5514" w:rsidRPr="00CE3273">
        <w:rPr>
          <w:rFonts w:ascii="NewBaskerville" w:hAnsi="NewBaskerville"/>
          <w:sz w:val="20"/>
          <w:szCs w:val="20"/>
        </w:rPr>
        <w:t>c</w:t>
      </w:r>
      <w:r w:rsidRPr="00CE3273">
        <w:rPr>
          <w:rFonts w:ascii="NewBaskerville" w:hAnsi="NewBaskerville"/>
          <w:sz w:val="20"/>
          <w:szCs w:val="20"/>
        </w:rPr>
        <w:t>omo</w:t>
      </w:r>
      <w:r w:rsidR="001D5514" w:rsidRPr="00CE3273">
        <w:rPr>
          <w:rFonts w:ascii="NewBaskerville" w:hAnsi="NewBaskerville"/>
          <w:sz w:val="20"/>
          <w:szCs w:val="20"/>
        </w:rPr>
        <w:t xml:space="preserve"> gastos excepcionales</w:t>
      </w:r>
      <w:r w:rsidR="00BA398B">
        <w:rPr>
          <w:rFonts w:ascii="NewBaskerville" w:hAnsi="NewBaskerville"/>
          <w:sz w:val="20"/>
          <w:szCs w:val="20"/>
        </w:rPr>
        <w:t>, los excesos de provisión como ingresos excepcionales,</w:t>
      </w:r>
      <w:r w:rsidR="001D5514" w:rsidRPr="00CE3273">
        <w:rPr>
          <w:rFonts w:ascii="NewBaskerville" w:hAnsi="NewBaskerville"/>
          <w:sz w:val="20"/>
          <w:szCs w:val="20"/>
        </w:rPr>
        <w:t xml:space="preserve"> y los intereses </w:t>
      </w:r>
      <w:r w:rsidRPr="00CE3273">
        <w:rPr>
          <w:rFonts w:ascii="NewBaskerville" w:hAnsi="NewBaskerville"/>
          <w:sz w:val="20"/>
          <w:szCs w:val="20"/>
        </w:rPr>
        <w:t>como</w:t>
      </w:r>
      <w:r w:rsidR="001D5514" w:rsidRPr="00CE3273">
        <w:rPr>
          <w:rFonts w:ascii="NewBaskerville" w:hAnsi="NewBaskerville"/>
          <w:sz w:val="20"/>
          <w:szCs w:val="20"/>
        </w:rPr>
        <w:t xml:space="preserve"> gastos financieros.</w:t>
      </w:r>
      <w:r w:rsidR="00335D25">
        <w:rPr>
          <w:rFonts w:ascii="NewBaskerville" w:hAnsi="NewBaskerville"/>
          <w:sz w:val="20"/>
          <w:szCs w:val="20"/>
        </w:rPr>
        <w:t xml:space="preserve"> </w:t>
      </w:r>
      <w:r w:rsidR="00F00EE6">
        <w:rPr>
          <w:rFonts w:ascii="NewBaskerville" w:hAnsi="NewBaskerville"/>
          <w:sz w:val="20"/>
          <w:szCs w:val="20"/>
        </w:rPr>
        <w:t>El importe provisionado a 31/12/202</w:t>
      </w:r>
      <w:r w:rsidR="00BA398B">
        <w:rPr>
          <w:rFonts w:ascii="NewBaskerville" w:hAnsi="NewBaskerville"/>
          <w:sz w:val="20"/>
          <w:szCs w:val="20"/>
        </w:rPr>
        <w:t>4</w:t>
      </w:r>
      <w:r w:rsidR="00F00EE6">
        <w:rPr>
          <w:rFonts w:ascii="NewBaskerville" w:hAnsi="NewBaskerville"/>
          <w:sz w:val="20"/>
          <w:szCs w:val="20"/>
        </w:rPr>
        <w:t xml:space="preserve"> asciende a </w:t>
      </w:r>
      <w:r w:rsidR="0073352A">
        <w:rPr>
          <w:rFonts w:ascii="NewBaskerville" w:hAnsi="NewBaskerville"/>
          <w:sz w:val="20"/>
          <w:szCs w:val="20"/>
        </w:rPr>
        <w:t>372</w:t>
      </w:r>
      <w:r w:rsidR="005E76DE">
        <w:rPr>
          <w:rFonts w:ascii="NewBaskerville" w:hAnsi="NewBaskerville"/>
          <w:sz w:val="20"/>
          <w:szCs w:val="20"/>
        </w:rPr>
        <w:t>.</w:t>
      </w:r>
      <w:r w:rsidR="0073352A">
        <w:rPr>
          <w:rFonts w:ascii="NewBaskerville" w:hAnsi="NewBaskerville"/>
          <w:sz w:val="20"/>
          <w:szCs w:val="20"/>
        </w:rPr>
        <w:t>623,64</w:t>
      </w:r>
      <w:r w:rsidR="00F00EE6">
        <w:rPr>
          <w:rFonts w:ascii="NewBaskerville" w:hAnsi="NewBaskerville"/>
          <w:sz w:val="20"/>
          <w:szCs w:val="20"/>
        </w:rPr>
        <w:t xml:space="preserve"> euros (</w:t>
      </w:r>
      <w:r w:rsidR="0073352A">
        <w:rPr>
          <w:rFonts w:ascii="NewBaskerville" w:hAnsi="NewBaskerville"/>
          <w:sz w:val="20"/>
          <w:szCs w:val="20"/>
        </w:rPr>
        <w:t>34</w:t>
      </w:r>
      <w:r w:rsidR="00F00EE6">
        <w:rPr>
          <w:rFonts w:ascii="NewBaskerville" w:hAnsi="NewBaskerville"/>
          <w:sz w:val="20"/>
          <w:szCs w:val="20"/>
        </w:rPr>
        <w:t>.</w:t>
      </w:r>
      <w:r w:rsidR="0073352A">
        <w:rPr>
          <w:rFonts w:ascii="NewBaskerville" w:hAnsi="NewBaskerville"/>
          <w:sz w:val="20"/>
          <w:szCs w:val="20"/>
        </w:rPr>
        <w:t>951</w:t>
      </w:r>
      <w:r w:rsidR="00F00EE6">
        <w:rPr>
          <w:rFonts w:ascii="NewBaskerville" w:hAnsi="NewBaskerville"/>
          <w:sz w:val="20"/>
          <w:szCs w:val="20"/>
        </w:rPr>
        <w:t>,4</w:t>
      </w:r>
      <w:r w:rsidR="0073352A">
        <w:rPr>
          <w:rFonts w:ascii="NewBaskerville" w:hAnsi="NewBaskerville"/>
          <w:sz w:val="20"/>
          <w:szCs w:val="20"/>
        </w:rPr>
        <w:t>6</w:t>
      </w:r>
      <w:r w:rsidR="00F00EE6">
        <w:rPr>
          <w:rFonts w:ascii="NewBaskerville" w:hAnsi="NewBaskerville"/>
          <w:sz w:val="20"/>
          <w:szCs w:val="20"/>
        </w:rPr>
        <w:t xml:space="preserve"> </w:t>
      </w:r>
      <w:r w:rsidR="004070B0">
        <w:rPr>
          <w:rFonts w:ascii="NewBaskerville" w:hAnsi="NewBaskerville"/>
          <w:sz w:val="20"/>
          <w:szCs w:val="20"/>
        </w:rPr>
        <w:t xml:space="preserve">euros </w:t>
      </w:r>
      <w:r w:rsidR="00F00EE6">
        <w:rPr>
          <w:rFonts w:ascii="NewBaskerville" w:hAnsi="NewBaskerville"/>
          <w:sz w:val="20"/>
          <w:szCs w:val="20"/>
        </w:rPr>
        <w:t xml:space="preserve">para principales, </w:t>
      </w:r>
      <w:r w:rsidR="0073352A">
        <w:rPr>
          <w:rFonts w:ascii="NewBaskerville" w:hAnsi="NewBaskerville"/>
          <w:sz w:val="20"/>
          <w:szCs w:val="20"/>
        </w:rPr>
        <w:t>337.672,18</w:t>
      </w:r>
      <w:r w:rsidR="00F00EE6">
        <w:rPr>
          <w:rFonts w:ascii="NewBaskerville" w:hAnsi="NewBaskerville"/>
          <w:sz w:val="20"/>
          <w:szCs w:val="20"/>
        </w:rPr>
        <w:t xml:space="preserve"> </w:t>
      </w:r>
      <w:r w:rsidR="004070B0">
        <w:rPr>
          <w:rFonts w:ascii="NewBaskerville" w:hAnsi="NewBaskerville"/>
          <w:sz w:val="20"/>
          <w:szCs w:val="20"/>
        </w:rPr>
        <w:t>euros</w:t>
      </w:r>
      <w:r w:rsidR="0073352A">
        <w:rPr>
          <w:rFonts w:ascii="NewBaskerville" w:hAnsi="NewBaskerville"/>
          <w:sz w:val="20"/>
          <w:szCs w:val="20"/>
        </w:rPr>
        <w:t xml:space="preserve"> de intereses). E</w:t>
      </w:r>
      <w:r w:rsidR="00F00EE6">
        <w:rPr>
          <w:rFonts w:ascii="NewBaskerville" w:hAnsi="NewBaskerville"/>
          <w:sz w:val="20"/>
          <w:szCs w:val="20"/>
        </w:rPr>
        <w:t xml:space="preserve">n el ejercicio se ha actualizado financieramente la provisión en </w:t>
      </w:r>
      <w:r w:rsidR="0073352A">
        <w:rPr>
          <w:rFonts w:ascii="NewBaskerville" w:hAnsi="NewBaskerville"/>
          <w:sz w:val="20"/>
          <w:szCs w:val="20"/>
        </w:rPr>
        <w:t>1</w:t>
      </w:r>
      <w:r w:rsidR="00F00EE6">
        <w:rPr>
          <w:rFonts w:ascii="NewBaskerville" w:hAnsi="NewBaskerville"/>
          <w:sz w:val="20"/>
          <w:szCs w:val="20"/>
        </w:rPr>
        <w:t>.</w:t>
      </w:r>
      <w:r w:rsidR="0073352A">
        <w:rPr>
          <w:rFonts w:ascii="NewBaskerville" w:hAnsi="NewBaskerville"/>
          <w:sz w:val="20"/>
          <w:szCs w:val="20"/>
        </w:rPr>
        <w:t>135</w:t>
      </w:r>
      <w:r w:rsidR="00F00EE6">
        <w:rPr>
          <w:rFonts w:ascii="NewBaskerville" w:hAnsi="NewBaskerville"/>
          <w:sz w:val="20"/>
          <w:szCs w:val="20"/>
        </w:rPr>
        <w:t>,</w:t>
      </w:r>
      <w:r w:rsidR="001A55AC">
        <w:rPr>
          <w:rFonts w:ascii="NewBaskerville" w:hAnsi="NewBaskerville"/>
          <w:sz w:val="20"/>
          <w:szCs w:val="20"/>
        </w:rPr>
        <w:t>9</w:t>
      </w:r>
      <w:r w:rsidR="0073352A">
        <w:rPr>
          <w:rFonts w:ascii="NewBaskerville" w:hAnsi="NewBaskerville"/>
          <w:sz w:val="20"/>
          <w:szCs w:val="20"/>
        </w:rPr>
        <w:t>2</w:t>
      </w:r>
      <w:r w:rsidR="00F00EE6">
        <w:rPr>
          <w:rFonts w:ascii="NewBaskerville" w:hAnsi="NewBaskerville"/>
          <w:sz w:val="20"/>
          <w:szCs w:val="20"/>
        </w:rPr>
        <w:t xml:space="preserve"> </w:t>
      </w:r>
      <w:r w:rsidR="004070B0">
        <w:rPr>
          <w:rFonts w:ascii="NewBaskerville" w:hAnsi="NewBaskerville"/>
          <w:sz w:val="20"/>
          <w:szCs w:val="20"/>
        </w:rPr>
        <w:t>euros</w:t>
      </w:r>
      <w:r w:rsidR="0073352A">
        <w:rPr>
          <w:sz w:val="20"/>
          <w:szCs w:val="20"/>
        </w:rPr>
        <w:t xml:space="preserve">, </w:t>
      </w:r>
      <w:r w:rsidR="0073352A" w:rsidRPr="00F23AFA">
        <w:rPr>
          <w:rFonts w:ascii="NewBaskerville" w:hAnsi="NewBaskerville"/>
          <w:sz w:val="20"/>
          <w:szCs w:val="20"/>
        </w:rPr>
        <w:t>se ha traspasado a corto plazo a la cuenta de acreedores varios un importe de 116.259,86 euros, y se ha reconocido un exceso de provisión por un valor de 14.003,24 euros.</w:t>
      </w:r>
      <w:r w:rsidR="0073352A">
        <w:rPr>
          <w:sz w:val="20"/>
          <w:szCs w:val="20"/>
        </w:rPr>
        <w:t xml:space="preserve"> </w:t>
      </w:r>
    </w:p>
    <w:p w:rsidR="00AE63D4" w:rsidRPr="00CE3273" w:rsidRDefault="00AE63D4" w:rsidP="00CE3273">
      <w:pPr>
        <w:pStyle w:val="Sangra3detindependiente"/>
        <w:ind w:firstLine="567"/>
        <w:rPr>
          <w:rFonts w:ascii="NewBaskerville" w:hAnsi="NewBaskerville"/>
          <w:sz w:val="20"/>
          <w:szCs w:val="20"/>
        </w:rPr>
      </w:pPr>
    </w:p>
    <w:p w:rsidR="00AE63D4" w:rsidRPr="00526F8F" w:rsidRDefault="002C4355" w:rsidP="00CE3273">
      <w:pPr>
        <w:pStyle w:val="Sangra3detindependiente"/>
        <w:tabs>
          <w:tab w:val="clear" w:pos="5671"/>
          <w:tab w:val="clear" w:pos="7797"/>
          <w:tab w:val="right" w:pos="8364"/>
        </w:tabs>
        <w:ind w:firstLine="567"/>
        <w:rPr>
          <w:rFonts w:ascii="NewBaskerville" w:hAnsi="NewBaskerville"/>
          <w:sz w:val="20"/>
          <w:szCs w:val="20"/>
        </w:rPr>
      </w:pPr>
      <w:r w:rsidRPr="00CE3273">
        <w:rPr>
          <w:rFonts w:ascii="NewBaskerville" w:hAnsi="NewBaskerville"/>
          <w:sz w:val="20"/>
          <w:szCs w:val="20"/>
        </w:rPr>
        <w:t>En cuanto a las sentencias</w:t>
      </w:r>
      <w:r w:rsidR="004F501D" w:rsidRPr="00CE3273">
        <w:rPr>
          <w:rFonts w:ascii="NewBaskerville" w:hAnsi="NewBaskerville"/>
          <w:sz w:val="20"/>
          <w:szCs w:val="20"/>
        </w:rPr>
        <w:t xml:space="preserve"> firmes</w:t>
      </w:r>
      <w:r w:rsidRPr="00CE3273">
        <w:rPr>
          <w:rFonts w:ascii="NewBaskerville" w:hAnsi="NewBaskerville"/>
          <w:sz w:val="20"/>
          <w:szCs w:val="20"/>
        </w:rPr>
        <w:t>, dado que</w:t>
      </w:r>
      <w:r w:rsidR="004F501D" w:rsidRPr="00CE3273">
        <w:rPr>
          <w:rFonts w:ascii="NewBaskerville" w:hAnsi="NewBaskerville"/>
          <w:sz w:val="20"/>
          <w:szCs w:val="20"/>
        </w:rPr>
        <w:t xml:space="preserve"> </w:t>
      </w:r>
      <w:r w:rsidR="005A1C82" w:rsidRPr="00CE3273">
        <w:rPr>
          <w:rFonts w:ascii="NewBaskerville" w:hAnsi="NewBaskerville"/>
          <w:sz w:val="20"/>
          <w:szCs w:val="20"/>
        </w:rPr>
        <w:t xml:space="preserve">no es un pasivo indeterminado </w:t>
      </w:r>
      <w:r w:rsidRPr="00CE3273">
        <w:rPr>
          <w:rFonts w:ascii="NewBaskerville" w:hAnsi="NewBaskerville"/>
          <w:sz w:val="20"/>
          <w:szCs w:val="20"/>
        </w:rPr>
        <w:t xml:space="preserve">en cuánto al importe, </w:t>
      </w:r>
      <w:r w:rsidR="00594948" w:rsidRPr="00CE3273">
        <w:rPr>
          <w:rFonts w:ascii="NewBaskerville" w:hAnsi="NewBaskerville"/>
          <w:sz w:val="20"/>
          <w:szCs w:val="20"/>
        </w:rPr>
        <w:t>está</w:t>
      </w:r>
      <w:r w:rsidRPr="00CE3273">
        <w:rPr>
          <w:rFonts w:ascii="NewBaskerville" w:hAnsi="NewBaskerville"/>
          <w:sz w:val="20"/>
          <w:szCs w:val="20"/>
        </w:rPr>
        <w:t xml:space="preserve"> registrado en la cuenta “Acreedores varios” por el importe del princip</w:t>
      </w:r>
      <w:r w:rsidR="000652F5" w:rsidRPr="00CE3273">
        <w:rPr>
          <w:rFonts w:ascii="NewBaskerville" w:hAnsi="NewBaskerville"/>
          <w:sz w:val="20"/>
          <w:szCs w:val="20"/>
        </w:rPr>
        <w:t>al más los intereses de demora. El im</w:t>
      </w:r>
      <w:r w:rsidR="00CE53E8" w:rsidRPr="00CE3273">
        <w:rPr>
          <w:rFonts w:ascii="NewBaskerville" w:hAnsi="NewBaskerville"/>
          <w:sz w:val="20"/>
          <w:szCs w:val="20"/>
        </w:rPr>
        <w:t xml:space="preserve">porte de esta cuenta </w:t>
      </w:r>
      <w:r w:rsidR="009A5AA7" w:rsidRPr="00CE3273">
        <w:rPr>
          <w:rFonts w:ascii="NewBaskerville" w:hAnsi="NewBaskerville"/>
          <w:sz w:val="20"/>
          <w:szCs w:val="20"/>
        </w:rPr>
        <w:t>a 31/12/202</w:t>
      </w:r>
      <w:r w:rsidR="004A0D27">
        <w:rPr>
          <w:rFonts w:ascii="NewBaskerville" w:hAnsi="NewBaskerville"/>
          <w:sz w:val="20"/>
          <w:szCs w:val="20"/>
        </w:rPr>
        <w:t>4</w:t>
      </w:r>
      <w:r w:rsidR="000652F5" w:rsidRPr="00CE3273">
        <w:rPr>
          <w:rFonts w:ascii="NewBaskerville" w:hAnsi="NewBaskerville"/>
          <w:sz w:val="20"/>
          <w:szCs w:val="20"/>
        </w:rPr>
        <w:t xml:space="preserve"> es de </w:t>
      </w:r>
      <w:r w:rsidR="004A0D27">
        <w:rPr>
          <w:rFonts w:ascii="NewBaskerville" w:hAnsi="NewBaskerville"/>
          <w:sz w:val="20"/>
          <w:szCs w:val="20"/>
        </w:rPr>
        <w:t>268</w:t>
      </w:r>
      <w:r w:rsidR="009A5AA7" w:rsidRPr="00CE3273">
        <w:rPr>
          <w:rFonts w:ascii="NewBaskerville" w:hAnsi="NewBaskerville"/>
          <w:sz w:val="20"/>
          <w:szCs w:val="20"/>
        </w:rPr>
        <w:t>.</w:t>
      </w:r>
      <w:r w:rsidR="004A0D27">
        <w:rPr>
          <w:rFonts w:ascii="NewBaskerville" w:hAnsi="NewBaskerville"/>
          <w:sz w:val="20"/>
          <w:szCs w:val="20"/>
        </w:rPr>
        <w:t>999</w:t>
      </w:r>
      <w:r w:rsidR="009A5AA7" w:rsidRPr="00CE3273">
        <w:rPr>
          <w:rFonts w:ascii="NewBaskerville" w:hAnsi="NewBaskerville"/>
          <w:sz w:val="20"/>
          <w:szCs w:val="20"/>
        </w:rPr>
        <w:t>,</w:t>
      </w:r>
      <w:r w:rsidR="004A0D27">
        <w:rPr>
          <w:rFonts w:ascii="NewBaskerville" w:hAnsi="NewBaskerville"/>
          <w:sz w:val="20"/>
          <w:szCs w:val="20"/>
        </w:rPr>
        <w:t>74</w:t>
      </w:r>
      <w:r w:rsidR="000652F5" w:rsidRPr="00CE3273">
        <w:rPr>
          <w:rFonts w:ascii="NewBaskerville" w:hAnsi="NewBaskerville"/>
          <w:sz w:val="20"/>
          <w:szCs w:val="20"/>
        </w:rPr>
        <w:t xml:space="preserve"> </w:t>
      </w:r>
      <w:r w:rsidR="004070B0">
        <w:rPr>
          <w:rFonts w:ascii="NewBaskerville" w:hAnsi="NewBaskerville"/>
          <w:sz w:val="20"/>
          <w:szCs w:val="20"/>
        </w:rPr>
        <w:t>euros</w:t>
      </w:r>
      <w:r w:rsidR="000652F5" w:rsidRPr="00CE3273">
        <w:rPr>
          <w:rFonts w:ascii="NewBaskerville" w:hAnsi="NewBaskerville"/>
          <w:sz w:val="20"/>
          <w:szCs w:val="20"/>
        </w:rPr>
        <w:t xml:space="preserve"> (</w:t>
      </w:r>
      <w:r w:rsidR="004A0D27">
        <w:rPr>
          <w:rFonts w:ascii="NewBaskerville" w:hAnsi="NewBaskerville"/>
          <w:sz w:val="20"/>
          <w:szCs w:val="20"/>
        </w:rPr>
        <w:t>167</w:t>
      </w:r>
      <w:r w:rsidR="009A5AA7" w:rsidRPr="00CE3273">
        <w:rPr>
          <w:rFonts w:ascii="NewBaskerville" w:hAnsi="NewBaskerville"/>
          <w:sz w:val="20"/>
          <w:szCs w:val="20"/>
        </w:rPr>
        <w:t>.</w:t>
      </w:r>
      <w:r w:rsidR="004A0D27">
        <w:rPr>
          <w:rFonts w:ascii="NewBaskerville" w:hAnsi="NewBaskerville"/>
          <w:sz w:val="20"/>
          <w:szCs w:val="20"/>
        </w:rPr>
        <w:t>408</w:t>
      </w:r>
      <w:r w:rsidR="009A5AA7" w:rsidRPr="00CE3273">
        <w:rPr>
          <w:rFonts w:ascii="NewBaskerville" w:hAnsi="NewBaskerville"/>
          <w:sz w:val="20"/>
          <w:szCs w:val="20"/>
        </w:rPr>
        <w:t>,</w:t>
      </w:r>
      <w:r w:rsidR="004A0D27">
        <w:rPr>
          <w:rFonts w:ascii="NewBaskerville" w:hAnsi="NewBaskerville"/>
          <w:sz w:val="20"/>
          <w:szCs w:val="20"/>
        </w:rPr>
        <w:t>16</w:t>
      </w:r>
      <w:r w:rsidR="00EF3801">
        <w:rPr>
          <w:rFonts w:ascii="NewBaskerville" w:hAnsi="NewBaskerville"/>
          <w:sz w:val="20"/>
          <w:szCs w:val="20"/>
        </w:rPr>
        <w:t xml:space="preserve"> </w:t>
      </w:r>
      <w:r w:rsidR="004070B0">
        <w:rPr>
          <w:rFonts w:ascii="NewBaskerville" w:hAnsi="NewBaskerville"/>
          <w:sz w:val="20"/>
          <w:szCs w:val="20"/>
        </w:rPr>
        <w:t>euros</w:t>
      </w:r>
      <w:r w:rsidR="000652F5" w:rsidRPr="00CE3273">
        <w:rPr>
          <w:rFonts w:ascii="NewBaskerville" w:hAnsi="NewBaskerville"/>
          <w:sz w:val="20"/>
          <w:szCs w:val="20"/>
        </w:rPr>
        <w:t xml:space="preserve"> corresponden al </w:t>
      </w:r>
      <w:r w:rsidR="000652F5" w:rsidRPr="00CE3273">
        <w:rPr>
          <w:rFonts w:ascii="NewBaskerville" w:hAnsi="NewBaskerville"/>
          <w:sz w:val="20"/>
          <w:szCs w:val="20"/>
        </w:rPr>
        <w:lastRenderedPageBreak/>
        <w:t xml:space="preserve">principal y </w:t>
      </w:r>
      <w:r w:rsidR="004A0D27">
        <w:rPr>
          <w:rFonts w:ascii="NewBaskerville" w:hAnsi="NewBaskerville"/>
          <w:sz w:val="20"/>
          <w:szCs w:val="20"/>
        </w:rPr>
        <w:t>101.591</w:t>
      </w:r>
      <w:r w:rsidR="009A5AA7" w:rsidRPr="00CE3273">
        <w:rPr>
          <w:rFonts w:ascii="NewBaskerville" w:hAnsi="NewBaskerville"/>
          <w:sz w:val="20"/>
          <w:szCs w:val="20"/>
        </w:rPr>
        <w:t>,</w:t>
      </w:r>
      <w:r w:rsidR="004A0D27">
        <w:rPr>
          <w:rFonts w:ascii="NewBaskerville" w:hAnsi="NewBaskerville"/>
          <w:sz w:val="20"/>
          <w:szCs w:val="20"/>
        </w:rPr>
        <w:t>58</w:t>
      </w:r>
      <w:r w:rsidR="000652F5" w:rsidRPr="00CE3273">
        <w:rPr>
          <w:rFonts w:ascii="NewBaskerville" w:hAnsi="NewBaskerville"/>
          <w:sz w:val="20"/>
          <w:szCs w:val="20"/>
        </w:rPr>
        <w:t xml:space="preserve"> </w:t>
      </w:r>
      <w:r w:rsidR="004070B0">
        <w:rPr>
          <w:rFonts w:ascii="NewBaskerville" w:hAnsi="NewBaskerville"/>
          <w:sz w:val="20"/>
          <w:szCs w:val="20"/>
        </w:rPr>
        <w:t>euros</w:t>
      </w:r>
      <w:r w:rsidR="000652F5" w:rsidRPr="00CE3273">
        <w:rPr>
          <w:rFonts w:ascii="NewBaskerville" w:hAnsi="NewBaskerville"/>
          <w:sz w:val="20"/>
          <w:szCs w:val="20"/>
        </w:rPr>
        <w:t xml:space="preserve"> a intereses</w:t>
      </w:r>
      <w:r w:rsidR="00073A81" w:rsidRPr="00CE3273">
        <w:rPr>
          <w:rFonts w:ascii="NewBaskerville" w:hAnsi="NewBaskerville"/>
          <w:sz w:val="20"/>
          <w:szCs w:val="20"/>
        </w:rPr>
        <w:t>)</w:t>
      </w:r>
      <w:r w:rsidR="000652F5" w:rsidRPr="00CE3273">
        <w:rPr>
          <w:rFonts w:ascii="NewBaskerville" w:hAnsi="NewBaskerville"/>
          <w:sz w:val="20"/>
          <w:szCs w:val="20"/>
        </w:rPr>
        <w:t xml:space="preserve">. </w:t>
      </w:r>
      <w:r w:rsidR="00D72C3A" w:rsidRPr="00526F8F">
        <w:rPr>
          <w:rFonts w:ascii="NewBaskerville" w:hAnsi="NewBaskerville"/>
          <w:sz w:val="20"/>
          <w:szCs w:val="20"/>
        </w:rPr>
        <w:t>Se ha</w:t>
      </w:r>
      <w:r w:rsidR="00EF3801" w:rsidRPr="00526F8F">
        <w:rPr>
          <w:rFonts w:ascii="NewBaskerville" w:hAnsi="NewBaskerville"/>
          <w:sz w:val="20"/>
          <w:szCs w:val="20"/>
        </w:rPr>
        <w:t xml:space="preserve"> actualizado financieramente </w:t>
      </w:r>
      <w:r w:rsidR="004070B0" w:rsidRPr="00526F8F">
        <w:rPr>
          <w:rFonts w:ascii="NewBaskerville" w:hAnsi="NewBaskerville"/>
          <w:sz w:val="20"/>
          <w:szCs w:val="20"/>
        </w:rPr>
        <w:t xml:space="preserve">en </w:t>
      </w:r>
      <w:r w:rsidR="004A0D27" w:rsidRPr="00526F8F">
        <w:rPr>
          <w:rFonts w:ascii="NewBaskerville" w:hAnsi="NewBaskerville"/>
          <w:sz w:val="20"/>
          <w:szCs w:val="20"/>
        </w:rPr>
        <w:t>9</w:t>
      </w:r>
      <w:r w:rsidR="00EF3801" w:rsidRPr="00526F8F">
        <w:rPr>
          <w:rFonts w:ascii="NewBaskerville" w:hAnsi="NewBaskerville"/>
          <w:sz w:val="20"/>
          <w:szCs w:val="20"/>
        </w:rPr>
        <w:t>.</w:t>
      </w:r>
      <w:r w:rsidR="004A0D27" w:rsidRPr="00526F8F">
        <w:rPr>
          <w:rFonts w:ascii="NewBaskerville" w:hAnsi="NewBaskerville"/>
          <w:sz w:val="20"/>
          <w:szCs w:val="20"/>
        </w:rPr>
        <w:t>689</w:t>
      </w:r>
      <w:r w:rsidR="00EF3801" w:rsidRPr="00526F8F">
        <w:rPr>
          <w:rFonts w:ascii="NewBaskerville" w:hAnsi="NewBaskerville"/>
          <w:sz w:val="20"/>
          <w:szCs w:val="20"/>
        </w:rPr>
        <w:t>,</w:t>
      </w:r>
      <w:r w:rsidR="004A0D27" w:rsidRPr="00526F8F">
        <w:rPr>
          <w:rFonts w:ascii="NewBaskerville" w:hAnsi="NewBaskerville"/>
          <w:sz w:val="20"/>
          <w:szCs w:val="20"/>
        </w:rPr>
        <w:t>42</w:t>
      </w:r>
      <w:r w:rsidR="00EF3801" w:rsidRPr="00526F8F">
        <w:rPr>
          <w:rFonts w:ascii="NewBaskerville" w:hAnsi="NewBaskerville"/>
          <w:sz w:val="20"/>
          <w:szCs w:val="20"/>
        </w:rPr>
        <w:t xml:space="preserve"> </w:t>
      </w:r>
      <w:r w:rsidR="005A43D4" w:rsidRPr="00526F8F">
        <w:rPr>
          <w:rFonts w:ascii="NewBaskerville" w:hAnsi="NewBaskerville"/>
          <w:sz w:val="20"/>
          <w:szCs w:val="20"/>
        </w:rPr>
        <w:t>euros</w:t>
      </w:r>
      <w:r w:rsidR="004A0D27" w:rsidRPr="00526F8F">
        <w:rPr>
          <w:rFonts w:ascii="NewBaskerville" w:hAnsi="NewBaskerville"/>
          <w:sz w:val="20"/>
          <w:szCs w:val="20"/>
        </w:rPr>
        <w:t xml:space="preserve">, traspasándose de la provisión a largo plazo la cantidad de 116.259,86 euros, y aplicándose en el importe de 3.420,97 euros. </w:t>
      </w:r>
      <w:r w:rsidR="00EF3801" w:rsidRPr="00526F8F">
        <w:rPr>
          <w:rFonts w:ascii="NewBaskerville" w:hAnsi="NewBaskerville"/>
          <w:sz w:val="20"/>
          <w:szCs w:val="20"/>
        </w:rPr>
        <w:t xml:space="preserve">  </w:t>
      </w:r>
    </w:p>
    <w:p w:rsidR="0006790B" w:rsidRDefault="0006790B" w:rsidP="00514E88">
      <w:pPr>
        <w:pStyle w:val="Sangra3detindependiente"/>
        <w:tabs>
          <w:tab w:val="right" w:pos="8364"/>
        </w:tabs>
        <w:ind w:left="567" w:hanging="27"/>
        <w:rPr>
          <w:sz w:val="20"/>
          <w:szCs w:val="20"/>
          <w:lang w:val="es-ES"/>
        </w:rPr>
      </w:pPr>
    </w:p>
    <w:p w:rsidR="00514E88" w:rsidRPr="00335D25" w:rsidRDefault="00514E88" w:rsidP="00514E88">
      <w:pPr>
        <w:numPr>
          <w:ilvl w:val="0"/>
          <w:numId w:val="2"/>
        </w:numPr>
        <w:tabs>
          <w:tab w:val="right" w:pos="8364"/>
        </w:tabs>
        <w:rPr>
          <w:rFonts w:ascii="NewBaskerville" w:hAnsi="NewBaskerville"/>
          <w:bCs/>
          <w:u w:val="single"/>
        </w:rPr>
      </w:pPr>
      <w:r w:rsidRPr="00335D25">
        <w:rPr>
          <w:rFonts w:ascii="NewBaskerville" w:hAnsi="NewBaskerville"/>
          <w:bCs/>
          <w:u w:val="single"/>
          <w:lang w:val="es-ES"/>
        </w:rPr>
        <w:t>Demanda “UTE ATRAQUE GRANDES BUQUES”</w:t>
      </w:r>
    </w:p>
    <w:p w:rsidR="00F32685" w:rsidRPr="005C285D" w:rsidRDefault="00F32685" w:rsidP="00F32685">
      <w:pPr>
        <w:tabs>
          <w:tab w:val="right" w:pos="8364"/>
        </w:tabs>
        <w:ind w:left="720"/>
        <w:rPr>
          <w:bCs/>
          <w:u w:val="single"/>
        </w:rPr>
      </w:pPr>
    </w:p>
    <w:p w:rsidR="00514E88" w:rsidRDefault="00514E88" w:rsidP="00F00EE6">
      <w:pPr>
        <w:tabs>
          <w:tab w:val="right" w:pos="8364"/>
        </w:tabs>
        <w:ind w:firstLine="567"/>
        <w:jc w:val="both"/>
        <w:rPr>
          <w:rFonts w:ascii="NewBaskerville" w:hAnsi="NewBaskerville"/>
          <w:bCs/>
          <w:lang w:val="es-ES"/>
        </w:rPr>
      </w:pPr>
      <w:r w:rsidRPr="00F00EE6">
        <w:rPr>
          <w:rFonts w:ascii="NewBaskerville" w:hAnsi="NewBaskerville"/>
          <w:bCs/>
          <w:lang w:val="es-ES"/>
        </w:rPr>
        <w:t>Con fecha 9 de marzo</w:t>
      </w:r>
      <w:r w:rsidR="00F773C6">
        <w:rPr>
          <w:rFonts w:ascii="NewBaskerville" w:hAnsi="NewBaskerville"/>
          <w:bCs/>
          <w:lang w:val="es-ES"/>
        </w:rPr>
        <w:t xml:space="preserve"> de</w:t>
      </w:r>
      <w:r w:rsidRPr="00F00EE6">
        <w:rPr>
          <w:rFonts w:ascii="NewBaskerville" w:hAnsi="NewBaskerville"/>
          <w:bCs/>
          <w:lang w:val="es-ES"/>
        </w:rPr>
        <w:t xml:space="preserve"> 2018 se presentó demanda ante el Juzgado de Primera Instancia de Palma de Mallorca por la entidad COPCISA S.A Y CONSTRUCCIONES OLIVES S.L, UNION TEMPORAL DE </w:t>
      </w:r>
      <w:r w:rsidR="008155BC" w:rsidRPr="00F00EE6">
        <w:rPr>
          <w:rFonts w:ascii="NewBaskerville" w:hAnsi="NewBaskerville"/>
          <w:bCs/>
          <w:lang w:val="es-ES"/>
        </w:rPr>
        <w:t>EMPRESAS,</w:t>
      </w:r>
      <w:r w:rsidRPr="00F00EE6">
        <w:rPr>
          <w:rFonts w:ascii="NewBaskerville" w:hAnsi="NewBaskerville"/>
          <w:bCs/>
          <w:lang w:val="es-ES"/>
        </w:rPr>
        <w:t xml:space="preserve"> LEY 18/1982, de 26 de Mayo,  como consecuencia del incumplimiento </w:t>
      </w:r>
      <w:r w:rsidR="008155BC" w:rsidRPr="00F00EE6">
        <w:rPr>
          <w:rFonts w:ascii="NewBaskerville" w:hAnsi="NewBaskerville"/>
          <w:bCs/>
          <w:lang w:val="es-ES"/>
        </w:rPr>
        <w:t>contractual</w:t>
      </w:r>
      <w:r w:rsidRPr="00F00EE6">
        <w:rPr>
          <w:rFonts w:ascii="NewBaskerville" w:hAnsi="NewBaskerville"/>
          <w:bCs/>
          <w:lang w:val="es-ES"/>
        </w:rPr>
        <w:t xml:space="preserve"> de la A</w:t>
      </w:r>
      <w:r w:rsidR="00A861CC">
        <w:rPr>
          <w:rFonts w:ascii="NewBaskerville" w:hAnsi="NewBaskerville"/>
          <w:bCs/>
          <w:lang w:val="es-ES"/>
        </w:rPr>
        <w:t>utoridad</w:t>
      </w:r>
      <w:r w:rsidRPr="00F00EE6">
        <w:rPr>
          <w:rFonts w:ascii="NewBaskerville" w:hAnsi="NewBaskerville"/>
          <w:bCs/>
          <w:lang w:val="es-ES"/>
        </w:rPr>
        <w:t xml:space="preserve"> P</w:t>
      </w:r>
      <w:r w:rsidR="00A861CC">
        <w:rPr>
          <w:rFonts w:ascii="NewBaskerville" w:hAnsi="NewBaskerville"/>
          <w:bCs/>
          <w:lang w:val="es-ES"/>
        </w:rPr>
        <w:t>ortuaria</w:t>
      </w:r>
      <w:r w:rsidRPr="00F00EE6">
        <w:rPr>
          <w:rFonts w:ascii="NewBaskerville" w:hAnsi="NewBaskerville"/>
          <w:bCs/>
          <w:lang w:val="es-ES"/>
        </w:rPr>
        <w:t xml:space="preserve"> </w:t>
      </w:r>
      <w:r w:rsidR="00A861CC">
        <w:rPr>
          <w:rFonts w:ascii="NewBaskerville" w:hAnsi="NewBaskerville"/>
          <w:bCs/>
          <w:lang w:val="es-ES"/>
        </w:rPr>
        <w:t>de Baleares</w:t>
      </w:r>
      <w:r w:rsidRPr="00F00EE6">
        <w:rPr>
          <w:rFonts w:ascii="NewBaskerville" w:hAnsi="NewBaskerville"/>
          <w:bCs/>
          <w:lang w:val="es-ES"/>
        </w:rPr>
        <w:t xml:space="preserve"> relativo a la obligación de pago de los costes soportados </w:t>
      </w:r>
      <w:r w:rsidR="008155BC" w:rsidRPr="00F00EE6">
        <w:rPr>
          <w:rFonts w:ascii="NewBaskerville" w:hAnsi="NewBaskerville"/>
          <w:bCs/>
          <w:lang w:val="es-ES"/>
        </w:rPr>
        <w:t>por</w:t>
      </w:r>
      <w:r w:rsidRPr="00F00EE6">
        <w:rPr>
          <w:rFonts w:ascii="NewBaskerville" w:hAnsi="NewBaskerville"/>
          <w:bCs/>
          <w:lang w:val="es-ES"/>
        </w:rPr>
        <w:t xml:space="preserve"> la UTE para la ejecución de un contrato de obras.</w:t>
      </w:r>
    </w:p>
    <w:p w:rsidR="004A0D27" w:rsidRDefault="004A0D27" w:rsidP="00F00EE6">
      <w:pPr>
        <w:tabs>
          <w:tab w:val="right" w:pos="8364"/>
        </w:tabs>
        <w:ind w:firstLine="567"/>
        <w:jc w:val="both"/>
        <w:rPr>
          <w:rFonts w:ascii="NewBaskerville" w:hAnsi="NewBaskerville"/>
          <w:bCs/>
          <w:lang w:val="es-ES"/>
        </w:rPr>
      </w:pPr>
    </w:p>
    <w:p w:rsidR="004A0D27" w:rsidRDefault="00F773C6" w:rsidP="00F00EE6">
      <w:pPr>
        <w:tabs>
          <w:tab w:val="right" w:pos="8364"/>
        </w:tabs>
        <w:ind w:firstLine="567"/>
        <w:jc w:val="both"/>
        <w:rPr>
          <w:rFonts w:ascii="NewBaskerville" w:hAnsi="NewBaskerville"/>
          <w:bCs/>
          <w:lang w:val="es-ES"/>
        </w:rPr>
      </w:pPr>
      <w:r>
        <w:rPr>
          <w:rFonts w:ascii="NewBaskerville" w:hAnsi="NewBaskerville"/>
          <w:bCs/>
          <w:lang w:val="es-ES"/>
        </w:rPr>
        <w:t xml:space="preserve">En fecha 28 de enero de 2021 se dictó sentencia que fue objeto de apelación ante la Audiencia Provincial de Baleares, siendo resuelta </w:t>
      </w:r>
      <w:r w:rsidR="009F04CB">
        <w:rPr>
          <w:rFonts w:ascii="NewBaskerville" w:hAnsi="NewBaskerville"/>
          <w:bCs/>
          <w:lang w:val="es-ES"/>
        </w:rPr>
        <w:t>por ésta estimando, en parte, la demanda y condenando a la APB al pago total, principal e intereses.</w:t>
      </w:r>
    </w:p>
    <w:p w:rsidR="009F04CB" w:rsidRDefault="009F04CB" w:rsidP="00F00EE6">
      <w:pPr>
        <w:tabs>
          <w:tab w:val="right" w:pos="8364"/>
        </w:tabs>
        <w:ind w:firstLine="567"/>
        <w:jc w:val="both"/>
        <w:rPr>
          <w:rFonts w:ascii="NewBaskerville" w:hAnsi="NewBaskerville"/>
          <w:bCs/>
          <w:lang w:val="es-ES"/>
        </w:rPr>
      </w:pPr>
    </w:p>
    <w:p w:rsidR="009F04CB" w:rsidRDefault="009F04CB" w:rsidP="00F00EE6">
      <w:pPr>
        <w:tabs>
          <w:tab w:val="right" w:pos="8364"/>
        </w:tabs>
        <w:ind w:firstLine="567"/>
        <w:jc w:val="both"/>
        <w:rPr>
          <w:rFonts w:ascii="NewBaskerville" w:hAnsi="NewBaskerville"/>
          <w:bCs/>
          <w:lang w:val="es-ES"/>
        </w:rPr>
      </w:pPr>
      <w:r>
        <w:rPr>
          <w:rFonts w:ascii="NewBaskerville" w:hAnsi="NewBaskerville"/>
          <w:bCs/>
          <w:lang w:val="es-ES"/>
        </w:rPr>
        <w:t>En cumplimiento del fallo y solicitada la ejecución provisional por parte de la demandante, la APB consignó judicialmente el importe de 1.244.438,00 euros.</w:t>
      </w:r>
    </w:p>
    <w:p w:rsidR="009F04CB" w:rsidRDefault="009F04CB" w:rsidP="00F00EE6">
      <w:pPr>
        <w:tabs>
          <w:tab w:val="right" w:pos="8364"/>
        </w:tabs>
        <w:ind w:firstLine="567"/>
        <w:jc w:val="both"/>
        <w:rPr>
          <w:rFonts w:ascii="NewBaskerville" w:hAnsi="NewBaskerville"/>
          <w:bCs/>
          <w:lang w:val="es-ES"/>
        </w:rPr>
      </w:pPr>
    </w:p>
    <w:p w:rsidR="009F04CB" w:rsidRDefault="009F04CB" w:rsidP="00F00EE6">
      <w:pPr>
        <w:tabs>
          <w:tab w:val="right" w:pos="8364"/>
        </w:tabs>
        <w:ind w:firstLine="567"/>
        <w:jc w:val="both"/>
        <w:rPr>
          <w:rFonts w:ascii="NewBaskerville" w:hAnsi="NewBaskerville"/>
          <w:bCs/>
          <w:lang w:val="es-ES"/>
        </w:rPr>
      </w:pPr>
      <w:r>
        <w:rPr>
          <w:rFonts w:ascii="NewBaskerville" w:hAnsi="NewBaskerville"/>
          <w:bCs/>
          <w:lang w:val="es-ES"/>
        </w:rPr>
        <w:t>En fecha 17 de febrero de 2022 el Presidente de la APB acordó la interposición de recurso que procediese contra la sentencia de la Audiencia Provincial. Siendo inadmitido por el Tribunal Supremo en fecha 14 de febrero de 2024.</w:t>
      </w:r>
    </w:p>
    <w:p w:rsidR="008071C6" w:rsidRDefault="008071C6" w:rsidP="00F00EE6">
      <w:pPr>
        <w:tabs>
          <w:tab w:val="right" w:pos="8364"/>
        </w:tabs>
        <w:ind w:firstLine="567"/>
        <w:jc w:val="both"/>
        <w:rPr>
          <w:rFonts w:ascii="NewBaskerville" w:hAnsi="NewBaskerville"/>
          <w:bCs/>
          <w:lang w:val="es-ES"/>
        </w:rPr>
      </w:pPr>
    </w:p>
    <w:p w:rsidR="008071C6" w:rsidRPr="00F00EE6" w:rsidRDefault="008071C6" w:rsidP="00F00EE6">
      <w:pPr>
        <w:tabs>
          <w:tab w:val="right" w:pos="8364"/>
        </w:tabs>
        <w:ind w:firstLine="567"/>
        <w:jc w:val="both"/>
        <w:rPr>
          <w:rFonts w:ascii="NewBaskerville" w:hAnsi="NewBaskerville"/>
          <w:bCs/>
          <w:lang w:val="es-ES"/>
        </w:rPr>
      </w:pPr>
      <w:r>
        <w:rPr>
          <w:rFonts w:ascii="NewBaskerville" w:hAnsi="NewBaskerville"/>
          <w:bCs/>
          <w:lang w:val="es-ES"/>
        </w:rPr>
        <w:t xml:space="preserve">El Juzgado de Primera Instancia de Palma de Mallorca mediante Auto de fecha 24 de abril de 2024 desestimó la oposición a la liquidación de intereses procesales, consignándose judicialmente </w:t>
      </w:r>
      <w:r w:rsidR="002435FB">
        <w:rPr>
          <w:rFonts w:ascii="NewBaskerville" w:hAnsi="NewBaskerville"/>
          <w:bCs/>
          <w:lang w:val="es-ES"/>
        </w:rPr>
        <w:t>su</w:t>
      </w:r>
      <w:r>
        <w:rPr>
          <w:rFonts w:ascii="NewBaskerville" w:hAnsi="NewBaskerville"/>
          <w:bCs/>
          <w:lang w:val="es-ES"/>
        </w:rPr>
        <w:t xml:space="preserve"> ejecución provisional en el importe de 21.350,22 euros. </w:t>
      </w:r>
    </w:p>
    <w:p w:rsidR="00514E88" w:rsidRPr="00F00EE6" w:rsidRDefault="00514E88" w:rsidP="00F00EE6">
      <w:pPr>
        <w:tabs>
          <w:tab w:val="right" w:pos="8364"/>
        </w:tabs>
        <w:ind w:firstLine="567"/>
        <w:jc w:val="both"/>
        <w:rPr>
          <w:rFonts w:ascii="NewBaskerville" w:hAnsi="NewBaskerville"/>
          <w:bCs/>
          <w:lang w:val="es-ES"/>
        </w:rPr>
      </w:pPr>
    </w:p>
    <w:p w:rsidR="002435FB" w:rsidRDefault="00514E88" w:rsidP="004070B0">
      <w:pPr>
        <w:tabs>
          <w:tab w:val="right" w:pos="8364"/>
        </w:tabs>
        <w:ind w:firstLine="567"/>
        <w:jc w:val="both"/>
        <w:rPr>
          <w:bCs/>
          <w:lang w:val="es-ES"/>
        </w:rPr>
      </w:pPr>
      <w:r w:rsidRPr="00F00EE6">
        <w:rPr>
          <w:rFonts w:ascii="NewBaskerville" w:hAnsi="NewBaskerville"/>
          <w:bCs/>
          <w:lang w:val="es-ES"/>
        </w:rPr>
        <w:t xml:space="preserve">La </w:t>
      </w:r>
      <w:r w:rsidR="002A504D">
        <w:rPr>
          <w:rFonts w:ascii="NewBaskerville" w:hAnsi="NewBaskerville"/>
          <w:bCs/>
          <w:lang w:val="es-ES"/>
        </w:rPr>
        <w:t>E</w:t>
      </w:r>
      <w:r w:rsidRPr="00F00EE6">
        <w:rPr>
          <w:rFonts w:ascii="NewBaskerville" w:hAnsi="NewBaskerville"/>
          <w:bCs/>
          <w:lang w:val="es-ES"/>
        </w:rPr>
        <w:t xml:space="preserve">ntidad </w:t>
      </w:r>
      <w:r w:rsidR="002435FB">
        <w:rPr>
          <w:rFonts w:ascii="NewBaskerville" w:hAnsi="NewBaskerville"/>
          <w:bCs/>
          <w:lang w:val="es-ES"/>
        </w:rPr>
        <w:t>que no estaba</w:t>
      </w:r>
      <w:r w:rsidRPr="00F00EE6">
        <w:rPr>
          <w:rFonts w:ascii="NewBaskerville" w:hAnsi="NewBaskerville"/>
          <w:bCs/>
          <w:lang w:val="es-ES"/>
        </w:rPr>
        <w:t xml:space="preserve"> de acuerdo con el importe de la totalidad de la indemnización </w:t>
      </w:r>
      <w:r w:rsidR="004070B0">
        <w:rPr>
          <w:rFonts w:ascii="NewBaskerville" w:hAnsi="NewBaskerville"/>
          <w:bCs/>
          <w:lang w:val="es-ES"/>
        </w:rPr>
        <w:t xml:space="preserve">reclamada dotó una provisión en el ejercicio 2018 y 2021 que a </w:t>
      </w:r>
      <w:r w:rsidR="009F04CB">
        <w:rPr>
          <w:rFonts w:ascii="NewBaskerville" w:hAnsi="NewBaskerville"/>
          <w:bCs/>
          <w:lang w:val="es-ES"/>
        </w:rPr>
        <w:t>01</w:t>
      </w:r>
      <w:r w:rsidR="004070B0">
        <w:rPr>
          <w:rFonts w:ascii="NewBaskerville" w:hAnsi="NewBaskerville"/>
          <w:bCs/>
          <w:lang w:val="es-ES"/>
        </w:rPr>
        <w:t>/</w:t>
      </w:r>
      <w:r w:rsidR="009F04CB">
        <w:rPr>
          <w:rFonts w:ascii="NewBaskerville" w:hAnsi="NewBaskerville"/>
          <w:bCs/>
          <w:lang w:val="es-ES"/>
        </w:rPr>
        <w:t>01</w:t>
      </w:r>
      <w:r w:rsidR="004070B0">
        <w:rPr>
          <w:rFonts w:ascii="NewBaskerville" w:hAnsi="NewBaskerville"/>
          <w:bCs/>
          <w:lang w:val="es-ES"/>
        </w:rPr>
        <w:t>/202</w:t>
      </w:r>
      <w:r w:rsidR="009F04CB">
        <w:rPr>
          <w:rFonts w:ascii="NewBaskerville" w:hAnsi="NewBaskerville"/>
          <w:bCs/>
          <w:lang w:val="es-ES"/>
        </w:rPr>
        <w:t>4</w:t>
      </w:r>
      <w:r w:rsidR="004070B0">
        <w:rPr>
          <w:rFonts w:ascii="NewBaskerville" w:hAnsi="NewBaskerville"/>
          <w:bCs/>
          <w:lang w:val="es-ES"/>
        </w:rPr>
        <w:t xml:space="preserve"> </w:t>
      </w:r>
      <w:r w:rsidR="00416638">
        <w:rPr>
          <w:rFonts w:ascii="NewBaskerville" w:hAnsi="NewBaskerville"/>
          <w:bCs/>
          <w:lang w:val="es-ES"/>
        </w:rPr>
        <w:t>ascendía</w:t>
      </w:r>
      <w:r w:rsidR="009F04CB">
        <w:rPr>
          <w:rFonts w:ascii="NewBaskerville" w:hAnsi="NewBaskerville"/>
          <w:bCs/>
          <w:lang w:val="es-ES"/>
        </w:rPr>
        <w:t xml:space="preserve"> </w:t>
      </w:r>
      <w:r w:rsidR="004070B0">
        <w:rPr>
          <w:rFonts w:ascii="NewBaskerville" w:hAnsi="NewBaskerville"/>
          <w:bCs/>
          <w:lang w:val="es-ES"/>
        </w:rPr>
        <w:t>a 1.</w:t>
      </w:r>
      <w:r w:rsidR="00D72C3A">
        <w:rPr>
          <w:rFonts w:ascii="NewBaskerville" w:hAnsi="NewBaskerville"/>
          <w:bCs/>
          <w:lang w:val="es-ES"/>
        </w:rPr>
        <w:t>257</w:t>
      </w:r>
      <w:r w:rsidR="004070B0">
        <w:rPr>
          <w:rFonts w:ascii="NewBaskerville" w:hAnsi="NewBaskerville"/>
          <w:bCs/>
          <w:lang w:val="es-ES"/>
        </w:rPr>
        <w:t>.</w:t>
      </w:r>
      <w:r w:rsidR="00D72C3A">
        <w:rPr>
          <w:rFonts w:ascii="NewBaskerville" w:hAnsi="NewBaskerville"/>
          <w:bCs/>
          <w:lang w:val="es-ES"/>
        </w:rPr>
        <w:t>597</w:t>
      </w:r>
      <w:r w:rsidR="004070B0">
        <w:rPr>
          <w:rFonts w:ascii="NewBaskerville" w:hAnsi="NewBaskerville"/>
          <w:bCs/>
          <w:lang w:val="es-ES"/>
        </w:rPr>
        <w:t>,</w:t>
      </w:r>
      <w:r w:rsidR="00D72C3A">
        <w:rPr>
          <w:rFonts w:ascii="NewBaskerville" w:hAnsi="NewBaskerville"/>
          <w:bCs/>
          <w:lang w:val="es-ES"/>
        </w:rPr>
        <w:t>8</w:t>
      </w:r>
      <w:r w:rsidR="008071C6">
        <w:rPr>
          <w:rFonts w:ascii="NewBaskerville" w:hAnsi="NewBaskerville"/>
          <w:bCs/>
          <w:lang w:val="es-ES"/>
        </w:rPr>
        <w:t>1</w:t>
      </w:r>
      <w:r w:rsidR="004070B0">
        <w:rPr>
          <w:rFonts w:ascii="NewBaskerville" w:hAnsi="NewBaskerville"/>
          <w:bCs/>
          <w:lang w:val="es-ES"/>
        </w:rPr>
        <w:t xml:space="preserve"> </w:t>
      </w:r>
      <w:r w:rsidR="005A43D4">
        <w:rPr>
          <w:rFonts w:ascii="NewBaskerville" w:hAnsi="NewBaskerville"/>
          <w:bCs/>
          <w:lang w:val="es-ES"/>
        </w:rPr>
        <w:t>euros</w:t>
      </w:r>
      <w:r w:rsidR="004070B0">
        <w:rPr>
          <w:rFonts w:ascii="NewBaskerville" w:hAnsi="NewBaskerville"/>
          <w:bCs/>
          <w:lang w:val="es-ES"/>
        </w:rPr>
        <w:t>, en el ejercicio 202</w:t>
      </w:r>
      <w:r w:rsidR="00F725F3">
        <w:rPr>
          <w:rFonts w:ascii="NewBaskerville" w:hAnsi="NewBaskerville"/>
          <w:bCs/>
          <w:lang w:val="es-ES"/>
        </w:rPr>
        <w:t>4</w:t>
      </w:r>
      <w:r w:rsidR="004070B0">
        <w:rPr>
          <w:rFonts w:ascii="NewBaskerville" w:hAnsi="NewBaskerville"/>
          <w:bCs/>
          <w:lang w:val="es-ES"/>
        </w:rPr>
        <w:t xml:space="preserve"> se ha actualizado financieramente en </w:t>
      </w:r>
      <w:r w:rsidR="008071C6">
        <w:rPr>
          <w:rFonts w:ascii="NewBaskerville" w:hAnsi="NewBaskerville"/>
          <w:bCs/>
          <w:lang w:val="es-ES"/>
        </w:rPr>
        <w:t>8.190,41</w:t>
      </w:r>
      <w:r w:rsidR="004070B0">
        <w:rPr>
          <w:rFonts w:ascii="NewBaskerville" w:hAnsi="NewBaskerville"/>
          <w:bCs/>
          <w:lang w:val="es-ES"/>
        </w:rPr>
        <w:t xml:space="preserve"> </w:t>
      </w:r>
      <w:r w:rsidR="005A43D4">
        <w:rPr>
          <w:rFonts w:ascii="NewBaskerville" w:hAnsi="NewBaskerville"/>
          <w:bCs/>
          <w:lang w:val="es-ES"/>
        </w:rPr>
        <w:t>euros</w:t>
      </w:r>
      <w:r w:rsidR="002435FB">
        <w:rPr>
          <w:bCs/>
          <w:lang w:val="es-ES"/>
        </w:rPr>
        <w:t>.</w:t>
      </w:r>
    </w:p>
    <w:p w:rsidR="002435FB" w:rsidRDefault="002435FB" w:rsidP="004070B0">
      <w:pPr>
        <w:tabs>
          <w:tab w:val="right" w:pos="8364"/>
        </w:tabs>
        <w:ind w:firstLine="567"/>
        <w:jc w:val="both"/>
        <w:rPr>
          <w:bCs/>
          <w:lang w:val="es-ES"/>
        </w:rPr>
      </w:pPr>
    </w:p>
    <w:p w:rsidR="002435FB" w:rsidRDefault="002435FB" w:rsidP="004070B0">
      <w:pPr>
        <w:tabs>
          <w:tab w:val="right" w:pos="8364"/>
        </w:tabs>
        <w:ind w:firstLine="567"/>
        <w:jc w:val="both"/>
        <w:rPr>
          <w:bCs/>
          <w:lang w:val="es-ES"/>
        </w:rPr>
      </w:pPr>
      <w:r>
        <w:rPr>
          <w:bCs/>
          <w:lang w:val="es-ES"/>
        </w:rPr>
        <w:t xml:space="preserve"> </w:t>
      </w:r>
      <w:r>
        <w:rPr>
          <w:rFonts w:ascii="NewBaskerville" w:hAnsi="NewBaskerville"/>
          <w:bCs/>
          <w:lang w:val="es-ES"/>
        </w:rPr>
        <w:t>En el ejercicio 2024 se ha aplicado la totalidad de la provisión al adquirir firmeza los fallos y disposici</w:t>
      </w:r>
      <w:r w:rsidR="00416638">
        <w:rPr>
          <w:rFonts w:ascii="NewBaskerville" w:hAnsi="NewBaskerville"/>
          <w:bCs/>
          <w:lang w:val="es-ES"/>
        </w:rPr>
        <w:t>on</w:t>
      </w:r>
      <w:r>
        <w:rPr>
          <w:rFonts w:ascii="NewBaskerville" w:hAnsi="NewBaskerville"/>
          <w:bCs/>
          <w:lang w:val="es-ES"/>
        </w:rPr>
        <w:t>es judiciales, y se ha reconocido la cancelación y pérdida de las consignaciones judiciales.</w:t>
      </w:r>
    </w:p>
    <w:p w:rsidR="00475B03" w:rsidRDefault="00475B03" w:rsidP="00514E88">
      <w:pPr>
        <w:tabs>
          <w:tab w:val="right" w:pos="8364"/>
        </w:tabs>
        <w:ind w:left="567"/>
        <w:jc w:val="both"/>
        <w:rPr>
          <w:bCs/>
          <w:lang w:val="es-ES"/>
        </w:rPr>
      </w:pPr>
    </w:p>
    <w:p w:rsidR="00514E88" w:rsidRPr="005A43D4" w:rsidRDefault="008155BC" w:rsidP="00514E88">
      <w:pPr>
        <w:numPr>
          <w:ilvl w:val="0"/>
          <w:numId w:val="2"/>
        </w:numPr>
        <w:tabs>
          <w:tab w:val="right" w:pos="8364"/>
        </w:tabs>
        <w:jc w:val="both"/>
        <w:rPr>
          <w:rFonts w:ascii="NewBaskerville" w:hAnsi="NewBaskerville"/>
          <w:bCs/>
          <w:u w:val="single"/>
        </w:rPr>
      </w:pPr>
      <w:r w:rsidRPr="005A43D4">
        <w:rPr>
          <w:rFonts w:ascii="NewBaskerville" w:hAnsi="NewBaskerville"/>
          <w:bCs/>
          <w:u w:val="single"/>
          <w:lang w:val="es-ES"/>
        </w:rPr>
        <w:t>Indemnización</w:t>
      </w:r>
      <w:r w:rsidR="00514E88" w:rsidRPr="005A43D4">
        <w:rPr>
          <w:rFonts w:ascii="NewBaskerville" w:hAnsi="NewBaskerville"/>
          <w:bCs/>
          <w:u w:val="single"/>
          <w:lang w:val="es-ES"/>
        </w:rPr>
        <w:t xml:space="preserve"> procedimientos administrativo  EM-720</w:t>
      </w:r>
    </w:p>
    <w:p w:rsidR="00536F43" w:rsidRPr="005C285D" w:rsidRDefault="00536F43" w:rsidP="00536F43">
      <w:pPr>
        <w:tabs>
          <w:tab w:val="right" w:pos="8364"/>
        </w:tabs>
        <w:ind w:left="360"/>
        <w:jc w:val="both"/>
        <w:rPr>
          <w:bCs/>
          <w:u w:val="single"/>
        </w:rPr>
      </w:pPr>
    </w:p>
    <w:p w:rsidR="00514E88" w:rsidRDefault="00514E88" w:rsidP="005A43D4">
      <w:pPr>
        <w:tabs>
          <w:tab w:val="right" w:pos="8364"/>
        </w:tabs>
        <w:ind w:firstLine="567"/>
        <w:jc w:val="both"/>
        <w:rPr>
          <w:rFonts w:ascii="NewBaskerville" w:hAnsi="NewBaskerville"/>
          <w:bCs/>
        </w:rPr>
      </w:pPr>
      <w:r w:rsidRPr="005A43D4">
        <w:rPr>
          <w:rFonts w:ascii="NewBaskerville" w:hAnsi="NewBaskerville"/>
          <w:bCs/>
        </w:rPr>
        <w:t>En fecha</w:t>
      </w:r>
      <w:r w:rsidR="00634FB6" w:rsidRPr="005A43D4">
        <w:rPr>
          <w:rFonts w:ascii="NewBaskerville" w:hAnsi="NewBaskerville"/>
          <w:bCs/>
        </w:rPr>
        <w:t xml:space="preserve"> 31 de marzo de 2017 el Tribuna</w:t>
      </w:r>
      <w:r w:rsidRPr="005A43D4">
        <w:rPr>
          <w:rFonts w:ascii="NewBaskerville" w:hAnsi="NewBaskerville"/>
          <w:bCs/>
        </w:rPr>
        <w:t>l Superior de Just</w:t>
      </w:r>
      <w:r w:rsidR="0019446E" w:rsidRPr="005A43D4">
        <w:rPr>
          <w:rFonts w:ascii="NewBaskerville" w:hAnsi="NewBaskerville"/>
          <w:bCs/>
        </w:rPr>
        <w:t>icia de les Illes Balears, anuló</w:t>
      </w:r>
      <w:r w:rsidRPr="005A43D4">
        <w:rPr>
          <w:rFonts w:ascii="NewBaskerville" w:hAnsi="NewBaskerville"/>
          <w:bCs/>
        </w:rPr>
        <w:t xml:space="preserve"> la </w:t>
      </w:r>
      <w:r w:rsidR="008155BC" w:rsidRPr="005A43D4">
        <w:rPr>
          <w:rFonts w:ascii="NewBaskerville" w:hAnsi="NewBaskerville"/>
          <w:bCs/>
        </w:rPr>
        <w:t>Resolución</w:t>
      </w:r>
      <w:r w:rsidRPr="005A43D4">
        <w:rPr>
          <w:rFonts w:ascii="NewBaskerville" w:hAnsi="NewBaskerville"/>
          <w:bCs/>
        </w:rPr>
        <w:t xml:space="preserve"> de 22 de enero de 2015 del Consejo de </w:t>
      </w:r>
      <w:r w:rsidR="008155BC" w:rsidRPr="005A43D4">
        <w:rPr>
          <w:rFonts w:ascii="NewBaskerville" w:hAnsi="NewBaskerville"/>
          <w:bCs/>
        </w:rPr>
        <w:t>Administración</w:t>
      </w:r>
      <w:r w:rsidRPr="005A43D4">
        <w:rPr>
          <w:rFonts w:ascii="NewBaskerville" w:hAnsi="NewBaskerville"/>
          <w:bCs/>
        </w:rPr>
        <w:t xml:space="preserve"> de la AP</w:t>
      </w:r>
      <w:r w:rsidR="00F36DF9">
        <w:rPr>
          <w:rFonts w:ascii="NewBaskerville" w:hAnsi="NewBaskerville"/>
          <w:bCs/>
        </w:rPr>
        <w:t>B</w:t>
      </w:r>
      <w:r w:rsidRPr="005A43D4">
        <w:rPr>
          <w:rFonts w:ascii="NewBaskerville" w:hAnsi="NewBaskerville"/>
          <w:bCs/>
        </w:rPr>
        <w:t xml:space="preserve"> por l</w:t>
      </w:r>
      <w:r w:rsidR="00812E0C">
        <w:rPr>
          <w:rFonts w:ascii="NewBaskerville" w:hAnsi="NewBaskerville"/>
          <w:bCs/>
        </w:rPr>
        <w:t>a</w:t>
      </w:r>
      <w:r w:rsidRPr="005A43D4">
        <w:rPr>
          <w:rFonts w:ascii="NewBaskerville" w:hAnsi="NewBaskerville"/>
          <w:bCs/>
        </w:rPr>
        <w:t xml:space="preserve"> que se aprobaron los pliegos del concurso </w:t>
      </w:r>
      <w:r w:rsidR="008155BC" w:rsidRPr="005A43D4">
        <w:rPr>
          <w:rFonts w:ascii="NewBaskerville" w:hAnsi="NewBaskerville"/>
          <w:bCs/>
        </w:rPr>
        <w:t>público</w:t>
      </w:r>
      <w:r w:rsidRPr="005A43D4">
        <w:rPr>
          <w:rFonts w:ascii="NewBaskerville" w:hAnsi="NewBaskerville"/>
          <w:bCs/>
        </w:rPr>
        <w:t xml:space="preserve"> para el otorgamiento de la concesión </w:t>
      </w:r>
      <w:r w:rsidR="00DC264F" w:rsidRPr="005A43D4">
        <w:rPr>
          <w:rFonts w:ascii="NewBaskerville" w:hAnsi="NewBaskerville"/>
          <w:bCs/>
        </w:rPr>
        <w:t xml:space="preserve">de </w:t>
      </w:r>
      <w:r w:rsidRPr="005A43D4">
        <w:rPr>
          <w:rFonts w:ascii="NewBaskerville" w:hAnsi="NewBaskerville"/>
          <w:bCs/>
        </w:rPr>
        <w:t xml:space="preserve">la gestión de los puestos de amarre en la </w:t>
      </w:r>
      <w:r w:rsidR="008155BC" w:rsidRPr="005A43D4">
        <w:rPr>
          <w:rFonts w:ascii="NewBaskerville" w:hAnsi="NewBaskerville"/>
          <w:bCs/>
        </w:rPr>
        <w:t>Dársena</w:t>
      </w:r>
      <w:r w:rsidRPr="005A43D4">
        <w:rPr>
          <w:rFonts w:ascii="NewBaskerville" w:hAnsi="NewBaskerville"/>
          <w:bCs/>
        </w:rPr>
        <w:t xml:space="preserve"> del antiguo </w:t>
      </w:r>
      <w:r w:rsidR="008155BC" w:rsidRPr="005A43D4">
        <w:rPr>
          <w:rFonts w:ascii="NewBaskerville" w:hAnsi="NewBaskerville"/>
          <w:bCs/>
        </w:rPr>
        <w:t>Polígono</w:t>
      </w:r>
      <w:r w:rsidRPr="005A43D4">
        <w:rPr>
          <w:rFonts w:ascii="NewBaskerville" w:hAnsi="NewBaskerville"/>
          <w:bCs/>
        </w:rPr>
        <w:t xml:space="preserve"> Naval, en el Puerto de Alc</w:t>
      </w:r>
      <w:r w:rsidR="00A861CC">
        <w:rPr>
          <w:rFonts w:ascii="NewBaskerville" w:hAnsi="NewBaskerville"/>
          <w:bCs/>
        </w:rPr>
        <w:t>ú</w:t>
      </w:r>
      <w:r w:rsidRPr="005A43D4">
        <w:rPr>
          <w:rFonts w:ascii="NewBaskerville" w:hAnsi="NewBaskerville"/>
          <w:bCs/>
        </w:rPr>
        <w:t xml:space="preserve">dia (EM-720), por lo que la entidad </w:t>
      </w:r>
      <w:r w:rsidR="00F36DF9">
        <w:rPr>
          <w:rFonts w:ascii="NewBaskerville" w:hAnsi="NewBaskerville"/>
          <w:bCs/>
        </w:rPr>
        <w:t xml:space="preserve">estimó </w:t>
      </w:r>
      <w:r w:rsidRPr="005A43D4">
        <w:rPr>
          <w:rFonts w:ascii="NewBaskerville" w:hAnsi="NewBaskerville"/>
          <w:bCs/>
        </w:rPr>
        <w:t>do</w:t>
      </w:r>
      <w:r w:rsidR="00F36DF9">
        <w:rPr>
          <w:rFonts w:ascii="NewBaskerville" w:hAnsi="NewBaskerville"/>
          <w:bCs/>
        </w:rPr>
        <w:t>tar una provisión 2018</w:t>
      </w:r>
      <w:r w:rsidRPr="005A43D4">
        <w:rPr>
          <w:rFonts w:ascii="NewBaskerville" w:hAnsi="NewBaskerville"/>
          <w:bCs/>
        </w:rPr>
        <w:t xml:space="preserve"> </w:t>
      </w:r>
      <w:r w:rsidR="00F36DF9">
        <w:rPr>
          <w:rFonts w:ascii="NewBaskerville" w:hAnsi="NewBaskerville"/>
          <w:bCs/>
        </w:rPr>
        <w:t>por el posible importe de la</w:t>
      </w:r>
      <w:r w:rsidRPr="005A43D4">
        <w:rPr>
          <w:rFonts w:ascii="NewBaskerville" w:hAnsi="NewBaskerville"/>
          <w:bCs/>
        </w:rPr>
        <w:t xml:space="preserve"> indemnización</w:t>
      </w:r>
      <w:r w:rsidR="00F36DF9">
        <w:rPr>
          <w:rFonts w:ascii="NewBaskerville" w:hAnsi="NewBaskerville"/>
          <w:bCs/>
        </w:rPr>
        <w:t>. A fecha de 31/12/202</w:t>
      </w:r>
      <w:r w:rsidR="002435FB">
        <w:rPr>
          <w:rFonts w:ascii="NewBaskerville" w:hAnsi="NewBaskerville"/>
          <w:bCs/>
        </w:rPr>
        <w:t>4</w:t>
      </w:r>
      <w:r w:rsidR="00F36DF9">
        <w:rPr>
          <w:rFonts w:ascii="NewBaskerville" w:hAnsi="NewBaskerville"/>
          <w:bCs/>
        </w:rPr>
        <w:t xml:space="preserve"> dicha provisión asciende a 8</w:t>
      </w:r>
      <w:r w:rsidR="002435FB">
        <w:rPr>
          <w:rFonts w:ascii="NewBaskerville" w:hAnsi="NewBaskerville"/>
          <w:bCs/>
        </w:rPr>
        <w:t>88</w:t>
      </w:r>
      <w:r w:rsidR="00F36DF9">
        <w:rPr>
          <w:rFonts w:ascii="NewBaskerville" w:hAnsi="NewBaskerville"/>
          <w:bCs/>
        </w:rPr>
        <w:t>.</w:t>
      </w:r>
      <w:r w:rsidR="002435FB">
        <w:rPr>
          <w:rFonts w:ascii="NewBaskerville" w:hAnsi="NewBaskerville"/>
          <w:bCs/>
        </w:rPr>
        <w:t>750</w:t>
      </w:r>
      <w:r w:rsidR="00F36DF9">
        <w:rPr>
          <w:rFonts w:ascii="NewBaskerville" w:hAnsi="NewBaskerville"/>
          <w:bCs/>
        </w:rPr>
        <w:t>,00 euros, en el ejercicio 202</w:t>
      </w:r>
      <w:r w:rsidR="002435FB">
        <w:rPr>
          <w:rFonts w:ascii="NewBaskerville" w:hAnsi="NewBaskerville"/>
          <w:bCs/>
        </w:rPr>
        <w:t>4</w:t>
      </w:r>
      <w:r w:rsidR="00F36DF9">
        <w:rPr>
          <w:rFonts w:ascii="NewBaskerville" w:hAnsi="NewBaskerville"/>
          <w:bCs/>
        </w:rPr>
        <w:t xml:space="preserve"> se ha actualizado financieramente en 2</w:t>
      </w:r>
      <w:r w:rsidR="002D6449">
        <w:rPr>
          <w:rFonts w:ascii="NewBaskerville" w:hAnsi="NewBaskerville"/>
          <w:bCs/>
        </w:rPr>
        <w:t>4</w:t>
      </w:r>
      <w:r w:rsidR="00F36DF9">
        <w:rPr>
          <w:rFonts w:ascii="NewBaskerville" w:hAnsi="NewBaskerville"/>
          <w:bCs/>
        </w:rPr>
        <w:t>.</w:t>
      </w:r>
      <w:r w:rsidR="002D6449">
        <w:rPr>
          <w:rFonts w:ascii="NewBaskerville" w:hAnsi="NewBaskerville"/>
          <w:bCs/>
        </w:rPr>
        <w:t>375</w:t>
      </w:r>
      <w:r w:rsidR="00F36DF9">
        <w:rPr>
          <w:rFonts w:ascii="NewBaskerville" w:hAnsi="NewBaskerville"/>
          <w:bCs/>
        </w:rPr>
        <w:t>,00 euros.</w:t>
      </w:r>
    </w:p>
    <w:p w:rsidR="00521595" w:rsidRDefault="00521595" w:rsidP="005A43D4">
      <w:pPr>
        <w:tabs>
          <w:tab w:val="right" w:pos="8364"/>
        </w:tabs>
        <w:ind w:firstLine="567"/>
        <w:jc w:val="both"/>
        <w:rPr>
          <w:rFonts w:ascii="NewBaskerville" w:hAnsi="NewBaskerville"/>
          <w:bCs/>
        </w:rPr>
      </w:pPr>
    </w:p>
    <w:p w:rsidR="00521595" w:rsidRPr="00521595" w:rsidRDefault="00521595" w:rsidP="00521595">
      <w:pPr>
        <w:numPr>
          <w:ilvl w:val="0"/>
          <w:numId w:val="2"/>
        </w:numPr>
        <w:tabs>
          <w:tab w:val="right" w:pos="8364"/>
        </w:tabs>
        <w:jc w:val="both"/>
        <w:rPr>
          <w:rFonts w:ascii="NewBaskerville" w:hAnsi="NewBaskerville"/>
          <w:bCs/>
          <w:u w:val="single"/>
        </w:rPr>
      </w:pPr>
      <w:r>
        <w:rPr>
          <w:rFonts w:ascii="NewBaskerville" w:hAnsi="NewBaskerville"/>
          <w:bCs/>
          <w:u w:val="single"/>
          <w:lang w:val="es-ES"/>
        </w:rPr>
        <w:t>Reclamación “SERVEIS MARÍTIMS PORT D’EIVISSA”</w:t>
      </w:r>
    </w:p>
    <w:p w:rsidR="00521595" w:rsidRDefault="00521595" w:rsidP="00521595">
      <w:pPr>
        <w:tabs>
          <w:tab w:val="right" w:pos="8364"/>
        </w:tabs>
        <w:jc w:val="both"/>
        <w:rPr>
          <w:rFonts w:ascii="NewBaskerville" w:hAnsi="NewBaskerville"/>
          <w:bCs/>
          <w:u w:val="single"/>
          <w:lang w:val="es-ES"/>
        </w:rPr>
      </w:pPr>
    </w:p>
    <w:p w:rsidR="00521595" w:rsidRDefault="00521595" w:rsidP="00521595">
      <w:pPr>
        <w:tabs>
          <w:tab w:val="right" w:pos="8364"/>
        </w:tabs>
        <w:ind w:firstLine="567"/>
        <w:jc w:val="both"/>
        <w:rPr>
          <w:rFonts w:ascii="NewBaskerville" w:hAnsi="NewBaskerville"/>
          <w:bCs/>
          <w:lang w:val="es-ES"/>
        </w:rPr>
      </w:pPr>
      <w:r>
        <w:rPr>
          <w:rFonts w:ascii="NewBaskerville" w:hAnsi="NewBaskerville"/>
          <w:bCs/>
          <w:lang w:val="es-ES"/>
        </w:rPr>
        <w:t>Con fecha de 18 de noviembre de 2022 se recibió resolución del Tribunal Económico Administrativo Central acordando la anulación de una serie de tasas liquidadas por la APB</w:t>
      </w:r>
      <w:r w:rsidR="007D28FE">
        <w:rPr>
          <w:rFonts w:ascii="NewBaskerville" w:hAnsi="NewBaskerville"/>
          <w:bCs/>
          <w:lang w:val="es-ES"/>
        </w:rPr>
        <w:t xml:space="preserve">, y la </w:t>
      </w:r>
      <w:r w:rsidR="003F24D6">
        <w:rPr>
          <w:rFonts w:ascii="NewBaskerville" w:hAnsi="NewBaskerville"/>
          <w:bCs/>
          <w:lang w:val="es-ES"/>
        </w:rPr>
        <w:t>imposibilidad</w:t>
      </w:r>
      <w:r w:rsidR="007D28FE">
        <w:rPr>
          <w:rFonts w:ascii="NewBaskerville" w:hAnsi="NewBaskerville"/>
          <w:bCs/>
          <w:lang w:val="es-ES"/>
        </w:rPr>
        <w:t xml:space="preserve"> de volver a practicar las liquidaciones impugnadas que dicha </w:t>
      </w:r>
      <w:r w:rsidR="00A861CC">
        <w:rPr>
          <w:rFonts w:ascii="NewBaskerville" w:hAnsi="NewBaskerville"/>
          <w:bCs/>
          <w:lang w:val="es-ES"/>
        </w:rPr>
        <w:t>resolución había anulado. Motivó</w:t>
      </w:r>
      <w:r w:rsidR="007D28FE">
        <w:rPr>
          <w:rFonts w:ascii="NewBaskerville" w:hAnsi="NewBaskerville"/>
          <w:bCs/>
          <w:lang w:val="es-ES"/>
        </w:rPr>
        <w:t xml:space="preserve"> el Tribunal al haberse declarado por segunda vez la invalidez de la actuación administrativa por la misma causa.</w:t>
      </w:r>
    </w:p>
    <w:p w:rsidR="00055388" w:rsidRDefault="00055388" w:rsidP="00521595">
      <w:pPr>
        <w:tabs>
          <w:tab w:val="right" w:pos="8364"/>
        </w:tabs>
        <w:ind w:firstLine="567"/>
        <w:jc w:val="both"/>
        <w:rPr>
          <w:rFonts w:ascii="NewBaskerville" w:hAnsi="NewBaskerville"/>
          <w:bCs/>
          <w:lang w:val="es-ES"/>
        </w:rPr>
      </w:pPr>
    </w:p>
    <w:p w:rsidR="007D28FE" w:rsidRDefault="007D28FE" w:rsidP="00521595">
      <w:pPr>
        <w:tabs>
          <w:tab w:val="right" w:pos="8364"/>
        </w:tabs>
        <w:ind w:firstLine="567"/>
        <w:jc w:val="both"/>
        <w:rPr>
          <w:rFonts w:ascii="NewBaskerville" w:hAnsi="NewBaskerville"/>
          <w:bCs/>
          <w:lang w:val="es-ES"/>
        </w:rPr>
      </w:pPr>
      <w:r>
        <w:rPr>
          <w:rFonts w:ascii="NewBaskerville" w:hAnsi="NewBaskerville"/>
          <w:bCs/>
          <w:lang w:val="es-ES"/>
        </w:rPr>
        <w:t xml:space="preserve">La APB en fecha 23/12/2022 presentó recurso contencioso-administrativo contra la resolución del Tribunal Económico Administrativo Central </w:t>
      </w:r>
      <w:r w:rsidR="007D0C22">
        <w:rPr>
          <w:rFonts w:ascii="NewBaskerville" w:hAnsi="NewBaskerville"/>
          <w:bCs/>
          <w:lang w:val="es-ES"/>
        </w:rPr>
        <w:t>ante la Sala de lo Contencioso-Administrativo de la Audiencia Nacional.</w:t>
      </w:r>
    </w:p>
    <w:p w:rsidR="007D0C22" w:rsidRPr="00521595" w:rsidRDefault="007D0C22" w:rsidP="00521595">
      <w:pPr>
        <w:tabs>
          <w:tab w:val="right" w:pos="8364"/>
        </w:tabs>
        <w:ind w:firstLine="567"/>
        <w:jc w:val="both"/>
        <w:rPr>
          <w:rFonts w:ascii="NewBaskerville" w:hAnsi="NewBaskerville"/>
          <w:bCs/>
        </w:rPr>
      </w:pPr>
      <w:r>
        <w:rPr>
          <w:rFonts w:ascii="NewBaskerville" w:hAnsi="NewBaskerville"/>
          <w:bCs/>
          <w:lang w:val="es-ES"/>
        </w:rPr>
        <w:lastRenderedPageBreak/>
        <w:t xml:space="preserve">La Entidad </w:t>
      </w:r>
      <w:r w:rsidR="002D6449">
        <w:rPr>
          <w:rFonts w:ascii="NewBaskerville" w:hAnsi="NewBaskerville"/>
          <w:bCs/>
          <w:lang w:val="es-ES"/>
        </w:rPr>
        <w:t>estimó</w:t>
      </w:r>
      <w:r>
        <w:rPr>
          <w:rFonts w:ascii="NewBaskerville" w:hAnsi="NewBaskerville"/>
          <w:bCs/>
          <w:lang w:val="es-ES"/>
        </w:rPr>
        <w:t xml:space="preserve"> dotar en el ejercicio 2022 una provisión por el importe de las liquidaciones anuladas</w:t>
      </w:r>
      <w:r w:rsidR="002D6449">
        <w:rPr>
          <w:rFonts w:ascii="NewBaskerville" w:hAnsi="NewBaskerville"/>
          <w:bCs/>
          <w:lang w:val="es-ES"/>
        </w:rPr>
        <w:t>, el importe a fecha de 31/12/202</w:t>
      </w:r>
      <w:r w:rsidR="002435FB">
        <w:rPr>
          <w:rFonts w:ascii="NewBaskerville" w:hAnsi="NewBaskerville"/>
          <w:bCs/>
          <w:lang w:val="es-ES"/>
        </w:rPr>
        <w:t>4</w:t>
      </w:r>
      <w:r w:rsidR="002D6449">
        <w:rPr>
          <w:rFonts w:ascii="NewBaskerville" w:hAnsi="NewBaskerville"/>
          <w:bCs/>
          <w:lang w:val="es-ES"/>
        </w:rPr>
        <w:t xml:space="preserve"> asciende a</w:t>
      </w:r>
      <w:r>
        <w:rPr>
          <w:rFonts w:ascii="NewBaskerville" w:hAnsi="NewBaskerville"/>
          <w:bCs/>
          <w:lang w:val="es-ES"/>
        </w:rPr>
        <w:t xml:space="preserve"> 6.</w:t>
      </w:r>
      <w:r w:rsidR="00C1651A">
        <w:rPr>
          <w:rFonts w:ascii="NewBaskerville" w:hAnsi="NewBaskerville"/>
          <w:bCs/>
          <w:lang w:val="es-ES"/>
        </w:rPr>
        <w:t>718</w:t>
      </w:r>
      <w:r>
        <w:rPr>
          <w:rFonts w:ascii="NewBaskerville" w:hAnsi="NewBaskerville"/>
          <w:bCs/>
          <w:lang w:val="es-ES"/>
        </w:rPr>
        <w:t>.</w:t>
      </w:r>
      <w:r w:rsidR="00C1651A">
        <w:rPr>
          <w:rFonts w:ascii="NewBaskerville" w:hAnsi="NewBaskerville"/>
          <w:bCs/>
          <w:lang w:val="es-ES"/>
        </w:rPr>
        <w:t>985</w:t>
      </w:r>
      <w:r>
        <w:rPr>
          <w:rFonts w:ascii="NewBaskerville" w:hAnsi="NewBaskerville"/>
          <w:bCs/>
          <w:lang w:val="es-ES"/>
        </w:rPr>
        <w:t>,</w:t>
      </w:r>
      <w:r w:rsidR="00C1651A">
        <w:rPr>
          <w:rFonts w:ascii="NewBaskerville" w:hAnsi="NewBaskerville"/>
          <w:bCs/>
          <w:lang w:val="es-ES"/>
        </w:rPr>
        <w:t>25</w:t>
      </w:r>
      <w:r w:rsidR="002D6449">
        <w:rPr>
          <w:rFonts w:ascii="NewBaskerville" w:hAnsi="NewBaskerville"/>
          <w:bCs/>
          <w:lang w:val="es-ES"/>
        </w:rPr>
        <w:t xml:space="preserve"> euros, en el ejercicio 202</w:t>
      </w:r>
      <w:r w:rsidR="00C1651A">
        <w:rPr>
          <w:rFonts w:ascii="NewBaskerville" w:hAnsi="NewBaskerville"/>
          <w:bCs/>
          <w:lang w:val="es-ES"/>
        </w:rPr>
        <w:t>4</w:t>
      </w:r>
      <w:r w:rsidR="002D6449">
        <w:rPr>
          <w:rFonts w:ascii="NewBaskerville" w:hAnsi="NewBaskerville"/>
          <w:bCs/>
          <w:lang w:val="es-ES"/>
        </w:rPr>
        <w:t xml:space="preserve"> se ha actualizado financieramente en 252.447,42 euros.</w:t>
      </w:r>
    </w:p>
    <w:p w:rsidR="00521595" w:rsidRDefault="00521595" w:rsidP="005A43D4">
      <w:pPr>
        <w:tabs>
          <w:tab w:val="right" w:pos="8364"/>
        </w:tabs>
        <w:ind w:firstLine="567"/>
        <w:jc w:val="both"/>
        <w:rPr>
          <w:rFonts w:ascii="NewBaskerville" w:hAnsi="NewBaskerville"/>
          <w:bCs/>
        </w:rPr>
      </w:pPr>
    </w:p>
    <w:p w:rsidR="00713E2B" w:rsidRPr="00713E2B" w:rsidRDefault="00713E2B" w:rsidP="00713E2B">
      <w:pPr>
        <w:numPr>
          <w:ilvl w:val="0"/>
          <w:numId w:val="2"/>
        </w:numPr>
        <w:tabs>
          <w:tab w:val="right" w:pos="8364"/>
        </w:tabs>
        <w:jc w:val="both"/>
        <w:rPr>
          <w:rFonts w:ascii="NewBaskerville" w:hAnsi="NewBaskerville"/>
          <w:bCs/>
          <w:u w:val="single"/>
        </w:rPr>
      </w:pPr>
      <w:r>
        <w:rPr>
          <w:rFonts w:ascii="NewBaskerville" w:hAnsi="NewBaskerville"/>
          <w:bCs/>
          <w:u w:val="single"/>
          <w:lang w:val="es-ES"/>
        </w:rPr>
        <w:t>Proceso “COMPAÑÍA LOGÍSTICA DE HIDROCARBUROS”</w:t>
      </w:r>
    </w:p>
    <w:p w:rsidR="00713E2B" w:rsidRDefault="00713E2B" w:rsidP="00713E2B">
      <w:pPr>
        <w:tabs>
          <w:tab w:val="right" w:pos="8364"/>
        </w:tabs>
        <w:ind w:left="360"/>
        <w:jc w:val="both"/>
        <w:rPr>
          <w:rFonts w:ascii="NewBaskerville" w:hAnsi="NewBaskerville"/>
          <w:bCs/>
          <w:u w:val="single"/>
          <w:lang w:val="es-ES"/>
        </w:rPr>
      </w:pPr>
    </w:p>
    <w:p w:rsidR="00713E2B" w:rsidRDefault="00713E2B" w:rsidP="00713E2B">
      <w:pPr>
        <w:tabs>
          <w:tab w:val="right" w:pos="8364"/>
        </w:tabs>
        <w:ind w:firstLine="567"/>
        <w:jc w:val="both"/>
        <w:rPr>
          <w:rFonts w:ascii="NewBaskerville" w:hAnsi="NewBaskerville"/>
          <w:bCs/>
          <w:lang w:val="es-ES"/>
        </w:rPr>
      </w:pPr>
      <w:r>
        <w:rPr>
          <w:rFonts w:ascii="NewBaskerville" w:hAnsi="NewBaskerville"/>
          <w:bCs/>
          <w:lang w:val="es-ES"/>
        </w:rPr>
        <w:t>En fecha 24/10/2018 la COMPAÑÍA LOGÍSTICA DE HIDROCARBUROS S.A. presentó Reclamación de Respons</w:t>
      </w:r>
      <w:r w:rsidR="001208BE">
        <w:rPr>
          <w:rFonts w:ascii="NewBaskerville" w:hAnsi="NewBaskerville"/>
          <w:bCs/>
          <w:lang w:val="es-ES"/>
        </w:rPr>
        <w:t>a</w:t>
      </w:r>
      <w:r>
        <w:rPr>
          <w:rFonts w:ascii="NewBaskerville" w:hAnsi="NewBaskerville"/>
          <w:bCs/>
          <w:lang w:val="es-ES"/>
        </w:rPr>
        <w:t>bilidad Patrimonial ante la APB</w:t>
      </w:r>
      <w:r w:rsidR="00D771F9">
        <w:rPr>
          <w:rFonts w:ascii="NewBaskerville" w:hAnsi="NewBaskerville"/>
          <w:bCs/>
          <w:lang w:val="es-ES"/>
        </w:rPr>
        <w:t xml:space="preserve"> en la que solicitaba que se le indemnizara por el importe derivado de la aplicación a los servicios de remolque recibidos, de unas tarifas por la prestación de dichos servicios que sufrieron un incremento sustancial, aprobadas por la APB, y que el Tribunal Superior de Justicia de les Illes Balears primero y Tribunal Supremo después, consideraron como no justificadas. </w:t>
      </w:r>
    </w:p>
    <w:p w:rsidR="00546952" w:rsidRDefault="00546952" w:rsidP="00713E2B">
      <w:pPr>
        <w:tabs>
          <w:tab w:val="right" w:pos="8364"/>
        </w:tabs>
        <w:ind w:firstLine="567"/>
        <w:jc w:val="both"/>
        <w:rPr>
          <w:rFonts w:ascii="NewBaskerville" w:hAnsi="NewBaskerville"/>
          <w:bCs/>
          <w:lang w:val="es-ES"/>
        </w:rPr>
      </w:pPr>
    </w:p>
    <w:p w:rsidR="00546952" w:rsidRDefault="00546952" w:rsidP="00713E2B">
      <w:pPr>
        <w:tabs>
          <w:tab w:val="right" w:pos="8364"/>
        </w:tabs>
        <w:ind w:firstLine="567"/>
        <w:jc w:val="both"/>
        <w:rPr>
          <w:rFonts w:ascii="NewBaskerville" w:hAnsi="NewBaskerville"/>
          <w:bCs/>
          <w:lang w:val="es-ES"/>
        </w:rPr>
      </w:pPr>
      <w:r>
        <w:rPr>
          <w:rFonts w:ascii="NewBaskerville" w:hAnsi="NewBaskerville"/>
          <w:bCs/>
          <w:lang w:val="es-ES"/>
        </w:rPr>
        <w:t xml:space="preserve">No estando de acuerdo con la estimación </w:t>
      </w:r>
      <w:r w:rsidR="003F24D6">
        <w:rPr>
          <w:rFonts w:ascii="NewBaskerville" w:hAnsi="NewBaskerville"/>
          <w:bCs/>
          <w:lang w:val="es-ES"/>
        </w:rPr>
        <w:t>parcial</w:t>
      </w:r>
      <w:r>
        <w:rPr>
          <w:rFonts w:ascii="NewBaskerville" w:hAnsi="NewBaskerville"/>
          <w:bCs/>
          <w:lang w:val="es-ES"/>
        </w:rPr>
        <w:t xml:space="preserve"> de la Reclamación de Responsabilidad Patrimonial, la recurrente formalizó demanda ante la Sala de lo Contencioso </w:t>
      </w:r>
      <w:r w:rsidR="003F24D6">
        <w:rPr>
          <w:rFonts w:ascii="NewBaskerville" w:hAnsi="NewBaskerville"/>
          <w:bCs/>
          <w:lang w:val="es-ES"/>
        </w:rPr>
        <w:t>Administrativo</w:t>
      </w:r>
      <w:r>
        <w:rPr>
          <w:rFonts w:ascii="NewBaskerville" w:hAnsi="NewBaskerville"/>
          <w:bCs/>
          <w:lang w:val="es-ES"/>
        </w:rPr>
        <w:t xml:space="preserve"> del Tribunal Superior de Justicia de les Illes Balears.</w:t>
      </w:r>
    </w:p>
    <w:p w:rsidR="00C1651A" w:rsidRDefault="00C1651A" w:rsidP="00713E2B">
      <w:pPr>
        <w:tabs>
          <w:tab w:val="right" w:pos="8364"/>
        </w:tabs>
        <w:ind w:firstLine="567"/>
        <w:jc w:val="both"/>
        <w:rPr>
          <w:rFonts w:ascii="NewBaskerville" w:hAnsi="NewBaskerville"/>
          <w:bCs/>
          <w:lang w:val="es-ES"/>
        </w:rPr>
      </w:pPr>
    </w:p>
    <w:p w:rsidR="00C1651A" w:rsidRDefault="00C1651A" w:rsidP="00713E2B">
      <w:pPr>
        <w:tabs>
          <w:tab w:val="right" w:pos="8364"/>
        </w:tabs>
        <w:ind w:firstLine="567"/>
        <w:jc w:val="both"/>
        <w:rPr>
          <w:rFonts w:ascii="NewBaskerville" w:hAnsi="NewBaskerville"/>
          <w:bCs/>
          <w:lang w:val="es-ES"/>
        </w:rPr>
      </w:pPr>
      <w:r>
        <w:rPr>
          <w:rFonts w:ascii="NewBaskerville" w:hAnsi="NewBaskerville"/>
          <w:bCs/>
          <w:lang w:val="es-ES"/>
        </w:rPr>
        <w:t>En fecha de 10 de octubre de 2023 el Tribunal Superior de Justicia acordó estimar el recurso contencioso administrativo de la demandante</w:t>
      </w:r>
      <w:r w:rsidR="00055388">
        <w:rPr>
          <w:rFonts w:ascii="NewBaskerville" w:hAnsi="NewBaskerville"/>
          <w:bCs/>
          <w:lang w:val="es-ES"/>
        </w:rPr>
        <w:t>,</w:t>
      </w:r>
      <w:r>
        <w:rPr>
          <w:rFonts w:ascii="NewBaskerville" w:hAnsi="NewBaskerville"/>
          <w:bCs/>
          <w:lang w:val="es-ES"/>
        </w:rPr>
        <w:t xml:space="preserve"> condenando al pago a la APB de la totalidad de la reclamación de la responsabilidad patrimonial. La APB, mediante la </w:t>
      </w:r>
      <w:r w:rsidR="00416638">
        <w:rPr>
          <w:rFonts w:ascii="NewBaskerville" w:hAnsi="NewBaskerville"/>
          <w:bCs/>
          <w:lang w:val="es-ES"/>
        </w:rPr>
        <w:t>Abogacía</w:t>
      </w:r>
      <w:r w:rsidR="002F7174">
        <w:rPr>
          <w:rFonts w:ascii="NewBaskerville" w:hAnsi="NewBaskerville"/>
          <w:bCs/>
          <w:lang w:val="es-ES"/>
        </w:rPr>
        <w:t xml:space="preserve"> General</w:t>
      </w:r>
      <w:r>
        <w:rPr>
          <w:rFonts w:ascii="NewBaskerville" w:hAnsi="NewBaskerville"/>
          <w:bCs/>
          <w:lang w:val="es-ES"/>
        </w:rPr>
        <w:t xml:space="preserve"> del Estado, solicitó el complemento de la Sentencia</w:t>
      </w:r>
      <w:r w:rsidR="002F7174">
        <w:rPr>
          <w:rFonts w:ascii="NewBaskerville" w:hAnsi="NewBaskerville"/>
          <w:bCs/>
          <w:lang w:val="es-ES"/>
        </w:rPr>
        <w:t xml:space="preserve"> siéndole denegado.</w:t>
      </w:r>
    </w:p>
    <w:p w:rsidR="002F7174" w:rsidRDefault="002F7174" w:rsidP="00713E2B">
      <w:pPr>
        <w:tabs>
          <w:tab w:val="right" w:pos="8364"/>
        </w:tabs>
        <w:ind w:firstLine="567"/>
        <w:jc w:val="both"/>
        <w:rPr>
          <w:rFonts w:ascii="NewBaskerville" w:hAnsi="NewBaskerville"/>
          <w:bCs/>
          <w:lang w:val="es-ES"/>
        </w:rPr>
      </w:pPr>
    </w:p>
    <w:p w:rsidR="002F7174" w:rsidRDefault="002F7174" w:rsidP="00713E2B">
      <w:pPr>
        <w:tabs>
          <w:tab w:val="right" w:pos="8364"/>
        </w:tabs>
        <w:ind w:firstLine="567"/>
        <w:jc w:val="both"/>
        <w:rPr>
          <w:rFonts w:ascii="NewBaskerville" w:hAnsi="NewBaskerville"/>
          <w:bCs/>
          <w:lang w:val="es-ES"/>
        </w:rPr>
      </w:pPr>
      <w:r>
        <w:rPr>
          <w:rFonts w:ascii="NewBaskerville" w:hAnsi="NewBaskerville"/>
          <w:bCs/>
          <w:lang w:val="es-ES"/>
        </w:rPr>
        <w:t>El Presidente de la APB, en fecha 2 de febrero de 2024, acordó solicitar a la Abogacía del Estado la interposición del recurso contra la sentencia del Tribunal Superior de Justicia.</w:t>
      </w:r>
    </w:p>
    <w:p w:rsidR="00C1651A" w:rsidRDefault="00C1651A" w:rsidP="00713E2B">
      <w:pPr>
        <w:tabs>
          <w:tab w:val="right" w:pos="8364"/>
        </w:tabs>
        <w:ind w:firstLine="567"/>
        <w:jc w:val="both"/>
        <w:rPr>
          <w:rFonts w:ascii="NewBaskerville" w:hAnsi="NewBaskerville"/>
          <w:bCs/>
          <w:lang w:val="es-ES"/>
        </w:rPr>
      </w:pPr>
    </w:p>
    <w:p w:rsidR="00C1651A" w:rsidRDefault="00C1651A" w:rsidP="00713E2B">
      <w:pPr>
        <w:tabs>
          <w:tab w:val="right" w:pos="8364"/>
        </w:tabs>
        <w:ind w:firstLine="567"/>
        <w:jc w:val="both"/>
        <w:rPr>
          <w:rFonts w:ascii="NewBaskerville" w:hAnsi="NewBaskerville"/>
          <w:bCs/>
          <w:lang w:val="es-ES"/>
        </w:rPr>
      </w:pPr>
      <w:r>
        <w:rPr>
          <w:rFonts w:ascii="NewBaskerville" w:hAnsi="NewBaskerville"/>
          <w:bCs/>
          <w:lang w:val="es-ES"/>
        </w:rPr>
        <w:t>La APB en fecha 05 de febrero de 2024 consignó judicialmente la cantidad de 1.366.373,54 euros</w:t>
      </w:r>
      <w:r w:rsidR="002F7174">
        <w:rPr>
          <w:rFonts w:ascii="NewBaskerville" w:hAnsi="NewBaskerville"/>
          <w:bCs/>
          <w:lang w:val="es-ES"/>
        </w:rPr>
        <w:t>.</w:t>
      </w:r>
    </w:p>
    <w:p w:rsidR="002F7174" w:rsidRDefault="002F7174" w:rsidP="00713E2B">
      <w:pPr>
        <w:tabs>
          <w:tab w:val="right" w:pos="8364"/>
        </w:tabs>
        <w:ind w:firstLine="567"/>
        <w:jc w:val="both"/>
        <w:rPr>
          <w:rFonts w:ascii="NewBaskerville" w:hAnsi="NewBaskerville"/>
          <w:bCs/>
          <w:lang w:val="es-ES"/>
        </w:rPr>
      </w:pPr>
    </w:p>
    <w:p w:rsidR="002F7174" w:rsidRDefault="002F7174" w:rsidP="00713E2B">
      <w:pPr>
        <w:tabs>
          <w:tab w:val="right" w:pos="8364"/>
        </w:tabs>
        <w:ind w:firstLine="567"/>
        <w:jc w:val="both"/>
        <w:rPr>
          <w:rFonts w:ascii="NewBaskerville" w:hAnsi="NewBaskerville"/>
          <w:bCs/>
          <w:lang w:val="es-ES"/>
        </w:rPr>
      </w:pPr>
      <w:r>
        <w:rPr>
          <w:rFonts w:ascii="NewBaskerville" w:hAnsi="NewBaskerville"/>
          <w:bCs/>
          <w:lang w:val="es-ES"/>
        </w:rPr>
        <w:t>La Abogacía General del Estado informó desfavorablemente la interposición del recurso de casación, por lo que a 6 de marzo de 2024 se declaró la firmeza de la sentencia del Tribunal Superior de Justicia.</w:t>
      </w:r>
    </w:p>
    <w:p w:rsidR="00546952" w:rsidRDefault="00546952" w:rsidP="00713E2B">
      <w:pPr>
        <w:tabs>
          <w:tab w:val="right" w:pos="8364"/>
        </w:tabs>
        <w:ind w:firstLine="567"/>
        <w:jc w:val="both"/>
        <w:rPr>
          <w:rFonts w:ascii="NewBaskerville" w:hAnsi="NewBaskerville"/>
          <w:bCs/>
          <w:lang w:val="es-ES"/>
        </w:rPr>
      </w:pPr>
    </w:p>
    <w:p w:rsidR="00B4213D" w:rsidRDefault="00C94BEE" w:rsidP="00713E2B">
      <w:pPr>
        <w:tabs>
          <w:tab w:val="right" w:pos="8364"/>
        </w:tabs>
        <w:ind w:firstLine="567"/>
        <w:jc w:val="both"/>
        <w:rPr>
          <w:rFonts w:ascii="NewBaskerville" w:hAnsi="NewBaskerville"/>
          <w:bCs/>
          <w:lang w:val="es-ES"/>
        </w:rPr>
      </w:pPr>
      <w:r>
        <w:rPr>
          <w:rFonts w:ascii="NewBaskerville" w:hAnsi="NewBaskerville"/>
          <w:bCs/>
          <w:lang w:val="es-ES"/>
        </w:rPr>
        <w:t>La APB estimó</w:t>
      </w:r>
      <w:r w:rsidR="00546952">
        <w:rPr>
          <w:rFonts w:ascii="NewBaskerville" w:hAnsi="NewBaskerville"/>
          <w:bCs/>
          <w:lang w:val="es-ES"/>
        </w:rPr>
        <w:t xml:space="preserve"> dotar una provisión en el ejercicio 2022 por importe de la reclamación que </w:t>
      </w:r>
      <w:r>
        <w:rPr>
          <w:rFonts w:ascii="NewBaskerville" w:hAnsi="NewBaskerville"/>
          <w:bCs/>
          <w:lang w:val="es-ES"/>
        </w:rPr>
        <w:t xml:space="preserve">a fecha de </w:t>
      </w:r>
      <w:r w:rsidR="002F7174">
        <w:rPr>
          <w:rFonts w:ascii="NewBaskerville" w:hAnsi="NewBaskerville"/>
          <w:bCs/>
          <w:lang w:val="es-ES"/>
        </w:rPr>
        <w:t>01</w:t>
      </w:r>
      <w:r>
        <w:rPr>
          <w:rFonts w:ascii="NewBaskerville" w:hAnsi="NewBaskerville"/>
          <w:bCs/>
          <w:lang w:val="es-ES"/>
        </w:rPr>
        <w:t>/</w:t>
      </w:r>
      <w:r w:rsidR="002F7174">
        <w:rPr>
          <w:rFonts w:ascii="NewBaskerville" w:hAnsi="NewBaskerville"/>
          <w:bCs/>
          <w:lang w:val="es-ES"/>
        </w:rPr>
        <w:t>01/2024</w:t>
      </w:r>
      <w:r>
        <w:rPr>
          <w:rFonts w:ascii="NewBaskerville" w:hAnsi="NewBaskerville"/>
          <w:bCs/>
          <w:lang w:val="es-ES"/>
        </w:rPr>
        <w:t xml:space="preserve"> </w:t>
      </w:r>
      <w:r w:rsidR="00416638">
        <w:rPr>
          <w:rFonts w:ascii="NewBaskerville" w:hAnsi="NewBaskerville"/>
          <w:bCs/>
          <w:lang w:val="es-ES"/>
        </w:rPr>
        <w:t>ascendía</w:t>
      </w:r>
      <w:r w:rsidR="00546952">
        <w:rPr>
          <w:rFonts w:ascii="NewBaskerville" w:hAnsi="NewBaskerville"/>
          <w:bCs/>
          <w:lang w:val="es-ES"/>
        </w:rPr>
        <w:t xml:space="preserve"> a 1.</w:t>
      </w:r>
      <w:r>
        <w:rPr>
          <w:rFonts w:ascii="NewBaskerville" w:hAnsi="NewBaskerville"/>
          <w:bCs/>
          <w:lang w:val="es-ES"/>
        </w:rPr>
        <w:t>410</w:t>
      </w:r>
      <w:r w:rsidR="00546952">
        <w:rPr>
          <w:rFonts w:ascii="NewBaskerville" w:hAnsi="NewBaskerville"/>
          <w:bCs/>
          <w:lang w:val="es-ES"/>
        </w:rPr>
        <w:t>.</w:t>
      </w:r>
      <w:r>
        <w:rPr>
          <w:rFonts w:ascii="NewBaskerville" w:hAnsi="NewBaskerville"/>
          <w:bCs/>
          <w:lang w:val="es-ES"/>
        </w:rPr>
        <w:t>780</w:t>
      </w:r>
      <w:r w:rsidR="00546952">
        <w:rPr>
          <w:rFonts w:ascii="NewBaskerville" w:hAnsi="NewBaskerville"/>
          <w:bCs/>
          <w:lang w:val="es-ES"/>
        </w:rPr>
        <w:t>,</w:t>
      </w:r>
      <w:r>
        <w:rPr>
          <w:rFonts w:ascii="NewBaskerville" w:hAnsi="NewBaskerville"/>
          <w:bCs/>
          <w:lang w:val="es-ES"/>
        </w:rPr>
        <w:t>68</w:t>
      </w:r>
      <w:r w:rsidR="00546952">
        <w:rPr>
          <w:rFonts w:ascii="NewBaskerville" w:hAnsi="NewBaskerville"/>
          <w:bCs/>
          <w:lang w:val="es-ES"/>
        </w:rPr>
        <w:t xml:space="preserve"> euros</w:t>
      </w:r>
      <w:r>
        <w:rPr>
          <w:rFonts w:ascii="NewBaskerville" w:hAnsi="NewBaskerville"/>
          <w:bCs/>
          <w:lang w:val="es-ES"/>
        </w:rPr>
        <w:t xml:space="preserve">, </w:t>
      </w:r>
      <w:r w:rsidR="002F7174">
        <w:rPr>
          <w:rFonts w:ascii="NewBaskerville" w:hAnsi="NewBaskerville"/>
          <w:bCs/>
          <w:lang w:val="es-ES"/>
        </w:rPr>
        <w:t>aplicándose en el ejercicio en 1.366.373,54 euros, siendo su saldo a 31/12/2024 de 44.407</w:t>
      </w:r>
      <w:r w:rsidR="00B4213D">
        <w:rPr>
          <w:rFonts w:ascii="NewBaskerville" w:hAnsi="NewBaskerville"/>
          <w:bCs/>
          <w:lang w:val="es-ES"/>
        </w:rPr>
        <w:t xml:space="preserve">,14 euros. En el </w:t>
      </w:r>
      <w:r w:rsidR="00416638">
        <w:rPr>
          <w:rFonts w:ascii="NewBaskerville" w:hAnsi="NewBaskerville"/>
          <w:bCs/>
          <w:lang w:val="es-ES"/>
        </w:rPr>
        <w:t>ejercicio</w:t>
      </w:r>
      <w:r w:rsidR="00B4213D">
        <w:rPr>
          <w:rFonts w:ascii="NewBaskerville" w:hAnsi="NewBaskerville"/>
          <w:bCs/>
          <w:lang w:val="es-ES"/>
        </w:rPr>
        <w:t xml:space="preserve"> no se ha actualizado financieramente.</w:t>
      </w:r>
    </w:p>
    <w:p w:rsidR="00B4213D" w:rsidRDefault="00B4213D" w:rsidP="00713E2B">
      <w:pPr>
        <w:tabs>
          <w:tab w:val="right" w:pos="8364"/>
        </w:tabs>
        <w:ind w:firstLine="567"/>
        <w:jc w:val="both"/>
        <w:rPr>
          <w:rFonts w:ascii="NewBaskerville" w:hAnsi="NewBaskerville"/>
          <w:bCs/>
          <w:lang w:val="es-ES"/>
        </w:rPr>
      </w:pPr>
    </w:p>
    <w:p w:rsidR="00546952" w:rsidRPr="00713E2B" w:rsidRDefault="00B4213D" w:rsidP="00713E2B">
      <w:pPr>
        <w:tabs>
          <w:tab w:val="right" w:pos="8364"/>
        </w:tabs>
        <w:ind w:firstLine="567"/>
        <w:jc w:val="both"/>
        <w:rPr>
          <w:rFonts w:ascii="NewBaskerville" w:hAnsi="NewBaskerville"/>
          <w:bCs/>
        </w:rPr>
      </w:pPr>
      <w:r>
        <w:rPr>
          <w:rFonts w:ascii="NewBaskerville" w:hAnsi="NewBaskerville"/>
          <w:bCs/>
          <w:lang w:val="es-ES"/>
        </w:rPr>
        <w:t xml:space="preserve">Con su aplicación se reconoció a fecha 6 de marzo de 2024 la cancelación y pérdida de la consignación judicial. </w:t>
      </w:r>
    </w:p>
    <w:p w:rsidR="00514E88" w:rsidRDefault="00514E88" w:rsidP="00514E88">
      <w:pPr>
        <w:pStyle w:val="Prrafodelista"/>
        <w:jc w:val="both"/>
        <w:rPr>
          <w:bCs/>
        </w:rPr>
      </w:pPr>
    </w:p>
    <w:p w:rsidR="00514E88" w:rsidRPr="00546952" w:rsidRDefault="007B662C" w:rsidP="00514E88">
      <w:pPr>
        <w:numPr>
          <w:ilvl w:val="0"/>
          <w:numId w:val="2"/>
        </w:numPr>
        <w:tabs>
          <w:tab w:val="right" w:pos="8364"/>
        </w:tabs>
        <w:jc w:val="both"/>
        <w:rPr>
          <w:rFonts w:ascii="NewBaskerville" w:hAnsi="NewBaskerville"/>
          <w:bCs/>
          <w:u w:val="single"/>
        </w:rPr>
      </w:pPr>
      <w:r w:rsidRPr="00546952">
        <w:rPr>
          <w:rFonts w:ascii="NewBaskerville" w:hAnsi="NewBaskerville"/>
          <w:bCs/>
          <w:u w:val="single"/>
        </w:rPr>
        <w:t>Convenio Ayuntamiento de Palma</w:t>
      </w:r>
    </w:p>
    <w:p w:rsidR="007B662C" w:rsidRPr="007B662C" w:rsidRDefault="007B662C" w:rsidP="007B662C">
      <w:pPr>
        <w:tabs>
          <w:tab w:val="right" w:pos="8364"/>
        </w:tabs>
        <w:jc w:val="both"/>
        <w:rPr>
          <w:bCs/>
        </w:rPr>
      </w:pPr>
    </w:p>
    <w:p w:rsidR="00762251" w:rsidRDefault="007B662C" w:rsidP="00546952">
      <w:pPr>
        <w:tabs>
          <w:tab w:val="right" w:pos="8364"/>
        </w:tabs>
        <w:ind w:firstLine="567"/>
        <w:jc w:val="both"/>
        <w:rPr>
          <w:rFonts w:ascii="NewBaskerville" w:hAnsi="NewBaskerville"/>
          <w:bCs/>
        </w:rPr>
      </w:pPr>
      <w:r w:rsidRPr="00546952">
        <w:rPr>
          <w:rFonts w:ascii="NewBaskerville" w:hAnsi="NewBaskerville"/>
          <w:bCs/>
        </w:rPr>
        <w:t xml:space="preserve">El </w:t>
      </w:r>
      <w:r w:rsidR="00546952">
        <w:rPr>
          <w:rFonts w:ascii="NewBaskerville" w:hAnsi="NewBaskerville"/>
          <w:bCs/>
        </w:rPr>
        <w:t>17 de diciembre de 2020 se firmó</w:t>
      </w:r>
      <w:r w:rsidRPr="00546952">
        <w:rPr>
          <w:rFonts w:ascii="NewBaskerville" w:hAnsi="NewBaskerville"/>
          <w:bCs/>
        </w:rPr>
        <w:t xml:space="preserve"> un convenio entre el Ayuntamiento de Palma y la APB para la gestión de servicios en la explotación del Paseo Marítimo Gabriel Roca. A partir de la entrada en </w:t>
      </w:r>
      <w:r w:rsidR="00747953" w:rsidRPr="00546952">
        <w:rPr>
          <w:rFonts w:ascii="NewBaskerville" w:hAnsi="NewBaskerville"/>
          <w:bCs/>
        </w:rPr>
        <w:t xml:space="preserve">vigor de dicho Convenio, </w:t>
      </w:r>
      <w:r w:rsidR="003F24D6" w:rsidRPr="00546952">
        <w:rPr>
          <w:rFonts w:ascii="NewBaskerville" w:hAnsi="NewBaskerville"/>
          <w:bCs/>
        </w:rPr>
        <w:t>el</w:t>
      </w:r>
      <w:r w:rsidR="00747953" w:rsidRPr="00546952">
        <w:rPr>
          <w:rFonts w:ascii="NewBaskerville" w:hAnsi="NewBaskerville"/>
          <w:bCs/>
        </w:rPr>
        <w:t xml:space="preserve"> Ayuntamiento de Palma </w:t>
      </w:r>
      <w:r w:rsidRPr="00546952">
        <w:rPr>
          <w:rFonts w:ascii="NewBaskerville" w:hAnsi="NewBaskerville"/>
          <w:bCs/>
        </w:rPr>
        <w:t>se encargar</w:t>
      </w:r>
      <w:r w:rsidR="0099581B">
        <w:rPr>
          <w:rFonts w:ascii="NewBaskerville" w:hAnsi="NewBaskerville"/>
          <w:bCs/>
        </w:rPr>
        <w:t>ía</w:t>
      </w:r>
      <w:r w:rsidRPr="00546952">
        <w:rPr>
          <w:rFonts w:ascii="NewBaskerville" w:hAnsi="NewBaskerville"/>
          <w:bCs/>
        </w:rPr>
        <w:t xml:space="preserve"> del mantenimiento, la conservación y la gestión de todos los elementos comprendidos en la</w:t>
      </w:r>
      <w:r w:rsidR="00747953" w:rsidRPr="00546952">
        <w:rPr>
          <w:rFonts w:ascii="NewBaskerville" w:hAnsi="NewBaskerville"/>
          <w:bCs/>
        </w:rPr>
        <w:t xml:space="preserve"> zona del Paseo Marítimo de titu</w:t>
      </w:r>
      <w:r w:rsidRPr="00546952">
        <w:rPr>
          <w:rFonts w:ascii="NewBaskerville" w:hAnsi="NewBaskerville"/>
          <w:bCs/>
        </w:rPr>
        <w:t>laridad patrimonial de la AP</w:t>
      </w:r>
      <w:r w:rsidR="002E445F">
        <w:rPr>
          <w:rFonts w:ascii="NewBaskerville" w:hAnsi="NewBaskerville"/>
          <w:bCs/>
        </w:rPr>
        <w:t>B</w:t>
      </w:r>
      <w:r w:rsidRPr="00546952">
        <w:rPr>
          <w:rFonts w:ascii="NewBaskerville" w:hAnsi="NewBaskerville"/>
          <w:bCs/>
        </w:rPr>
        <w:t>. Estos costes fueron valorados inicialmente en 1.046.006,84 euros anuales.</w:t>
      </w:r>
      <w:r w:rsidR="00552795">
        <w:rPr>
          <w:rFonts w:ascii="NewBaskerville" w:hAnsi="NewBaskerville"/>
          <w:bCs/>
        </w:rPr>
        <w:t xml:space="preserve"> Con la entrada en vigor del Convenio, el Ayuntamiento, como contraprestación de las inversiones que la APB realizaría en zona municipal y de las actuaciones adicionales solicitadas por el Ayuntamiento de Palma, </w:t>
      </w:r>
      <w:r w:rsidR="00762251">
        <w:rPr>
          <w:rFonts w:ascii="NewBaskerville" w:hAnsi="NewBaskerville"/>
          <w:bCs/>
        </w:rPr>
        <w:t>compensaría con los gastos sufragados debidos al mantenimiento y gestión de la zona patrimonial.</w:t>
      </w:r>
    </w:p>
    <w:p w:rsidR="00762251" w:rsidRDefault="00762251" w:rsidP="00546952">
      <w:pPr>
        <w:tabs>
          <w:tab w:val="right" w:pos="8364"/>
        </w:tabs>
        <w:ind w:firstLine="567"/>
        <w:jc w:val="both"/>
        <w:rPr>
          <w:rFonts w:ascii="NewBaskerville" w:hAnsi="NewBaskerville"/>
          <w:bCs/>
        </w:rPr>
      </w:pPr>
    </w:p>
    <w:p w:rsidR="00762251" w:rsidRDefault="00572610" w:rsidP="00546952">
      <w:pPr>
        <w:tabs>
          <w:tab w:val="right" w:pos="8364"/>
        </w:tabs>
        <w:ind w:firstLine="567"/>
        <w:jc w:val="both"/>
        <w:rPr>
          <w:rFonts w:ascii="NewBaskerville" w:hAnsi="NewBaskerville"/>
          <w:bCs/>
        </w:rPr>
      </w:pPr>
      <w:r>
        <w:rPr>
          <w:rFonts w:ascii="NewBaskerville" w:hAnsi="NewBaskerville"/>
          <w:bCs/>
        </w:rPr>
        <w:t>En el ejercicio 2024 se han validado por la APB unos gastos de mantenimiento, conservación y gestión por importe de 2.854.524,58 euros, aplicándose a la provisión reconocida. Y en atención al Convenio</w:t>
      </w:r>
      <w:r w:rsidR="00F821C3">
        <w:rPr>
          <w:rFonts w:ascii="NewBaskerville" w:hAnsi="NewBaskerville"/>
          <w:bCs/>
        </w:rPr>
        <w:t>,</w:t>
      </w:r>
      <w:r>
        <w:rPr>
          <w:rFonts w:ascii="NewBaskerville" w:hAnsi="NewBaskerville"/>
          <w:bCs/>
        </w:rPr>
        <w:t xml:space="preserve"> reconociéndose un anticipo a cuenta a largo plazo por el mismo importe </w:t>
      </w:r>
      <w:r w:rsidR="00F821C3">
        <w:rPr>
          <w:rFonts w:ascii="NewBaskerville" w:hAnsi="NewBaskerville"/>
          <w:bCs/>
        </w:rPr>
        <w:t xml:space="preserve">y compensación por la contraprestación de las inversiones en curso, antes detalladas, que ejecuta la APB. Ejecución en curso </w:t>
      </w:r>
      <w:r w:rsidR="00F821C3">
        <w:rPr>
          <w:rFonts w:ascii="NewBaskerville" w:hAnsi="NewBaskerville"/>
          <w:bCs/>
        </w:rPr>
        <w:lastRenderedPageBreak/>
        <w:t xml:space="preserve">que en la parte que corresponde sufragar al Ayuntamiento se valora </w:t>
      </w:r>
      <w:r w:rsidR="009239A2">
        <w:rPr>
          <w:rFonts w:ascii="NewBaskerville" w:hAnsi="NewBaskerville"/>
          <w:bCs/>
        </w:rPr>
        <w:t xml:space="preserve">a 31/12/2024 </w:t>
      </w:r>
      <w:r w:rsidR="00F821C3">
        <w:rPr>
          <w:rFonts w:ascii="NewBaskerville" w:hAnsi="NewBaskerville"/>
          <w:bCs/>
        </w:rPr>
        <w:t>en un acumulado de 5.799.580,27 euros.</w:t>
      </w:r>
    </w:p>
    <w:p w:rsidR="00762251" w:rsidRDefault="00762251" w:rsidP="00546952">
      <w:pPr>
        <w:tabs>
          <w:tab w:val="right" w:pos="8364"/>
        </w:tabs>
        <w:ind w:firstLine="567"/>
        <w:jc w:val="both"/>
        <w:rPr>
          <w:rFonts w:ascii="NewBaskerville" w:hAnsi="NewBaskerville"/>
          <w:bCs/>
        </w:rPr>
      </w:pPr>
    </w:p>
    <w:p w:rsidR="00514E88" w:rsidRDefault="007B662C" w:rsidP="00546952">
      <w:pPr>
        <w:tabs>
          <w:tab w:val="right" w:pos="8364"/>
        </w:tabs>
        <w:ind w:firstLine="567"/>
        <w:jc w:val="both"/>
        <w:rPr>
          <w:rFonts w:ascii="NewBaskerville" w:hAnsi="NewBaskerville"/>
          <w:bCs/>
        </w:rPr>
      </w:pPr>
      <w:r w:rsidRPr="00546952">
        <w:rPr>
          <w:rFonts w:ascii="NewBaskerville" w:hAnsi="NewBaskerville"/>
          <w:bCs/>
        </w:rPr>
        <w:t>Al cierre de ejercicio queda</w:t>
      </w:r>
      <w:r w:rsidR="00465399">
        <w:rPr>
          <w:rFonts w:ascii="NewBaskerville" w:hAnsi="NewBaskerville"/>
          <w:bCs/>
        </w:rPr>
        <w:t>n</w:t>
      </w:r>
      <w:r w:rsidRPr="00546952">
        <w:rPr>
          <w:rFonts w:ascii="NewBaskerville" w:hAnsi="NewBaskerville"/>
          <w:bCs/>
        </w:rPr>
        <w:t xml:space="preserve"> pendiente</w:t>
      </w:r>
      <w:r w:rsidR="002E445F">
        <w:rPr>
          <w:rFonts w:ascii="NewBaskerville" w:hAnsi="NewBaskerville"/>
          <w:bCs/>
        </w:rPr>
        <w:t>s</w:t>
      </w:r>
      <w:r w:rsidRPr="00546952">
        <w:rPr>
          <w:rFonts w:ascii="NewBaskerville" w:hAnsi="NewBaskerville"/>
          <w:bCs/>
        </w:rPr>
        <w:t xml:space="preserve"> </w:t>
      </w:r>
      <w:r w:rsidR="002E445F">
        <w:rPr>
          <w:rFonts w:ascii="NewBaskerville" w:hAnsi="NewBaskerville"/>
          <w:bCs/>
        </w:rPr>
        <w:t>de</w:t>
      </w:r>
      <w:r w:rsidRPr="00546952">
        <w:rPr>
          <w:rFonts w:ascii="NewBaskerville" w:hAnsi="NewBaskerville"/>
          <w:bCs/>
        </w:rPr>
        <w:t xml:space="preserve"> pago</w:t>
      </w:r>
      <w:r w:rsidR="00546952">
        <w:rPr>
          <w:rFonts w:ascii="NewBaskerville" w:hAnsi="NewBaskerville"/>
          <w:bCs/>
        </w:rPr>
        <w:t>, o compensación,</w:t>
      </w:r>
      <w:r w:rsidRPr="00546952">
        <w:rPr>
          <w:rFonts w:ascii="NewBaskerville" w:hAnsi="NewBaskerville"/>
          <w:bCs/>
        </w:rPr>
        <w:t xml:space="preserve"> la</w:t>
      </w:r>
      <w:r w:rsidR="002E445F">
        <w:rPr>
          <w:rFonts w:ascii="NewBaskerville" w:hAnsi="NewBaskerville"/>
          <w:bCs/>
        </w:rPr>
        <w:t>s aportaciones</w:t>
      </w:r>
      <w:r w:rsidR="00D13F3E">
        <w:rPr>
          <w:rFonts w:ascii="NewBaskerville" w:hAnsi="NewBaskerville"/>
          <w:bCs/>
        </w:rPr>
        <w:t xml:space="preserve"> del Ayuntamiento</w:t>
      </w:r>
      <w:r w:rsidRPr="00546952">
        <w:rPr>
          <w:rFonts w:ascii="NewBaskerville" w:hAnsi="NewBaskerville"/>
          <w:bCs/>
        </w:rPr>
        <w:t xml:space="preserve"> de 202</w:t>
      </w:r>
      <w:r w:rsidR="00D13F3E">
        <w:rPr>
          <w:rFonts w:ascii="NewBaskerville" w:hAnsi="NewBaskerville"/>
          <w:bCs/>
        </w:rPr>
        <w:t>3 y 2024,</w:t>
      </w:r>
      <w:r w:rsidR="00B52FCE">
        <w:rPr>
          <w:rFonts w:ascii="NewBaskerville" w:hAnsi="NewBaskerville"/>
          <w:bCs/>
        </w:rPr>
        <w:t xml:space="preserve"> </w:t>
      </w:r>
      <w:r w:rsidR="002E445F">
        <w:rPr>
          <w:rFonts w:ascii="NewBaskerville" w:hAnsi="NewBaskerville"/>
          <w:bCs/>
        </w:rPr>
        <w:t>por lo que se ha estimado reconoce</w:t>
      </w:r>
      <w:r w:rsidR="00B52FCE">
        <w:rPr>
          <w:rFonts w:ascii="NewBaskerville" w:hAnsi="NewBaskerville"/>
          <w:bCs/>
        </w:rPr>
        <w:t>r una provisión que a 31/12/202</w:t>
      </w:r>
      <w:r w:rsidR="00D13F3E">
        <w:rPr>
          <w:rFonts w:ascii="NewBaskerville" w:hAnsi="NewBaskerville"/>
          <w:bCs/>
        </w:rPr>
        <w:t>4</w:t>
      </w:r>
      <w:r w:rsidR="002E445F">
        <w:rPr>
          <w:rFonts w:ascii="NewBaskerville" w:hAnsi="NewBaskerville"/>
          <w:bCs/>
        </w:rPr>
        <w:t xml:space="preserve"> asciende a </w:t>
      </w:r>
      <w:r w:rsidR="00D13F3E">
        <w:rPr>
          <w:rFonts w:ascii="NewBaskerville" w:hAnsi="NewBaskerville"/>
          <w:bCs/>
        </w:rPr>
        <w:t>1.754</w:t>
      </w:r>
      <w:r w:rsidR="002E445F">
        <w:rPr>
          <w:rFonts w:ascii="NewBaskerville" w:hAnsi="NewBaskerville"/>
          <w:bCs/>
        </w:rPr>
        <w:t>.</w:t>
      </w:r>
      <w:r w:rsidR="00D13F3E">
        <w:rPr>
          <w:rFonts w:ascii="NewBaskerville" w:hAnsi="NewBaskerville"/>
          <w:bCs/>
        </w:rPr>
        <w:t xml:space="preserve">916,92 </w:t>
      </w:r>
      <w:r w:rsidR="002E445F">
        <w:rPr>
          <w:rFonts w:ascii="NewBaskerville" w:hAnsi="NewBaskerville"/>
          <w:bCs/>
        </w:rPr>
        <w:t xml:space="preserve">euros, dotándose en </w:t>
      </w:r>
      <w:r w:rsidR="00B52FCE">
        <w:rPr>
          <w:rFonts w:ascii="NewBaskerville" w:hAnsi="NewBaskerville"/>
          <w:bCs/>
        </w:rPr>
        <w:t>el 202</w:t>
      </w:r>
      <w:r w:rsidR="00D13F3E">
        <w:rPr>
          <w:rFonts w:ascii="NewBaskerville" w:hAnsi="NewBaskerville"/>
          <w:bCs/>
        </w:rPr>
        <w:t>4</w:t>
      </w:r>
      <w:r w:rsidR="002E445F">
        <w:rPr>
          <w:rFonts w:ascii="NewBaskerville" w:hAnsi="NewBaskerville"/>
          <w:bCs/>
        </w:rPr>
        <w:t xml:space="preserve"> </w:t>
      </w:r>
      <w:r w:rsidR="000F54F0">
        <w:rPr>
          <w:rFonts w:ascii="NewBaskerville" w:hAnsi="NewBaskerville"/>
          <w:bCs/>
        </w:rPr>
        <w:t>en el</w:t>
      </w:r>
      <w:r w:rsidR="002E445F">
        <w:rPr>
          <w:rFonts w:ascii="NewBaskerville" w:hAnsi="NewBaskerville"/>
          <w:bCs/>
        </w:rPr>
        <w:t xml:space="preserve"> importe de 1.</w:t>
      </w:r>
      <w:r w:rsidR="00D13F3E">
        <w:rPr>
          <w:rFonts w:ascii="NewBaskerville" w:hAnsi="NewBaskerville"/>
          <w:bCs/>
        </w:rPr>
        <w:t>046</w:t>
      </w:r>
      <w:r w:rsidR="00B52FCE">
        <w:rPr>
          <w:rFonts w:ascii="NewBaskerville" w:hAnsi="NewBaskerville"/>
          <w:bCs/>
        </w:rPr>
        <w:t>.</w:t>
      </w:r>
      <w:r w:rsidR="00D13F3E">
        <w:rPr>
          <w:rFonts w:ascii="NewBaskerville" w:hAnsi="NewBaskerville"/>
          <w:bCs/>
        </w:rPr>
        <w:t>006</w:t>
      </w:r>
      <w:r w:rsidR="002E445F">
        <w:rPr>
          <w:rFonts w:ascii="NewBaskerville" w:hAnsi="NewBaskerville"/>
          <w:bCs/>
        </w:rPr>
        <w:t>,</w:t>
      </w:r>
      <w:r w:rsidR="00D13F3E">
        <w:rPr>
          <w:rFonts w:ascii="NewBaskerville" w:hAnsi="NewBaskerville"/>
          <w:bCs/>
        </w:rPr>
        <w:t>84</w:t>
      </w:r>
      <w:r w:rsidR="002E445F">
        <w:rPr>
          <w:rFonts w:ascii="NewBaskerville" w:hAnsi="NewBaskerville"/>
          <w:bCs/>
        </w:rPr>
        <w:t xml:space="preserve"> euros</w:t>
      </w:r>
      <w:r w:rsidR="00465399">
        <w:rPr>
          <w:rFonts w:ascii="NewBaskerville" w:hAnsi="NewBaskerville"/>
          <w:bCs/>
        </w:rPr>
        <w:t>.</w:t>
      </w:r>
      <w:r w:rsidR="00B52FCE">
        <w:rPr>
          <w:rFonts w:ascii="NewBaskerville" w:hAnsi="NewBaskerville"/>
          <w:bCs/>
        </w:rPr>
        <w:t xml:space="preserve"> </w:t>
      </w:r>
      <w:r w:rsidR="002E445F">
        <w:rPr>
          <w:rFonts w:ascii="NewBaskerville" w:hAnsi="NewBaskerville"/>
          <w:bCs/>
        </w:rPr>
        <w:t>Esta provisión no se actualiza financieramente.</w:t>
      </w:r>
    </w:p>
    <w:p w:rsidR="00D13F3E" w:rsidRDefault="00D13F3E" w:rsidP="00546952">
      <w:pPr>
        <w:tabs>
          <w:tab w:val="right" w:pos="8364"/>
        </w:tabs>
        <w:ind w:firstLine="567"/>
        <w:jc w:val="both"/>
        <w:rPr>
          <w:rFonts w:ascii="NewBaskerville" w:hAnsi="NewBaskerville"/>
          <w:bCs/>
        </w:rPr>
      </w:pPr>
    </w:p>
    <w:p w:rsidR="00D13F3E" w:rsidRDefault="00D13F3E" w:rsidP="00546952">
      <w:pPr>
        <w:tabs>
          <w:tab w:val="right" w:pos="8364"/>
        </w:tabs>
        <w:ind w:firstLine="567"/>
        <w:jc w:val="both"/>
        <w:rPr>
          <w:rFonts w:ascii="NewBaskerville" w:hAnsi="NewBaskerville"/>
          <w:bCs/>
        </w:rPr>
      </w:pPr>
    </w:p>
    <w:p w:rsidR="00D13F3E" w:rsidRDefault="00A26679" w:rsidP="00D13F3E">
      <w:pPr>
        <w:numPr>
          <w:ilvl w:val="0"/>
          <w:numId w:val="2"/>
        </w:numPr>
        <w:tabs>
          <w:tab w:val="right" w:pos="8364"/>
        </w:tabs>
        <w:jc w:val="both"/>
        <w:rPr>
          <w:rFonts w:ascii="NewBaskerville" w:hAnsi="NewBaskerville"/>
          <w:bCs/>
          <w:u w:val="single"/>
        </w:rPr>
      </w:pPr>
      <w:r>
        <w:rPr>
          <w:rFonts w:ascii="NewBaskerville" w:hAnsi="NewBaskerville"/>
          <w:bCs/>
          <w:u w:val="single"/>
        </w:rPr>
        <w:t>Proceso “EXOLUM”</w:t>
      </w:r>
    </w:p>
    <w:p w:rsidR="005447E8" w:rsidRDefault="005447E8" w:rsidP="005447E8">
      <w:pPr>
        <w:tabs>
          <w:tab w:val="right" w:pos="8364"/>
        </w:tabs>
        <w:ind w:firstLine="567"/>
        <w:jc w:val="both"/>
        <w:rPr>
          <w:rFonts w:ascii="NewBaskerville" w:hAnsi="NewBaskerville"/>
          <w:bCs/>
          <w:u w:val="single"/>
        </w:rPr>
      </w:pPr>
    </w:p>
    <w:p w:rsidR="005447E8" w:rsidRDefault="00B9746B" w:rsidP="005447E8">
      <w:pPr>
        <w:tabs>
          <w:tab w:val="right" w:pos="8364"/>
        </w:tabs>
        <w:ind w:firstLine="567"/>
        <w:jc w:val="both"/>
        <w:rPr>
          <w:rFonts w:ascii="NewBaskerville" w:hAnsi="NewBaskerville"/>
          <w:bCs/>
        </w:rPr>
      </w:pPr>
      <w:r>
        <w:rPr>
          <w:rFonts w:ascii="NewBaskerville" w:hAnsi="NewBaskerville"/>
          <w:bCs/>
        </w:rPr>
        <w:t xml:space="preserve">En fecha </w:t>
      </w:r>
      <w:r w:rsidR="00BB019C">
        <w:rPr>
          <w:rFonts w:ascii="NewBaskerville" w:hAnsi="NewBaskerville"/>
          <w:bCs/>
        </w:rPr>
        <w:t>26</w:t>
      </w:r>
      <w:r>
        <w:rPr>
          <w:rFonts w:ascii="NewBaskerville" w:hAnsi="NewBaskerville"/>
          <w:bCs/>
        </w:rPr>
        <w:t>/</w:t>
      </w:r>
      <w:r w:rsidR="00BB019C">
        <w:rPr>
          <w:rFonts w:ascii="NewBaskerville" w:hAnsi="NewBaskerville"/>
          <w:bCs/>
        </w:rPr>
        <w:t>08</w:t>
      </w:r>
      <w:r>
        <w:rPr>
          <w:rFonts w:ascii="NewBaskerville" w:hAnsi="NewBaskerville"/>
          <w:bCs/>
        </w:rPr>
        <w:t xml:space="preserve">/2024 la compañía EXOLUM CORPORATION, S.A. presentó Reclamación de Responsabilidad Patrimonial ante la APB en la que, solidariamente, solicitaba que se le indemnizara por el importe derivado de los daños en las instalaciones de descarga de combustible de la </w:t>
      </w:r>
      <w:r w:rsidR="003F23D8">
        <w:rPr>
          <w:rFonts w:ascii="NewBaskerville" w:hAnsi="NewBaskerville"/>
          <w:bCs/>
        </w:rPr>
        <w:t>C</w:t>
      </w:r>
      <w:r>
        <w:rPr>
          <w:rFonts w:ascii="NewBaskerville" w:hAnsi="NewBaskerville"/>
          <w:bCs/>
        </w:rPr>
        <w:t>ompañía en el Puerto de Palma, producida por la colisión entre el crucero Britannia y el petrolero Castillo de Arteaga en fecha 27/08/2023.</w:t>
      </w:r>
    </w:p>
    <w:p w:rsidR="00B9746B" w:rsidRDefault="00B9746B" w:rsidP="005447E8">
      <w:pPr>
        <w:tabs>
          <w:tab w:val="right" w:pos="8364"/>
        </w:tabs>
        <w:ind w:firstLine="567"/>
        <w:jc w:val="both"/>
        <w:rPr>
          <w:rFonts w:ascii="NewBaskerville" w:hAnsi="NewBaskerville"/>
          <w:bCs/>
        </w:rPr>
      </w:pPr>
    </w:p>
    <w:p w:rsidR="00D13F3E" w:rsidRDefault="00B9746B" w:rsidP="00546952">
      <w:pPr>
        <w:tabs>
          <w:tab w:val="right" w:pos="8364"/>
        </w:tabs>
        <w:ind w:firstLine="567"/>
        <w:jc w:val="both"/>
        <w:rPr>
          <w:rFonts w:ascii="NewBaskerville" w:hAnsi="NewBaskerville"/>
          <w:bCs/>
        </w:rPr>
      </w:pPr>
      <w:r>
        <w:rPr>
          <w:rFonts w:ascii="NewBaskerville" w:hAnsi="NewBaskerville"/>
          <w:bCs/>
        </w:rPr>
        <w:t>La APB ha estimado dotar una provisión a cierre del ejercicio por el importe de la cantidad reclamada que excede el límite máximo por siniestro del seguro de responsabilidad civil de las Autoridades Portuarias y Puertos del Estado, incluyendo la franquicia. Siendo su saldo reconocido a 31/12/2024 de 5.508.000,00 euros.</w:t>
      </w:r>
    </w:p>
    <w:p w:rsidR="00D13F3E" w:rsidRPr="00546952" w:rsidRDefault="00D13F3E" w:rsidP="00546952">
      <w:pPr>
        <w:tabs>
          <w:tab w:val="right" w:pos="8364"/>
        </w:tabs>
        <w:ind w:firstLine="567"/>
        <w:jc w:val="both"/>
        <w:rPr>
          <w:rFonts w:ascii="NewBaskerville" w:hAnsi="NewBaskerville"/>
          <w:bCs/>
        </w:rPr>
      </w:pPr>
    </w:p>
    <w:p w:rsidR="00F5454C" w:rsidRPr="00536F43" w:rsidRDefault="00F5454C" w:rsidP="00536F43">
      <w:pPr>
        <w:tabs>
          <w:tab w:val="right" w:pos="8364"/>
        </w:tabs>
        <w:ind w:left="567"/>
        <w:jc w:val="both"/>
        <w:rPr>
          <w:bCs/>
        </w:rPr>
      </w:pPr>
    </w:p>
    <w:p w:rsidR="00357986" w:rsidRPr="002E445F" w:rsidRDefault="00357986" w:rsidP="00F5454C">
      <w:pPr>
        <w:numPr>
          <w:ilvl w:val="0"/>
          <w:numId w:val="2"/>
        </w:numPr>
        <w:tabs>
          <w:tab w:val="right" w:pos="8364"/>
        </w:tabs>
        <w:jc w:val="both"/>
        <w:rPr>
          <w:rFonts w:ascii="NewBaskerville" w:hAnsi="NewBaskerville"/>
          <w:bCs/>
          <w:u w:val="single"/>
        </w:rPr>
      </w:pPr>
      <w:r w:rsidRPr="002E445F">
        <w:rPr>
          <w:rFonts w:ascii="NewBaskerville" w:hAnsi="NewBaskerville"/>
          <w:bCs/>
          <w:u w:val="single"/>
        </w:rPr>
        <w:t>Otras provisiones</w:t>
      </w:r>
    </w:p>
    <w:p w:rsidR="00357986" w:rsidRDefault="00357986" w:rsidP="00357986">
      <w:pPr>
        <w:tabs>
          <w:tab w:val="right" w:pos="8364"/>
        </w:tabs>
        <w:ind w:left="720"/>
        <w:jc w:val="both"/>
        <w:rPr>
          <w:bCs/>
          <w:u w:val="single"/>
        </w:rPr>
      </w:pPr>
    </w:p>
    <w:p w:rsidR="00CC534B" w:rsidRDefault="00CC534B" w:rsidP="002E445F">
      <w:pPr>
        <w:tabs>
          <w:tab w:val="right" w:pos="8364"/>
        </w:tabs>
        <w:ind w:firstLine="567"/>
        <w:jc w:val="both"/>
        <w:rPr>
          <w:rFonts w:ascii="NewBaskerville" w:hAnsi="NewBaskerville"/>
          <w:bCs/>
        </w:rPr>
      </w:pPr>
    </w:p>
    <w:p w:rsidR="00CC534B" w:rsidRDefault="00CC534B" w:rsidP="002E445F">
      <w:pPr>
        <w:tabs>
          <w:tab w:val="right" w:pos="8364"/>
        </w:tabs>
        <w:ind w:firstLine="567"/>
        <w:jc w:val="both"/>
        <w:rPr>
          <w:rFonts w:ascii="NewBaskerville" w:hAnsi="NewBaskerville"/>
          <w:bCs/>
        </w:rPr>
      </w:pPr>
      <w:r>
        <w:rPr>
          <w:rFonts w:ascii="NewBaskerville" w:hAnsi="NewBaskerville"/>
          <w:bCs/>
          <w:u w:val="single"/>
        </w:rPr>
        <w:t>Provisiones a corto plazo</w:t>
      </w:r>
    </w:p>
    <w:p w:rsidR="00CC534B" w:rsidRPr="00CC534B" w:rsidRDefault="00CC534B" w:rsidP="002E445F">
      <w:pPr>
        <w:tabs>
          <w:tab w:val="right" w:pos="8364"/>
        </w:tabs>
        <w:ind w:firstLine="567"/>
        <w:jc w:val="both"/>
        <w:rPr>
          <w:rFonts w:ascii="NewBaskerville" w:hAnsi="NewBaskerville"/>
          <w:bCs/>
        </w:rPr>
      </w:pPr>
    </w:p>
    <w:p w:rsidR="00CC534B" w:rsidRDefault="00CC534B" w:rsidP="002E445F">
      <w:pPr>
        <w:tabs>
          <w:tab w:val="right" w:pos="8364"/>
        </w:tabs>
        <w:ind w:firstLine="567"/>
        <w:jc w:val="both"/>
        <w:rPr>
          <w:rFonts w:ascii="NewBaskerville" w:hAnsi="NewBaskerville"/>
          <w:bCs/>
        </w:rPr>
      </w:pPr>
      <w:r>
        <w:rPr>
          <w:rFonts w:ascii="NewBaskerville" w:hAnsi="NewBaskerville"/>
          <w:bCs/>
        </w:rPr>
        <w:t>En el ejercicio 202</w:t>
      </w:r>
      <w:r w:rsidR="006F754A">
        <w:rPr>
          <w:rFonts w:ascii="NewBaskerville" w:hAnsi="NewBaskerville"/>
          <w:bCs/>
        </w:rPr>
        <w:t>4</w:t>
      </w:r>
      <w:r>
        <w:rPr>
          <w:rFonts w:ascii="NewBaskerville" w:hAnsi="NewBaskerville"/>
          <w:bCs/>
        </w:rPr>
        <w:t xml:space="preserve"> se ha provisionado la cantidad de </w:t>
      </w:r>
      <w:r w:rsidR="006F754A">
        <w:rPr>
          <w:rFonts w:ascii="NewBaskerville" w:hAnsi="NewBaskerville"/>
          <w:bCs/>
        </w:rPr>
        <w:t>85</w:t>
      </w:r>
      <w:r>
        <w:rPr>
          <w:rFonts w:ascii="NewBaskerville" w:hAnsi="NewBaskerville"/>
          <w:bCs/>
        </w:rPr>
        <w:t>.</w:t>
      </w:r>
      <w:r w:rsidR="006F754A">
        <w:rPr>
          <w:rFonts w:ascii="NewBaskerville" w:hAnsi="NewBaskerville"/>
          <w:bCs/>
        </w:rPr>
        <w:t>703</w:t>
      </w:r>
      <w:r>
        <w:rPr>
          <w:rFonts w:ascii="NewBaskerville" w:hAnsi="NewBaskerville"/>
          <w:bCs/>
        </w:rPr>
        <w:t>,</w:t>
      </w:r>
      <w:r w:rsidR="006F754A">
        <w:rPr>
          <w:rFonts w:ascii="NewBaskerville" w:hAnsi="NewBaskerville"/>
          <w:bCs/>
        </w:rPr>
        <w:t>32</w:t>
      </w:r>
      <w:r>
        <w:rPr>
          <w:rFonts w:ascii="NewBaskerville" w:hAnsi="NewBaskerville"/>
          <w:bCs/>
        </w:rPr>
        <w:t xml:space="preserve"> euros como consecuencia de la efectiva aplicación del incremento salarial en un 0,5</w:t>
      </w:r>
      <w:r w:rsidR="00A65372">
        <w:rPr>
          <w:rFonts w:ascii="NewBaskerville" w:hAnsi="NewBaskerville"/>
          <w:bCs/>
        </w:rPr>
        <w:t>% al personal de la APB, con efectos del 01/01/202</w:t>
      </w:r>
      <w:r w:rsidR="006F754A">
        <w:rPr>
          <w:rFonts w:ascii="NewBaskerville" w:hAnsi="NewBaskerville"/>
          <w:bCs/>
        </w:rPr>
        <w:t>4</w:t>
      </w:r>
      <w:r w:rsidR="00A65372">
        <w:rPr>
          <w:rFonts w:ascii="NewBaskerville" w:hAnsi="NewBaskerville"/>
          <w:bCs/>
        </w:rPr>
        <w:t xml:space="preserve"> según </w:t>
      </w:r>
      <w:r w:rsidR="006F754A">
        <w:rPr>
          <w:rFonts w:ascii="NewBaskerville" w:hAnsi="NewBaskerville"/>
          <w:bCs/>
        </w:rPr>
        <w:t>lo establecido en el artículo 6 del Real Decreto</w:t>
      </w:r>
      <w:r w:rsidR="004902D1">
        <w:rPr>
          <w:rFonts w:ascii="NewBaskerville" w:hAnsi="NewBaskerville"/>
          <w:bCs/>
        </w:rPr>
        <w:t>--l</w:t>
      </w:r>
      <w:r w:rsidR="006F754A">
        <w:rPr>
          <w:rFonts w:ascii="NewBaskerville" w:hAnsi="NewBaskerville"/>
          <w:bCs/>
        </w:rPr>
        <w:t>ey 4/2024, de 26 de junio.</w:t>
      </w:r>
    </w:p>
    <w:p w:rsidR="00A65372" w:rsidRDefault="00A65372" w:rsidP="002E445F">
      <w:pPr>
        <w:tabs>
          <w:tab w:val="right" w:pos="8364"/>
        </w:tabs>
        <w:ind w:firstLine="567"/>
        <w:jc w:val="both"/>
        <w:rPr>
          <w:rFonts w:ascii="NewBaskerville" w:hAnsi="NewBaskerville"/>
          <w:bCs/>
        </w:rPr>
      </w:pPr>
    </w:p>
    <w:p w:rsidR="00A65372" w:rsidRDefault="00A65372" w:rsidP="00A65372">
      <w:pPr>
        <w:numPr>
          <w:ilvl w:val="0"/>
          <w:numId w:val="2"/>
        </w:numPr>
        <w:tabs>
          <w:tab w:val="right" w:pos="8364"/>
        </w:tabs>
        <w:jc w:val="both"/>
        <w:rPr>
          <w:rFonts w:ascii="NewBaskerville" w:hAnsi="NewBaskerville"/>
          <w:bCs/>
          <w:u w:val="single"/>
        </w:rPr>
      </w:pPr>
      <w:r>
        <w:rPr>
          <w:rFonts w:ascii="NewBaskerville" w:hAnsi="NewBaskerville"/>
          <w:bCs/>
          <w:u w:val="single"/>
        </w:rPr>
        <w:t>Contingencias</w:t>
      </w:r>
    </w:p>
    <w:p w:rsidR="00A65372" w:rsidRDefault="00A65372" w:rsidP="00A65372">
      <w:pPr>
        <w:tabs>
          <w:tab w:val="right" w:pos="8364"/>
        </w:tabs>
        <w:ind w:left="720"/>
        <w:jc w:val="both"/>
        <w:rPr>
          <w:rFonts w:ascii="NewBaskerville" w:hAnsi="NewBaskerville"/>
          <w:bCs/>
          <w:u w:val="single"/>
        </w:rPr>
      </w:pPr>
    </w:p>
    <w:p w:rsidR="00A65372" w:rsidRDefault="00744A3B" w:rsidP="00A65372">
      <w:pPr>
        <w:tabs>
          <w:tab w:val="right" w:pos="8364"/>
        </w:tabs>
        <w:ind w:firstLine="567"/>
        <w:jc w:val="both"/>
        <w:rPr>
          <w:rFonts w:ascii="NewBaskerville" w:hAnsi="NewBaskerville"/>
          <w:bCs/>
        </w:rPr>
      </w:pPr>
      <w:r>
        <w:rPr>
          <w:rFonts w:ascii="NewBaskerville" w:hAnsi="NewBaskerville"/>
          <w:bCs/>
        </w:rPr>
        <w:t xml:space="preserve">La Comisión Negociadora del III Convenio Colectivo de Puertos del Estado y Autoridades Portuarias aprobó cantidades adicionales cada año para promociones y productividad, lo que supone en términos generales del Sistema Portuario un incremento del 1,64% anual de la masa salarial durante toda la vigencia del Convenio, hasta 2026. Debido a que el importe de esta obligación no puede valorarse con suficiente fiabilidad, no se ha dotado provisión. </w:t>
      </w:r>
    </w:p>
    <w:p w:rsidR="00C86371" w:rsidRDefault="00C86371" w:rsidP="00A65372">
      <w:pPr>
        <w:tabs>
          <w:tab w:val="right" w:pos="8364"/>
        </w:tabs>
        <w:ind w:firstLine="567"/>
        <w:jc w:val="both"/>
        <w:rPr>
          <w:rFonts w:ascii="NewBaskerville" w:hAnsi="NewBaskerville"/>
          <w:bCs/>
        </w:rPr>
      </w:pPr>
    </w:p>
    <w:p w:rsidR="00C86371" w:rsidRPr="00744A3B" w:rsidRDefault="001328BC" w:rsidP="00A65372">
      <w:pPr>
        <w:tabs>
          <w:tab w:val="right" w:pos="8364"/>
        </w:tabs>
        <w:ind w:firstLine="567"/>
        <w:jc w:val="both"/>
        <w:rPr>
          <w:rFonts w:ascii="NewBaskerville" w:hAnsi="NewBaskerville"/>
          <w:bCs/>
        </w:rPr>
      </w:pPr>
      <w:r>
        <w:rPr>
          <w:rFonts w:ascii="NewBaskerville" w:hAnsi="NewBaskerville"/>
          <w:bCs/>
        </w:rPr>
        <w:t>Existen en curso litigios y procesos judiciales</w:t>
      </w:r>
      <w:r w:rsidR="004208E0">
        <w:rPr>
          <w:rFonts w:ascii="NewBaskerville" w:hAnsi="NewBaskerville"/>
          <w:bCs/>
        </w:rPr>
        <w:t xml:space="preserve"> sin cantidad a reclamar a la APB</w:t>
      </w:r>
      <w:r>
        <w:rPr>
          <w:rFonts w:ascii="NewBaskerville" w:hAnsi="NewBaskerville"/>
          <w:bCs/>
        </w:rPr>
        <w:t xml:space="preserve"> </w:t>
      </w:r>
      <w:r w:rsidR="004208E0">
        <w:rPr>
          <w:rFonts w:ascii="NewBaskerville" w:hAnsi="NewBaskerville"/>
          <w:bCs/>
        </w:rPr>
        <w:t>que en función de su</w:t>
      </w:r>
      <w:r>
        <w:rPr>
          <w:rFonts w:ascii="NewBaskerville" w:hAnsi="NewBaskerville"/>
          <w:bCs/>
        </w:rPr>
        <w:t xml:space="preserve"> resolución</w:t>
      </w:r>
      <w:r w:rsidR="004208E0">
        <w:rPr>
          <w:rFonts w:ascii="NewBaskerville" w:hAnsi="NewBaskerville"/>
          <w:bCs/>
        </w:rPr>
        <w:t>,</w:t>
      </w:r>
      <w:r>
        <w:rPr>
          <w:rFonts w:ascii="NewBaskerville" w:hAnsi="NewBaskerville"/>
          <w:bCs/>
        </w:rPr>
        <w:t xml:space="preserve"> y sentido de </w:t>
      </w:r>
      <w:r w:rsidR="004208E0">
        <w:rPr>
          <w:rFonts w:ascii="NewBaskerville" w:hAnsi="NewBaskerville"/>
          <w:bCs/>
        </w:rPr>
        <w:t xml:space="preserve">las sentencias, podrían acarrear a la Entidad responsabilidades patrimoniales y civiles. Los importes de estas obligaciones no pueden valorarse con suficiente fiabilidad.  </w:t>
      </w:r>
    </w:p>
    <w:p w:rsidR="00CC534B" w:rsidRPr="002E445F" w:rsidRDefault="00CC534B" w:rsidP="002E445F">
      <w:pPr>
        <w:tabs>
          <w:tab w:val="right" w:pos="8364"/>
        </w:tabs>
        <w:ind w:firstLine="567"/>
        <w:jc w:val="both"/>
        <w:rPr>
          <w:rFonts w:ascii="NewBaskerville" w:hAnsi="NewBaskerville"/>
          <w:bCs/>
        </w:rPr>
      </w:pPr>
    </w:p>
    <w:p w:rsidR="00F5454C" w:rsidRDefault="00F5454C">
      <w:pPr>
        <w:pStyle w:val="Epgrafe"/>
        <w:ind w:left="567" w:hanging="567"/>
        <w:rPr>
          <w:bCs w:val="0"/>
          <w:sz w:val="24"/>
          <w:szCs w:val="24"/>
          <w:u w:val="none"/>
        </w:rPr>
      </w:pPr>
    </w:p>
    <w:p w:rsidR="000C4583" w:rsidRDefault="000C4583" w:rsidP="00357986">
      <w:pPr>
        <w:pStyle w:val="Sangra3detindependiente"/>
        <w:tabs>
          <w:tab w:val="clear" w:pos="5671"/>
          <w:tab w:val="clear" w:pos="7797"/>
          <w:tab w:val="right" w:pos="8364"/>
        </w:tabs>
        <w:rPr>
          <w:sz w:val="20"/>
          <w:szCs w:val="20"/>
        </w:rPr>
      </w:pPr>
    </w:p>
    <w:p w:rsidR="000C4583" w:rsidRDefault="000C4583" w:rsidP="00357986">
      <w:pPr>
        <w:pStyle w:val="Sangra3detindependiente"/>
        <w:tabs>
          <w:tab w:val="clear" w:pos="5671"/>
          <w:tab w:val="clear" w:pos="7797"/>
          <w:tab w:val="right" w:pos="8364"/>
        </w:tabs>
        <w:rPr>
          <w:sz w:val="20"/>
          <w:szCs w:val="20"/>
        </w:rPr>
      </w:pPr>
    </w:p>
    <w:p w:rsidR="00536F43" w:rsidRDefault="00536F43" w:rsidP="00536F43"/>
    <w:p w:rsidR="00914209" w:rsidRDefault="00914209" w:rsidP="00536F43"/>
    <w:p w:rsidR="00914209" w:rsidRPr="00536F43" w:rsidRDefault="00914209" w:rsidP="00536F43"/>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sectPr w:rsidR="004555FE" w:rsidSect="00304E6C">
          <w:pgSz w:w="11907" w:h="16840" w:code="9"/>
          <w:pgMar w:top="1701" w:right="1418" w:bottom="1701" w:left="1276" w:header="567" w:footer="720" w:gutter="0"/>
          <w:cols w:space="720"/>
          <w:docGrid w:linePitch="272"/>
        </w:sectPr>
      </w:pPr>
    </w:p>
    <w:p w:rsidR="002C4355" w:rsidRPr="009D2993" w:rsidRDefault="002E417C">
      <w:pPr>
        <w:pStyle w:val="Epgrafe"/>
        <w:ind w:left="567" w:hanging="567"/>
        <w:rPr>
          <w:rFonts w:ascii="NewBaskerville" w:hAnsi="NewBaskerville"/>
          <w:bCs w:val="0"/>
          <w:sz w:val="24"/>
          <w:szCs w:val="24"/>
          <w:u w:val="none"/>
        </w:rPr>
      </w:pPr>
      <w:r w:rsidRPr="009D2993">
        <w:rPr>
          <w:rFonts w:ascii="NewBaskerville" w:hAnsi="NewBaskerville"/>
          <w:bCs w:val="0"/>
          <w:sz w:val="24"/>
          <w:szCs w:val="24"/>
          <w:u w:val="none"/>
        </w:rPr>
        <w:lastRenderedPageBreak/>
        <w:t>1</w:t>
      </w:r>
      <w:r w:rsidR="00F706A9" w:rsidRPr="009D2993">
        <w:rPr>
          <w:rFonts w:ascii="NewBaskerville" w:hAnsi="NewBaskerville"/>
          <w:bCs w:val="0"/>
          <w:sz w:val="24"/>
          <w:szCs w:val="24"/>
          <w:u w:val="none"/>
        </w:rPr>
        <w:t>1</w:t>
      </w:r>
      <w:r w:rsidR="00BF22FE" w:rsidRPr="009D2993">
        <w:rPr>
          <w:rFonts w:ascii="NewBaskerville" w:hAnsi="NewBaskerville"/>
          <w:bCs w:val="0"/>
          <w:sz w:val="24"/>
          <w:szCs w:val="24"/>
          <w:u w:val="none"/>
        </w:rPr>
        <w:t xml:space="preserve">. </w:t>
      </w:r>
      <w:r w:rsidR="002C4355" w:rsidRPr="009D2993">
        <w:rPr>
          <w:rFonts w:ascii="NewBaskerville" w:hAnsi="NewBaskerville"/>
          <w:bCs w:val="0"/>
          <w:sz w:val="24"/>
          <w:szCs w:val="24"/>
          <w:u w:val="none"/>
        </w:rPr>
        <w:t>Subvenciones, donaciones y legados</w:t>
      </w:r>
    </w:p>
    <w:p w:rsidR="00847A98" w:rsidRDefault="00EE215C">
      <w:pPr>
        <w:rPr>
          <w:rFonts w:ascii="NewBaskerville" w:hAnsi="NewBaskerville"/>
        </w:rPr>
      </w:pPr>
      <w:r w:rsidRPr="009D2993">
        <w:rPr>
          <w:rFonts w:ascii="NewBaskerville" w:hAnsi="NewBaskerville"/>
        </w:rPr>
        <w:t xml:space="preserve">     </w:t>
      </w:r>
      <w:r w:rsidR="002C4355" w:rsidRPr="009D2993">
        <w:rPr>
          <w:rFonts w:ascii="NewBaskerville" w:hAnsi="NewBaskerville"/>
        </w:rPr>
        <w:t xml:space="preserve">Las subvenciones que ha recibido esta Autoridad Portuaria son subvenciones de capital no reintegrables </w:t>
      </w:r>
      <w:r w:rsidR="00766EC1">
        <w:rPr>
          <w:rFonts w:ascii="NewBaskerville" w:hAnsi="NewBaskerville"/>
        </w:rPr>
        <w:t xml:space="preserve">básicamente </w:t>
      </w:r>
      <w:r w:rsidR="002C4355" w:rsidRPr="009D2993">
        <w:rPr>
          <w:rFonts w:ascii="NewBaskerville" w:hAnsi="NewBaskerville"/>
        </w:rPr>
        <w:t>para la construcción de unas determinadas infraestructuras.</w:t>
      </w:r>
    </w:p>
    <w:p w:rsidR="00E12B17" w:rsidRDefault="00E12B17"/>
    <w:tbl>
      <w:tblPr>
        <w:tblW w:w="5010" w:type="pct"/>
        <w:tblCellMar>
          <w:left w:w="70" w:type="dxa"/>
          <w:right w:w="70" w:type="dxa"/>
        </w:tblCellMar>
        <w:tblLook w:val="04A0" w:firstRow="1" w:lastRow="0" w:firstColumn="1" w:lastColumn="0" w:noHBand="0" w:noVBand="1"/>
      </w:tblPr>
      <w:tblGrid>
        <w:gridCol w:w="5220"/>
        <w:gridCol w:w="1244"/>
        <w:gridCol w:w="1243"/>
        <w:gridCol w:w="1129"/>
        <w:gridCol w:w="1246"/>
        <w:gridCol w:w="1170"/>
        <w:gridCol w:w="1148"/>
        <w:gridCol w:w="1205"/>
      </w:tblGrid>
      <w:tr w:rsidR="006A25FF" w:rsidRPr="006A25FF" w:rsidTr="006A25FF">
        <w:trPr>
          <w:trHeight w:val="224"/>
        </w:trPr>
        <w:tc>
          <w:tcPr>
            <w:tcW w:w="4135" w:type="pct"/>
            <w:gridSpan w:val="6"/>
            <w:tcBorders>
              <w:top w:val="nil"/>
              <w:left w:val="nil"/>
              <w:bottom w:val="single" w:sz="4" w:space="0" w:color="auto"/>
              <w:right w:val="nil"/>
            </w:tcBorders>
            <w:shd w:val="clear" w:color="000000" w:fill="FFFFFF"/>
            <w:noWrap/>
            <w:vAlign w:val="bottom"/>
            <w:hideMark/>
          </w:tcPr>
          <w:p w:rsidR="006A25FF" w:rsidRPr="006A25FF" w:rsidRDefault="006A25FF" w:rsidP="006A25FF">
            <w:pPr>
              <w:rPr>
                <w:rFonts w:ascii="Lucida Bright" w:hAnsi="Lucida Bright" w:cs="Calibri"/>
                <w:b/>
                <w:bCs/>
                <w:sz w:val="18"/>
                <w:szCs w:val="18"/>
                <w:lang w:val="es-ES"/>
              </w:rPr>
            </w:pPr>
            <w:r w:rsidRPr="006A25FF">
              <w:rPr>
                <w:rFonts w:ascii="Lucida Bright" w:hAnsi="Lucida Bright" w:cs="Calibri"/>
                <w:b/>
                <w:bCs/>
                <w:sz w:val="18"/>
                <w:szCs w:val="18"/>
                <w:lang w:val="es-ES"/>
              </w:rPr>
              <w:t>CUADRO: SUBVENCIONES, DONACIONES Y LEGADOS RECIBIDOS 2024</w:t>
            </w:r>
          </w:p>
        </w:tc>
        <w:tc>
          <w:tcPr>
            <w:tcW w:w="422" w:type="pct"/>
            <w:tcBorders>
              <w:top w:val="nil"/>
              <w:left w:val="nil"/>
              <w:bottom w:val="nil"/>
              <w:right w:val="nil"/>
            </w:tcBorders>
            <w:shd w:val="clear" w:color="000000" w:fill="FFFFFF"/>
            <w:noWrap/>
            <w:vAlign w:val="bottom"/>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(en euros)</w:t>
            </w:r>
          </w:p>
        </w:tc>
        <w:tc>
          <w:tcPr>
            <w:tcW w:w="443" w:type="pct"/>
            <w:tcBorders>
              <w:top w:val="nil"/>
              <w:left w:val="nil"/>
              <w:bottom w:val="nil"/>
              <w:right w:val="nil"/>
            </w:tcBorders>
            <w:shd w:val="clear" w:color="000000" w:fill="FFFFFF"/>
            <w:noWrap/>
            <w:vAlign w:val="center"/>
            <w:hideMark/>
          </w:tcPr>
          <w:p w:rsidR="006A25FF" w:rsidRPr="006A25FF" w:rsidRDefault="006A25FF" w:rsidP="006A25FF">
            <w:pPr>
              <w:rPr>
                <w:rFonts w:ascii="Arial" w:hAnsi="Arial" w:cs="Arial"/>
                <w:lang w:val="es-ES"/>
              </w:rPr>
            </w:pPr>
            <w:r w:rsidRPr="006A25FF">
              <w:rPr>
                <w:rFonts w:ascii="Arial" w:hAnsi="Arial" w:cs="Arial"/>
                <w:lang w:val="es-ES"/>
              </w:rPr>
              <w:t> </w:t>
            </w:r>
          </w:p>
        </w:tc>
      </w:tr>
      <w:tr w:rsidR="006A25FF" w:rsidRPr="006A25FF" w:rsidTr="006A25FF">
        <w:trPr>
          <w:trHeight w:val="671"/>
        </w:trPr>
        <w:tc>
          <w:tcPr>
            <w:tcW w:w="1918" w:type="pct"/>
            <w:tcBorders>
              <w:top w:val="nil"/>
              <w:left w:val="single" w:sz="4" w:space="0" w:color="auto"/>
              <w:bottom w:val="nil"/>
              <w:right w:val="nil"/>
            </w:tcBorders>
            <w:shd w:val="clear" w:color="000000" w:fill="CCFFCC"/>
            <w:noWrap/>
            <w:vAlign w:val="center"/>
            <w:hideMark/>
          </w:tcPr>
          <w:p w:rsidR="006A25FF" w:rsidRPr="006A25FF" w:rsidRDefault="006A25FF" w:rsidP="006A25FF">
            <w:pPr>
              <w:jc w:val="center"/>
              <w:rPr>
                <w:rFonts w:ascii="Lucida Bright" w:hAnsi="Lucida Bright" w:cs="Calibri"/>
                <w:b/>
                <w:bCs/>
                <w:sz w:val="14"/>
                <w:szCs w:val="14"/>
                <w:lang w:val="es-ES"/>
              </w:rPr>
            </w:pPr>
            <w:r w:rsidRPr="006A25FF">
              <w:rPr>
                <w:rFonts w:ascii="Lucida Bright" w:hAnsi="Lucida Bright" w:cs="Calibri"/>
                <w:b/>
                <w:bCs/>
                <w:sz w:val="14"/>
                <w:szCs w:val="14"/>
                <w:lang w:val="es-ES"/>
              </w:rPr>
              <w:t>CONCEPTO</w:t>
            </w:r>
          </w:p>
        </w:tc>
        <w:tc>
          <w:tcPr>
            <w:tcW w:w="457" w:type="pct"/>
            <w:tcBorders>
              <w:top w:val="nil"/>
              <w:left w:val="single" w:sz="4" w:space="0" w:color="auto"/>
              <w:bottom w:val="nil"/>
              <w:right w:val="single" w:sz="4" w:space="0" w:color="auto"/>
            </w:tcBorders>
            <w:shd w:val="clear" w:color="000000" w:fill="CCFFCC"/>
            <w:vAlign w:val="center"/>
            <w:hideMark/>
          </w:tcPr>
          <w:p w:rsidR="006A25FF" w:rsidRPr="006A25FF" w:rsidRDefault="006A25FF" w:rsidP="006A25FF">
            <w:pPr>
              <w:jc w:val="center"/>
              <w:rPr>
                <w:rFonts w:ascii="Lucida Bright" w:hAnsi="Lucida Bright" w:cs="Calibri"/>
                <w:sz w:val="14"/>
                <w:szCs w:val="14"/>
                <w:lang w:val="es-ES"/>
              </w:rPr>
            </w:pPr>
            <w:r w:rsidRPr="006A25FF">
              <w:rPr>
                <w:rFonts w:ascii="Lucida Bright" w:hAnsi="Lucida Bright" w:cs="Calibri"/>
                <w:sz w:val="14"/>
                <w:szCs w:val="14"/>
                <w:lang w:val="es-ES"/>
              </w:rPr>
              <w:t>Saldo a</w:t>
            </w:r>
            <w:r w:rsidRPr="006A25FF">
              <w:rPr>
                <w:rFonts w:ascii="Lucida Bright" w:hAnsi="Lucida Bright" w:cs="Calibri"/>
                <w:sz w:val="14"/>
                <w:szCs w:val="14"/>
                <w:lang w:val="es-ES"/>
              </w:rPr>
              <w:br/>
              <w:t>31-12-23</w:t>
            </w:r>
          </w:p>
        </w:tc>
        <w:tc>
          <w:tcPr>
            <w:tcW w:w="457" w:type="pct"/>
            <w:tcBorders>
              <w:top w:val="nil"/>
              <w:left w:val="nil"/>
              <w:bottom w:val="single" w:sz="4" w:space="0" w:color="auto"/>
              <w:right w:val="single" w:sz="4" w:space="0" w:color="auto"/>
            </w:tcBorders>
            <w:shd w:val="clear" w:color="000000" w:fill="CCFFCC"/>
            <w:vAlign w:val="center"/>
            <w:hideMark/>
          </w:tcPr>
          <w:p w:rsidR="006A25FF" w:rsidRPr="006A25FF" w:rsidRDefault="006A25FF" w:rsidP="006A25FF">
            <w:pPr>
              <w:jc w:val="center"/>
              <w:rPr>
                <w:rFonts w:ascii="Lucida Bright" w:hAnsi="Lucida Bright" w:cs="Calibri"/>
                <w:sz w:val="14"/>
                <w:szCs w:val="14"/>
                <w:lang w:val="es-ES"/>
              </w:rPr>
            </w:pPr>
            <w:r w:rsidRPr="006A25FF">
              <w:rPr>
                <w:rFonts w:ascii="Lucida Bright" w:hAnsi="Lucida Bright" w:cs="Calibri"/>
                <w:sz w:val="14"/>
                <w:szCs w:val="14"/>
                <w:lang w:val="es-ES"/>
              </w:rPr>
              <w:t>Importe devengado en el ejercicio (+)</w:t>
            </w:r>
          </w:p>
        </w:tc>
        <w:tc>
          <w:tcPr>
            <w:tcW w:w="415" w:type="pct"/>
            <w:tcBorders>
              <w:top w:val="nil"/>
              <w:left w:val="nil"/>
              <w:bottom w:val="single" w:sz="4" w:space="0" w:color="auto"/>
              <w:right w:val="single" w:sz="4" w:space="0" w:color="auto"/>
            </w:tcBorders>
            <w:shd w:val="clear" w:color="000000" w:fill="CCFFCC"/>
            <w:vAlign w:val="center"/>
            <w:hideMark/>
          </w:tcPr>
          <w:p w:rsidR="006A25FF" w:rsidRPr="006A25FF" w:rsidRDefault="006A25FF" w:rsidP="006A25FF">
            <w:pPr>
              <w:jc w:val="center"/>
              <w:rPr>
                <w:rFonts w:ascii="Lucida Bright" w:hAnsi="Lucida Bright" w:cs="Calibri"/>
                <w:sz w:val="14"/>
                <w:szCs w:val="14"/>
                <w:lang w:val="es-ES"/>
              </w:rPr>
            </w:pPr>
            <w:r w:rsidRPr="006A25FF">
              <w:rPr>
                <w:rFonts w:ascii="Lucida Bright" w:hAnsi="Lucida Bright" w:cs="Calibri"/>
                <w:sz w:val="14"/>
                <w:szCs w:val="14"/>
                <w:lang w:val="es-ES"/>
              </w:rPr>
              <w:t>Efecto impositivo de los devengos (-)</w:t>
            </w:r>
          </w:p>
        </w:tc>
        <w:tc>
          <w:tcPr>
            <w:tcW w:w="458" w:type="pct"/>
            <w:tcBorders>
              <w:top w:val="nil"/>
              <w:left w:val="nil"/>
              <w:bottom w:val="nil"/>
              <w:right w:val="single" w:sz="4" w:space="0" w:color="auto"/>
            </w:tcBorders>
            <w:shd w:val="clear" w:color="000000" w:fill="CCFFCC"/>
            <w:vAlign w:val="center"/>
            <w:hideMark/>
          </w:tcPr>
          <w:p w:rsidR="006A25FF" w:rsidRPr="006A25FF" w:rsidRDefault="006A25FF" w:rsidP="006A25FF">
            <w:pPr>
              <w:jc w:val="center"/>
              <w:rPr>
                <w:rFonts w:ascii="Lucida Bright" w:hAnsi="Lucida Bright" w:cs="Calibri"/>
                <w:sz w:val="14"/>
                <w:szCs w:val="14"/>
                <w:lang w:val="es-ES"/>
              </w:rPr>
            </w:pPr>
            <w:r w:rsidRPr="006A25FF">
              <w:rPr>
                <w:rFonts w:ascii="Lucida Bright" w:hAnsi="Lucida Bright" w:cs="Calibri"/>
                <w:sz w:val="14"/>
                <w:szCs w:val="14"/>
                <w:lang w:val="es-ES"/>
              </w:rPr>
              <w:t>Importe traspasado al resultado del ejercicio (-)</w:t>
            </w:r>
          </w:p>
        </w:tc>
        <w:tc>
          <w:tcPr>
            <w:tcW w:w="430" w:type="pct"/>
            <w:tcBorders>
              <w:top w:val="nil"/>
              <w:left w:val="nil"/>
              <w:bottom w:val="nil"/>
              <w:right w:val="single" w:sz="4" w:space="0" w:color="auto"/>
            </w:tcBorders>
            <w:shd w:val="clear" w:color="000000" w:fill="CCFFCC"/>
            <w:vAlign w:val="center"/>
            <w:hideMark/>
          </w:tcPr>
          <w:p w:rsidR="006A25FF" w:rsidRPr="006A25FF" w:rsidRDefault="006A25FF" w:rsidP="006A25FF">
            <w:pPr>
              <w:jc w:val="center"/>
              <w:rPr>
                <w:rFonts w:ascii="Lucida Bright" w:hAnsi="Lucida Bright" w:cs="Calibri"/>
                <w:sz w:val="14"/>
                <w:szCs w:val="14"/>
                <w:lang w:val="es-ES"/>
              </w:rPr>
            </w:pPr>
            <w:r w:rsidRPr="006A25FF">
              <w:rPr>
                <w:rFonts w:ascii="Lucida Bright" w:hAnsi="Lucida Bright" w:cs="Calibri"/>
                <w:sz w:val="14"/>
                <w:szCs w:val="14"/>
                <w:lang w:val="es-ES"/>
              </w:rPr>
              <w:t xml:space="preserve">Trasp. a/de deudas a l.p. por subvenc. </w:t>
            </w:r>
            <w:r w:rsidR="00AA27CF" w:rsidRPr="006A25FF">
              <w:rPr>
                <w:rFonts w:ascii="Lucida Bright" w:hAnsi="Lucida Bright" w:cs="Calibri"/>
                <w:sz w:val="14"/>
                <w:szCs w:val="14"/>
                <w:lang w:val="es-ES"/>
              </w:rPr>
              <w:t>susceptibles</w:t>
            </w:r>
            <w:r w:rsidRPr="006A25FF">
              <w:rPr>
                <w:rFonts w:ascii="Lucida Bright" w:hAnsi="Lucida Bright" w:cs="Calibri"/>
                <w:sz w:val="14"/>
                <w:szCs w:val="14"/>
                <w:lang w:val="es-ES"/>
              </w:rPr>
              <w:t xml:space="preserve"> de reintegro (+/-)</w:t>
            </w:r>
          </w:p>
        </w:tc>
        <w:tc>
          <w:tcPr>
            <w:tcW w:w="422" w:type="pct"/>
            <w:tcBorders>
              <w:top w:val="single" w:sz="4" w:space="0" w:color="auto"/>
              <w:left w:val="nil"/>
              <w:bottom w:val="nil"/>
              <w:right w:val="single" w:sz="4" w:space="0" w:color="auto"/>
            </w:tcBorders>
            <w:shd w:val="clear" w:color="000000" w:fill="CCFFCC"/>
            <w:vAlign w:val="center"/>
            <w:hideMark/>
          </w:tcPr>
          <w:p w:rsidR="006A25FF" w:rsidRPr="006A25FF" w:rsidRDefault="006A25FF" w:rsidP="006A25FF">
            <w:pPr>
              <w:jc w:val="center"/>
              <w:rPr>
                <w:rFonts w:ascii="Lucida Bright" w:hAnsi="Lucida Bright" w:cs="Calibri"/>
                <w:sz w:val="14"/>
                <w:szCs w:val="14"/>
                <w:lang w:val="es-ES"/>
              </w:rPr>
            </w:pPr>
            <w:r w:rsidRPr="006A25FF">
              <w:rPr>
                <w:rFonts w:ascii="Lucida Bright" w:hAnsi="Lucida Bright" w:cs="Calibri"/>
                <w:sz w:val="14"/>
                <w:szCs w:val="14"/>
                <w:lang w:val="es-ES"/>
              </w:rPr>
              <w:t>Otras bajas (-)</w:t>
            </w:r>
          </w:p>
        </w:tc>
        <w:tc>
          <w:tcPr>
            <w:tcW w:w="443" w:type="pct"/>
            <w:tcBorders>
              <w:top w:val="single" w:sz="4" w:space="0" w:color="auto"/>
              <w:left w:val="nil"/>
              <w:bottom w:val="nil"/>
              <w:right w:val="single" w:sz="4" w:space="0" w:color="auto"/>
            </w:tcBorders>
            <w:shd w:val="clear" w:color="000000" w:fill="CCFFCC"/>
            <w:vAlign w:val="center"/>
            <w:hideMark/>
          </w:tcPr>
          <w:p w:rsidR="006A25FF" w:rsidRPr="006A25FF" w:rsidRDefault="006A25FF" w:rsidP="006A25FF">
            <w:pPr>
              <w:jc w:val="center"/>
              <w:rPr>
                <w:rFonts w:ascii="Lucida Bright" w:hAnsi="Lucida Bright" w:cs="Calibri"/>
                <w:sz w:val="14"/>
                <w:szCs w:val="14"/>
                <w:lang w:val="es-ES"/>
              </w:rPr>
            </w:pPr>
            <w:r w:rsidRPr="006A25FF">
              <w:rPr>
                <w:rFonts w:ascii="Lucida Bright" w:hAnsi="Lucida Bright" w:cs="Calibri"/>
                <w:sz w:val="14"/>
                <w:szCs w:val="14"/>
                <w:lang w:val="es-ES"/>
              </w:rPr>
              <w:t>Saldo a</w:t>
            </w:r>
            <w:r w:rsidRPr="006A25FF">
              <w:rPr>
                <w:rFonts w:ascii="Lucida Bright" w:hAnsi="Lucida Bright" w:cs="Calibri"/>
                <w:sz w:val="14"/>
                <w:szCs w:val="14"/>
                <w:lang w:val="es-ES"/>
              </w:rPr>
              <w:br/>
              <w:t>31-12-24</w:t>
            </w:r>
          </w:p>
        </w:tc>
      </w:tr>
      <w:tr w:rsidR="006A25FF" w:rsidRPr="006A25FF" w:rsidTr="006A25FF">
        <w:trPr>
          <w:trHeight w:val="157"/>
        </w:trPr>
        <w:tc>
          <w:tcPr>
            <w:tcW w:w="1918" w:type="pct"/>
            <w:tcBorders>
              <w:top w:val="single" w:sz="4" w:space="0" w:color="auto"/>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b/>
                <w:bCs/>
                <w:sz w:val="14"/>
                <w:szCs w:val="14"/>
                <w:lang w:val="es-ES"/>
              </w:rPr>
            </w:pPr>
            <w:r w:rsidRPr="006A25FF">
              <w:rPr>
                <w:rFonts w:ascii="Lucida Bright" w:hAnsi="Lucida Bright" w:cs="Calibri"/>
                <w:b/>
                <w:bCs/>
                <w:sz w:val="14"/>
                <w:szCs w:val="14"/>
                <w:lang w:val="es-ES"/>
              </w:rPr>
              <w:t xml:space="preserve">   Feder M.C.A. 07/13</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57"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b/>
                <w:bCs/>
                <w:sz w:val="14"/>
                <w:szCs w:val="14"/>
                <w:lang w:val="es-ES"/>
              </w:rPr>
            </w:pPr>
            <w:r w:rsidRPr="006A25FF">
              <w:rPr>
                <w:rFonts w:ascii="Lucida Bright" w:hAnsi="Lucida Bright" w:cs="Calibri"/>
                <w:b/>
                <w:bCs/>
                <w:sz w:val="14"/>
                <w:szCs w:val="14"/>
                <w:lang w:val="es-ES"/>
              </w:rPr>
              <w:t xml:space="preserve">   Fondos de Cohesión 07/13</w:t>
            </w:r>
          </w:p>
        </w:tc>
        <w:tc>
          <w:tcPr>
            <w:tcW w:w="457" w:type="pct"/>
            <w:tcBorders>
              <w:top w:val="nil"/>
              <w:left w:val="single" w:sz="4" w:space="0" w:color="auto"/>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57"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15"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58"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30"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22"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b/>
                <w:bCs/>
                <w:sz w:val="14"/>
                <w:szCs w:val="14"/>
                <w:lang w:val="es-ES"/>
              </w:rPr>
            </w:pPr>
            <w:r w:rsidRPr="006A25FF">
              <w:rPr>
                <w:rFonts w:ascii="Lucida Bright" w:hAnsi="Lucida Bright" w:cs="Calibri"/>
                <w:b/>
                <w:bCs/>
                <w:sz w:val="14"/>
                <w:szCs w:val="14"/>
                <w:lang w:val="es-ES"/>
              </w:rPr>
              <w:t xml:space="preserve">   RUP. M.C.A. 07/13</w:t>
            </w:r>
          </w:p>
        </w:tc>
        <w:tc>
          <w:tcPr>
            <w:tcW w:w="457" w:type="pct"/>
            <w:tcBorders>
              <w:top w:val="nil"/>
              <w:left w:val="single" w:sz="4" w:space="0" w:color="auto"/>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57"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15"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58"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30"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22"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b/>
                <w:bCs/>
                <w:sz w:val="14"/>
                <w:szCs w:val="14"/>
                <w:lang w:val="es-ES"/>
              </w:rPr>
            </w:pPr>
            <w:r w:rsidRPr="006A25FF">
              <w:rPr>
                <w:rFonts w:ascii="Lucida Bright" w:hAnsi="Lucida Bright" w:cs="Calibri"/>
                <w:b/>
                <w:bCs/>
                <w:sz w:val="14"/>
                <w:szCs w:val="14"/>
                <w:lang w:val="es-ES"/>
              </w:rPr>
              <w:t xml:space="preserve">   Feder M.C.A. 14/20</w:t>
            </w:r>
          </w:p>
        </w:tc>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134.511,58 </w:t>
            </w:r>
          </w:p>
        </w:tc>
        <w:tc>
          <w:tcPr>
            <w:tcW w:w="457"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58"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(8.064,72) </w:t>
            </w:r>
          </w:p>
        </w:tc>
        <w:tc>
          <w:tcPr>
            <w:tcW w:w="430"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126.446,86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i/>
                <w:iCs/>
                <w:sz w:val="14"/>
                <w:szCs w:val="14"/>
                <w:lang w:val="es-ES"/>
              </w:rPr>
            </w:pPr>
            <w:r w:rsidRPr="006A25FF">
              <w:rPr>
                <w:rFonts w:ascii="Lucida Bright" w:hAnsi="Lucida Bright" w:cs="Calibri"/>
                <w:i/>
                <w:iCs/>
                <w:sz w:val="14"/>
                <w:szCs w:val="14"/>
                <w:lang w:val="es-ES"/>
              </w:rPr>
              <w:t>Proyecto de renovación energética de ed e infrae AGE (IDAE )</w:t>
            </w:r>
          </w:p>
        </w:tc>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i/>
                <w:iCs/>
                <w:sz w:val="14"/>
                <w:szCs w:val="14"/>
                <w:lang w:val="es-ES"/>
              </w:rPr>
            </w:pPr>
            <w:r w:rsidRPr="006A25FF">
              <w:rPr>
                <w:rFonts w:ascii="Lucida Bright" w:hAnsi="Lucida Bright" w:cs="Calibri"/>
                <w:i/>
                <w:iCs/>
                <w:sz w:val="14"/>
                <w:szCs w:val="14"/>
                <w:lang w:val="es-ES"/>
              </w:rPr>
              <w:t xml:space="preserve">134.511,58 </w:t>
            </w:r>
          </w:p>
        </w:tc>
        <w:tc>
          <w:tcPr>
            <w:tcW w:w="457"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i/>
                <w:iCs/>
                <w:sz w:val="14"/>
                <w:szCs w:val="14"/>
                <w:lang w:val="es-ES"/>
              </w:rPr>
            </w:pPr>
            <w:r w:rsidRPr="006A25FF">
              <w:rPr>
                <w:rFonts w:ascii="Lucida Bright" w:hAnsi="Lucida Bright" w:cs="Calibri"/>
                <w:i/>
                <w:iCs/>
                <w:sz w:val="14"/>
                <w:szCs w:val="14"/>
                <w:lang w:val="es-ES"/>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i/>
                <w:iCs/>
                <w:sz w:val="14"/>
                <w:szCs w:val="14"/>
                <w:lang w:val="es-ES"/>
              </w:rPr>
            </w:pPr>
            <w:r w:rsidRPr="006A25FF">
              <w:rPr>
                <w:rFonts w:ascii="Lucida Bright" w:hAnsi="Lucida Bright" w:cs="Calibri"/>
                <w:i/>
                <w:iCs/>
                <w:sz w:val="14"/>
                <w:szCs w:val="14"/>
                <w:lang w:val="es-ES"/>
              </w:rPr>
              <w:t xml:space="preserve">- </w:t>
            </w:r>
          </w:p>
        </w:tc>
        <w:tc>
          <w:tcPr>
            <w:tcW w:w="458"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i/>
                <w:iCs/>
                <w:sz w:val="14"/>
                <w:szCs w:val="14"/>
                <w:lang w:val="es-ES"/>
              </w:rPr>
            </w:pPr>
            <w:r w:rsidRPr="006A25FF">
              <w:rPr>
                <w:rFonts w:ascii="Lucida Bright" w:hAnsi="Lucida Bright" w:cs="Calibri"/>
                <w:i/>
                <w:iCs/>
                <w:sz w:val="14"/>
                <w:szCs w:val="14"/>
                <w:lang w:val="es-ES"/>
              </w:rPr>
              <w:t xml:space="preserve">(8.064,72) </w:t>
            </w:r>
          </w:p>
        </w:tc>
        <w:tc>
          <w:tcPr>
            <w:tcW w:w="430"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rPr>
                <w:rFonts w:ascii="Lucida Bright" w:hAnsi="Lucida Bright" w:cs="Calibri"/>
                <w:i/>
                <w:iCs/>
                <w:sz w:val="14"/>
                <w:szCs w:val="14"/>
                <w:lang w:val="es-ES"/>
              </w:rPr>
            </w:pPr>
            <w:r w:rsidRPr="006A25FF">
              <w:rPr>
                <w:rFonts w:ascii="Lucida Bright" w:hAnsi="Lucida Bright" w:cs="Calibri"/>
                <w:i/>
                <w:iCs/>
                <w:sz w:val="14"/>
                <w:szCs w:val="14"/>
                <w:lang w:val="es-ES"/>
              </w:rPr>
              <w:t> </w:t>
            </w:r>
          </w:p>
        </w:tc>
        <w:tc>
          <w:tcPr>
            <w:tcW w:w="422"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rPr>
                <w:rFonts w:ascii="Lucida Bright" w:hAnsi="Lucida Bright" w:cs="Calibri"/>
                <w:i/>
                <w:iCs/>
                <w:sz w:val="14"/>
                <w:szCs w:val="14"/>
                <w:lang w:val="es-ES"/>
              </w:rPr>
            </w:pPr>
            <w:r w:rsidRPr="006A25FF">
              <w:rPr>
                <w:rFonts w:ascii="Lucida Bright" w:hAnsi="Lucida Bright" w:cs="Calibri"/>
                <w:i/>
                <w:iCs/>
                <w:sz w:val="14"/>
                <w:szCs w:val="14"/>
                <w:lang w:val="es-ES"/>
              </w:rPr>
              <w:t> </w:t>
            </w:r>
          </w:p>
        </w:tc>
        <w:tc>
          <w:tcPr>
            <w:tcW w:w="443"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i/>
                <w:iCs/>
                <w:sz w:val="14"/>
                <w:szCs w:val="14"/>
                <w:lang w:val="es-ES"/>
              </w:rPr>
            </w:pPr>
            <w:r w:rsidRPr="006A25FF">
              <w:rPr>
                <w:rFonts w:ascii="Lucida Bright" w:hAnsi="Lucida Bright" w:cs="Calibri"/>
                <w:i/>
                <w:iCs/>
                <w:sz w:val="14"/>
                <w:szCs w:val="14"/>
                <w:lang w:val="es-ES"/>
              </w:rPr>
              <w:t xml:space="preserve">126.446,86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b/>
                <w:bCs/>
                <w:sz w:val="14"/>
                <w:szCs w:val="14"/>
                <w:lang w:val="es-ES"/>
              </w:rPr>
            </w:pPr>
            <w:r w:rsidRPr="006A25FF">
              <w:rPr>
                <w:rFonts w:ascii="Lucida Bright" w:hAnsi="Lucida Bright" w:cs="Calibri"/>
                <w:b/>
                <w:bCs/>
                <w:sz w:val="14"/>
                <w:szCs w:val="14"/>
                <w:lang w:val="es-ES"/>
              </w:rPr>
              <w:t xml:space="preserve">   RUP M.C.A. 14/20</w:t>
            </w:r>
          </w:p>
        </w:tc>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57"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58"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b/>
                <w:bCs/>
                <w:sz w:val="14"/>
                <w:szCs w:val="14"/>
                <w:lang w:val="es-ES"/>
              </w:rPr>
            </w:pPr>
            <w:r w:rsidRPr="006A25FF">
              <w:rPr>
                <w:rFonts w:ascii="Lucida Bright" w:hAnsi="Lucida Bright" w:cs="Calibri"/>
                <w:b/>
                <w:bCs/>
                <w:sz w:val="14"/>
                <w:szCs w:val="14"/>
                <w:lang w:val="es-ES"/>
              </w:rPr>
              <w:t xml:space="preserve">   Otras de la Unión Europea</w:t>
            </w:r>
          </w:p>
        </w:tc>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18.306.504,46</w:t>
            </w:r>
          </w:p>
        </w:tc>
        <w:tc>
          <w:tcPr>
            <w:tcW w:w="457"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58"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(589.148,94) </w:t>
            </w:r>
          </w:p>
        </w:tc>
        <w:tc>
          <w:tcPr>
            <w:tcW w:w="430"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17.717.355,52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Feder M.C.A. 89/93</w:t>
            </w:r>
          </w:p>
        </w:tc>
        <w:tc>
          <w:tcPr>
            <w:tcW w:w="457" w:type="pct"/>
            <w:tcBorders>
              <w:top w:val="nil"/>
              <w:left w:val="single" w:sz="4" w:space="0" w:color="auto"/>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57"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15"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58"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30"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22"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Feder M.C.A. 94/99</w:t>
            </w:r>
          </w:p>
        </w:tc>
        <w:tc>
          <w:tcPr>
            <w:tcW w:w="457" w:type="pct"/>
            <w:tcBorders>
              <w:top w:val="nil"/>
              <w:left w:val="single" w:sz="4" w:space="0" w:color="auto"/>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57"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15"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58"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30"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22"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Feder M.C.A. 00/06</w:t>
            </w:r>
          </w:p>
        </w:tc>
        <w:tc>
          <w:tcPr>
            <w:tcW w:w="457" w:type="pct"/>
            <w:tcBorders>
              <w:top w:val="nil"/>
              <w:left w:val="single" w:sz="4" w:space="0" w:color="auto"/>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57"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15"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58"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30"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22"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Fondos de Cohesión 00/06</w:t>
            </w:r>
          </w:p>
        </w:tc>
        <w:tc>
          <w:tcPr>
            <w:tcW w:w="457" w:type="pct"/>
            <w:tcBorders>
              <w:top w:val="nil"/>
              <w:left w:val="single" w:sz="4" w:space="0" w:color="auto"/>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17.833.782,33 </w:t>
            </w:r>
          </w:p>
        </w:tc>
        <w:tc>
          <w:tcPr>
            <w:tcW w:w="457"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15"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58"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(571.472,70) </w:t>
            </w:r>
          </w:p>
        </w:tc>
        <w:tc>
          <w:tcPr>
            <w:tcW w:w="430"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22"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17.262.309,63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CEF (TEN,RTE,RET-T)</w:t>
            </w:r>
          </w:p>
        </w:tc>
        <w:tc>
          <w:tcPr>
            <w:tcW w:w="457" w:type="pct"/>
            <w:tcBorders>
              <w:top w:val="nil"/>
              <w:left w:val="single" w:sz="4" w:space="0" w:color="auto"/>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114.236,63 </w:t>
            </w:r>
          </w:p>
        </w:tc>
        <w:tc>
          <w:tcPr>
            <w:tcW w:w="457"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15"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58"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(6.904,44) </w:t>
            </w:r>
          </w:p>
        </w:tc>
        <w:tc>
          <w:tcPr>
            <w:tcW w:w="430"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22"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107.332,19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i/>
                <w:iCs/>
                <w:sz w:val="14"/>
                <w:szCs w:val="14"/>
                <w:lang w:val="es-ES"/>
              </w:rPr>
            </w:pPr>
            <w:r w:rsidRPr="006A25FF">
              <w:rPr>
                <w:rFonts w:ascii="Lucida Bright" w:hAnsi="Lucida Bright" w:cs="Calibri"/>
                <w:i/>
                <w:iCs/>
                <w:sz w:val="14"/>
                <w:szCs w:val="14"/>
                <w:lang w:val="es-ES"/>
              </w:rPr>
              <w:t>OPS Master Plan for Spanish Ports</w:t>
            </w:r>
          </w:p>
        </w:tc>
        <w:tc>
          <w:tcPr>
            <w:tcW w:w="457" w:type="pct"/>
            <w:tcBorders>
              <w:top w:val="nil"/>
              <w:left w:val="single" w:sz="4" w:space="0" w:color="auto"/>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i/>
                <w:iCs/>
                <w:sz w:val="14"/>
                <w:szCs w:val="14"/>
                <w:lang w:val="es-ES"/>
              </w:rPr>
            </w:pPr>
            <w:r w:rsidRPr="006A25FF">
              <w:rPr>
                <w:rFonts w:ascii="Lucida Bright" w:hAnsi="Lucida Bright" w:cs="Calibri"/>
                <w:i/>
                <w:iCs/>
                <w:sz w:val="14"/>
                <w:szCs w:val="14"/>
                <w:lang w:val="es-ES"/>
              </w:rPr>
              <w:t xml:space="preserve">114.236,63 </w:t>
            </w:r>
          </w:p>
        </w:tc>
        <w:tc>
          <w:tcPr>
            <w:tcW w:w="457"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i/>
                <w:iCs/>
                <w:sz w:val="14"/>
                <w:szCs w:val="14"/>
                <w:lang w:val="es-ES"/>
              </w:rPr>
            </w:pPr>
            <w:r w:rsidRPr="006A25FF">
              <w:rPr>
                <w:rFonts w:ascii="Lucida Bright" w:hAnsi="Lucida Bright" w:cs="Calibri"/>
                <w:i/>
                <w:iCs/>
                <w:sz w:val="14"/>
                <w:szCs w:val="14"/>
                <w:lang w:val="es-ES"/>
              </w:rPr>
              <w:t xml:space="preserve">- </w:t>
            </w:r>
          </w:p>
        </w:tc>
        <w:tc>
          <w:tcPr>
            <w:tcW w:w="415"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i/>
                <w:iCs/>
                <w:sz w:val="14"/>
                <w:szCs w:val="14"/>
                <w:lang w:val="es-ES"/>
              </w:rPr>
            </w:pPr>
            <w:r w:rsidRPr="006A25FF">
              <w:rPr>
                <w:rFonts w:ascii="Lucida Bright" w:hAnsi="Lucida Bright" w:cs="Calibri"/>
                <w:i/>
                <w:iCs/>
                <w:sz w:val="14"/>
                <w:szCs w:val="14"/>
                <w:lang w:val="es-ES"/>
              </w:rPr>
              <w:t xml:space="preserve">- </w:t>
            </w:r>
          </w:p>
        </w:tc>
        <w:tc>
          <w:tcPr>
            <w:tcW w:w="458"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i/>
                <w:iCs/>
                <w:sz w:val="14"/>
                <w:szCs w:val="14"/>
                <w:lang w:val="es-ES"/>
              </w:rPr>
            </w:pPr>
            <w:r w:rsidRPr="006A25FF">
              <w:rPr>
                <w:rFonts w:ascii="Lucida Bright" w:hAnsi="Lucida Bright" w:cs="Calibri"/>
                <w:i/>
                <w:iCs/>
                <w:sz w:val="14"/>
                <w:szCs w:val="14"/>
                <w:lang w:val="es-ES"/>
              </w:rPr>
              <w:t xml:space="preserve">(6.904,44) </w:t>
            </w:r>
          </w:p>
        </w:tc>
        <w:tc>
          <w:tcPr>
            <w:tcW w:w="430"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rPr>
                <w:rFonts w:ascii="Lucida Bright" w:hAnsi="Lucida Bright" w:cs="Calibri"/>
                <w:i/>
                <w:iCs/>
                <w:sz w:val="14"/>
                <w:szCs w:val="14"/>
                <w:lang w:val="es-ES"/>
              </w:rPr>
            </w:pPr>
            <w:r w:rsidRPr="006A25FF">
              <w:rPr>
                <w:rFonts w:ascii="Lucida Bright" w:hAnsi="Lucida Bright" w:cs="Calibri"/>
                <w:i/>
                <w:iCs/>
                <w:sz w:val="14"/>
                <w:szCs w:val="14"/>
                <w:lang w:val="es-ES"/>
              </w:rPr>
              <w:t> </w:t>
            </w:r>
          </w:p>
        </w:tc>
        <w:tc>
          <w:tcPr>
            <w:tcW w:w="422"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rPr>
                <w:rFonts w:ascii="Lucida Bright" w:hAnsi="Lucida Bright" w:cs="Calibri"/>
                <w:i/>
                <w:iCs/>
                <w:sz w:val="14"/>
                <w:szCs w:val="14"/>
                <w:lang w:val="es-ES"/>
              </w:rPr>
            </w:pPr>
            <w:r w:rsidRPr="006A25FF">
              <w:rPr>
                <w:rFonts w:ascii="Lucida Bright" w:hAnsi="Lucida Bright" w:cs="Calibri"/>
                <w:i/>
                <w:iCs/>
                <w:sz w:val="14"/>
                <w:szCs w:val="14"/>
                <w:lang w:val="es-ES"/>
              </w:rPr>
              <w:t> </w:t>
            </w:r>
          </w:p>
        </w:tc>
        <w:tc>
          <w:tcPr>
            <w:tcW w:w="443"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i/>
                <w:iCs/>
                <w:sz w:val="14"/>
                <w:szCs w:val="14"/>
                <w:lang w:val="es-ES"/>
              </w:rPr>
            </w:pPr>
            <w:r w:rsidRPr="006A25FF">
              <w:rPr>
                <w:rFonts w:ascii="Lucida Bright" w:hAnsi="Lucida Bright" w:cs="Calibri"/>
                <w:i/>
                <w:iCs/>
                <w:sz w:val="14"/>
                <w:szCs w:val="14"/>
                <w:lang w:val="es-ES"/>
              </w:rPr>
              <w:t xml:space="preserve">107.332,19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Otras de la U.E. (Feoga, Ifop, Hada, Red, Poctefex, etc)</w:t>
            </w:r>
          </w:p>
        </w:tc>
        <w:tc>
          <w:tcPr>
            <w:tcW w:w="457" w:type="pct"/>
            <w:tcBorders>
              <w:top w:val="nil"/>
              <w:left w:val="single" w:sz="4" w:space="0" w:color="auto"/>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358.485,50 </w:t>
            </w:r>
          </w:p>
        </w:tc>
        <w:tc>
          <w:tcPr>
            <w:tcW w:w="457"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15"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58"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(10.771,80) </w:t>
            </w:r>
          </w:p>
        </w:tc>
        <w:tc>
          <w:tcPr>
            <w:tcW w:w="430"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22"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347.713,70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i/>
                <w:iCs/>
                <w:sz w:val="14"/>
                <w:szCs w:val="14"/>
                <w:lang w:val="es-ES"/>
              </w:rPr>
            </w:pPr>
            <w:r w:rsidRPr="006A25FF">
              <w:rPr>
                <w:rFonts w:ascii="Lucida Bright" w:hAnsi="Lucida Bright" w:cs="Calibri"/>
                <w:i/>
                <w:iCs/>
                <w:sz w:val="14"/>
                <w:szCs w:val="14"/>
                <w:lang w:val="es-ES"/>
              </w:rPr>
              <w:t>Mejora de edificio para utillaje y almacén en el Pto. de Alcudia</w:t>
            </w:r>
          </w:p>
        </w:tc>
        <w:tc>
          <w:tcPr>
            <w:tcW w:w="457" w:type="pct"/>
            <w:tcBorders>
              <w:top w:val="nil"/>
              <w:left w:val="single" w:sz="4" w:space="0" w:color="auto"/>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i/>
                <w:iCs/>
                <w:sz w:val="14"/>
                <w:szCs w:val="14"/>
                <w:lang w:val="es-ES"/>
              </w:rPr>
            </w:pPr>
            <w:r w:rsidRPr="006A25FF">
              <w:rPr>
                <w:rFonts w:ascii="Lucida Bright" w:hAnsi="Lucida Bright" w:cs="Calibri"/>
                <w:i/>
                <w:iCs/>
                <w:sz w:val="14"/>
                <w:szCs w:val="14"/>
                <w:lang w:val="es-ES"/>
              </w:rPr>
              <w:t xml:space="preserve">133.162,06 </w:t>
            </w:r>
          </w:p>
        </w:tc>
        <w:tc>
          <w:tcPr>
            <w:tcW w:w="457"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rPr>
                <w:rFonts w:ascii="Lucida Bright" w:hAnsi="Lucida Bright" w:cs="Calibri"/>
                <w:i/>
                <w:iCs/>
                <w:sz w:val="14"/>
                <w:szCs w:val="14"/>
                <w:lang w:val="es-ES"/>
              </w:rPr>
            </w:pPr>
            <w:r w:rsidRPr="006A25FF">
              <w:rPr>
                <w:rFonts w:ascii="Lucida Bright" w:hAnsi="Lucida Bright" w:cs="Calibri"/>
                <w:i/>
                <w:iCs/>
                <w:sz w:val="14"/>
                <w:szCs w:val="14"/>
                <w:lang w:val="es-ES"/>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rPr>
                <w:rFonts w:ascii="Lucida Bright" w:hAnsi="Lucida Bright" w:cs="Calibri"/>
                <w:i/>
                <w:iCs/>
                <w:sz w:val="14"/>
                <w:szCs w:val="14"/>
                <w:lang w:val="es-ES"/>
              </w:rPr>
            </w:pPr>
            <w:r w:rsidRPr="006A25FF">
              <w:rPr>
                <w:rFonts w:ascii="Lucida Bright" w:hAnsi="Lucida Bright" w:cs="Calibri"/>
                <w:i/>
                <w:iCs/>
                <w:sz w:val="14"/>
                <w:szCs w:val="14"/>
                <w:lang w:val="es-ES"/>
              </w:rPr>
              <w:t> </w:t>
            </w:r>
          </w:p>
        </w:tc>
        <w:tc>
          <w:tcPr>
            <w:tcW w:w="458"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i/>
                <w:iCs/>
                <w:sz w:val="14"/>
                <w:szCs w:val="14"/>
                <w:lang w:val="es-ES"/>
              </w:rPr>
            </w:pPr>
            <w:r w:rsidRPr="006A25FF">
              <w:rPr>
                <w:rFonts w:ascii="Lucida Bright" w:hAnsi="Lucida Bright" w:cs="Calibri"/>
                <w:i/>
                <w:iCs/>
                <w:sz w:val="14"/>
                <w:szCs w:val="14"/>
                <w:lang w:val="es-ES"/>
              </w:rPr>
              <w:t xml:space="preserve">(4.256,40) </w:t>
            </w:r>
          </w:p>
        </w:tc>
        <w:tc>
          <w:tcPr>
            <w:tcW w:w="430"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rPr>
                <w:rFonts w:ascii="Lucida Bright" w:hAnsi="Lucida Bright" w:cs="Calibri"/>
                <w:i/>
                <w:iCs/>
                <w:sz w:val="14"/>
                <w:szCs w:val="14"/>
                <w:lang w:val="es-ES"/>
              </w:rPr>
            </w:pPr>
            <w:r w:rsidRPr="006A25FF">
              <w:rPr>
                <w:rFonts w:ascii="Lucida Bright" w:hAnsi="Lucida Bright" w:cs="Calibri"/>
                <w:i/>
                <w:iCs/>
                <w:sz w:val="14"/>
                <w:szCs w:val="14"/>
                <w:lang w:val="es-ES"/>
              </w:rPr>
              <w:t> </w:t>
            </w:r>
          </w:p>
        </w:tc>
        <w:tc>
          <w:tcPr>
            <w:tcW w:w="422"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rPr>
                <w:rFonts w:ascii="Lucida Bright" w:hAnsi="Lucida Bright" w:cs="Calibri"/>
                <w:i/>
                <w:iCs/>
                <w:sz w:val="14"/>
                <w:szCs w:val="14"/>
                <w:lang w:val="es-ES"/>
              </w:rPr>
            </w:pPr>
            <w:r w:rsidRPr="006A25FF">
              <w:rPr>
                <w:rFonts w:ascii="Lucida Bright" w:hAnsi="Lucida Bright" w:cs="Calibri"/>
                <w:i/>
                <w:iCs/>
                <w:sz w:val="14"/>
                <w:szCs w:val="14"/>
                <w:lang w:val="es-ES"/>
              </w:rPr>
              <w:t> </w:t>
            </w:r>
          </w:p>
        </w:tc>
        <w:tc>
          <w:tcPr>
            <w:tcW w:w="443"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i/>
                <w:iCs/>
                <w:sz w:val="14"/>
                <w:szCs w:val="14"/>
                <w:lang w:val="es-ES"/>
              </w:rPr>
            </w:pPr>
            <w:r w:rsidRPr="006A25FF">
              <w:rPr>
                <w:rFonts w:ascii="Lucida Bright" w:hAnsi="Lucida Bright" w:cs="Calibri"/>
                <w:i/>
                <w:iCs/>
                <w:sz w:val="14"/>
                <w:szCs w:val="14"/>
                <w:lang w:val="es-ES"/>
              </w:rPr>
              <w:t xml:space="preserve">128.905,66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i/>
                <w:iCs/>
                <w:sz w:val="14"/>
                <w:szCs w:val="14"/>
                <w:lang w:val="es-ES"/>
              </w:rPr>
            </w:pPr>
            <w:r w:rsidRPr="006A25FF">
              <w:rPr>
                <w:rFonts w:ascii="Lucida Bright" w:hAnsi="Lucida Bright" w:cs="Calibri"/>
                <w:i/>
                <w:iCs/>
                <w:sz w:val="14"/>
                <w:szCs w:val="14"/>
                <w:lang w:val="es-ES"/>
              </w:rPr>
              <w:t>Reforma del edificio de servicios pesqueros del Pto. Ibiza</w:t>
            </w:r>
          </w:p>
        </w:tc>
        <w:tc>
          <w:tcPr>
            <w:tcW w:w="457" w:type="pct"/>
            <w:tcBorders>
              <w:top w:val="nil"/>
              <w:left w:val="single" w:sz="4" w:space="0" w:color="auto"/>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i/>
                <w:iCs/>
                <w:sz w:val="14"/>
                <w:szCs w:val="14"/>
                <w:lang w:val="es-ES"/>
              </w:rPr>
            </w:pPr>
            <w:r w:rsidRPr="006A25FF">
              <w:rPr>
                <w:rFonts w:ascii="Lucida Bright" w:hAnsi="Lucida Bright" w:cs="Calibri"/>
                <w:i/>
                <w:iCs/>
                <w:sz w:val="14"/>
                <w:szCs w:val="14"/>
                <w:lang w:val="es-ES"/>
              </w:rPr>
              <w:t xml:space="preserve">225.323,44 </w:t>
            </w:r>
          </w:p>
        </w:tc>
        <w:tc>
          <w:tcPr>
            <w:tcW w:w="457"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rPr>
                <w:rFonts w:ascii="Lucida Bright" w:hAnsi="Lucida Bright" w:cs="Calibri"/>
                <w:i/>
                <w:iCs/>
                <w:sz w:val="14"/>
                <w:szCs w:val="14"/>
                <w:lang w:val="es-ES"/>
              </w:rPr>
            </w:pPr>
            <w:r w:rsidRPr="006A25FF">
              <w:rPr>
                <w:rFonts w:ascii="Lucida Bright" w:hAnsi="Lucida Bright" w:cs="Calibri"/>
                <w:i/>
                <w:iCs/>
                <w:sz w:val="14"/>
                <w:szCs w:val="14"/>
                <w:lang w:val="es-ES"/>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rPr>
                <w:rFonts w:ascii="Lucida Bright" w:hAnsi="Lucida Bright" w:cs="Calibri"/>
                <w:i/>
                <w:iCs/>
                <w:sz w:val="14"/>
                <w:szCs w:val="14"/>
                <w:lang w:val="es-ES"/>
              </w:rPr>
            </w:pPr>
            <w:r w:rsidRPr="006A25FF">
              <w:rPr>
                <w:rFonts w:ascii="Lucida Bright" w:hAnsi="Lucida Bright" w:cs="Calibri"/>
                <w:i/>
                <w:iCs/>
                <w:sz w:val="14"/>
                <w:szCs w:val="14"/>
                <w:lang w:val="es-ES"/>
              </w:rPr>
              <w:t> </w:t>
            </w:r>
          </w:p>
        </w:tc>
        <w:tc>
          <w:tcPr>
            <w:tcW w:w="458"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i/>
                <w:iCs/>
                <w:sz w:val="14"/>
                <w:szCs w:val="14"/>
                <w:lang w:val="es-ES"/>
              </w:rPr>
            </w:pPr>
            <w:r w:rsidRPr="006A25FF">
              <w:rPr>
                <w:rFonts w:ascii="Lucida Bright" w:hAnsi="Lucida Bright" w:cs="Calibri"/>
                <w:i/>
                <w:iCs/>
                <w:sz w:val="14"/>
                <w:szCs w:val="14"/>
                <w:lang w:val="es-ES"/>
              </w:rPr>
              <w:t xml:space="preserve">(6.515,40) </w:t>
            </w:r>
          </w:p>
        </w:tc>
        <w:tc>
          <w:tcPr>
            <w:tcW w:w="430"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rPr>
                <w:rFonts w:ascii="Lucida Bright" w:hAnsi="Lucida Bright" w:cs="Calibri"/>
                <w:i/>
                <w:iCs/>
                <w:sz w:val="14"/>
                <w:szCs w:val="14"/>
                <w:lang w:val="es-ES"/>
              </w:rPr>
            </w:pPr>
            <w:r w:rsidRPr="006A25FF">
              <w:rPr>
                <w:rFonts w:ascii="Lucida Bright" w:hAnsi="Lucida Bright" w:cs="Calibri"/>
                <w:i/>
                <w:iCs/>
                <w:sz w:val="14"/>
                <w:szCs w:val="14"/>
                <w:lang w:val="es-ES"/>
              </w:rPr>
              <w:t> </w:t>
            </w:r>
          </w:p>
        </w:tc>
        <w:tc>
          <w:tcPr>
            <w:tcW w:w="422"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rPr>
                <w:rFonts w:ascii="Lucida Bright" w:hAnsi="Lucida Bright" w:cs="Calibri"/>
                <w:i/>
                <w:iCs/>
                <w:sz w:val="14"/>
                <w:szCs w:val="14"/>
                <w:lang w:val="es-ES"/>
              </w:rPr>
            </w:pPr>
            <w:r w:rsidRPr="006A25FF">
              <w:rPr>
                <w:rFonts w:ascii="Lucida Bright" w:hAnsi="Lucida Bright" w:cs="Calibri"/>
                <w:i/>
                <w:iCs/>
                <w:sz w:val="14"/>
                <w:szCs w:val="14"/>
                <w:lang w:val="es-ES"/>
              </w:rPr>
              <w:t> </w:t>
            </w:r>
          </w:p>
        </w:tc>
        <w:tc>
          <w:tcPr>
            <w:tcW w:w="443"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i/>
                <w:iCs/>
                <w:sz w:val="14"/>
                <w:szCs w:val="14"/>
                <w:lang w:val="es-ES"/>
              </w:rPr>
            </w:pPr>
            <w:r w:rsidRPr="006A25FF">
              <w:rPr>
                <w:rFonts w:ascii="Lucida Bright" w:hAnsi="Lucida Bright" w:cs="Calibri"/>
                <w:i/>
                <w:iCs/>
                <w:sz w:val="14"/>
                <w:szCs w:val="14"/>
                <w:lang w:val="es-ES"/>
              </w:rPr>
              <w:t xml:space="preserve">218.808,04 </w:t>
            </w:r>
          </w:p>
        </w:tc>
      </w:tr>
      <w:tr w:rsidR="006A25FF" w:rsidRPr="006A25FF" w:rsidTr="006A25FF">
        <w:trPr>
          <w:trHeight w:val="157"/>
        </w:trPr>
        <w:tc>
          <w:tcPr>
            <w:tcW w:w="1918" w:type="pct"/>
            <w:tcBorders>
              <w:top w:val="single" w:sz="4" w:space="0" w:color="auto"/>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b/>
                <w:bCs/>
                <w:sz w:val="14"/>
                <w:szCs w:val="14"/>
                <w:lang w:val="es-ES"/>
              </w:rPr>
            </w:pPr>
            <w:r w:rsidRPr="006A25FF">
              <w:rPr>
                <w:rFonts w:ascii="Lucida Bright" w:hAnsi="Lucida Bright" w:cs="Calibri"/>
                <w:b/>
                <w:bCs/>
                <w:sz w:val="14"/>
                <w:szCs w:val="14"/>
                <w:lang w:val="es-ES"/>
              </w:rPr>
              <w:t xml:space="preserve">   Fondos MRR</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694.486,40 </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2.674.934,59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(668.733,65) </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(26.947,09) </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2.673.740,25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b/>
                <w:bCs/>
                <w:sz w:val="14"/>
                <w:szCs w:val="14"/>
                <w:lang w:val="es-ES"/>
              </w:rPr>
            </w:pPr>
            <w:r w:rsidRPr="006A25FF">
              <w:rPr>
                <w:rFonts w:ascii="Lucida Bright" w:hAnsi="Lucida Bright" w:cs="Calibri"/>
                <w:b/>
                <w:bCs/>
                <w:sz w:val="14"/>
                <w:szCs w:val="14"/>
                <w:lang w:val="es-ES"/>
              </w:rPr>
              <w:t xml:space="preserve">   Otras subvenciones, donaciones y legados de capital</w:t>
            </w:r>
          </w:p>
        </w:tc>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480.044,87 </w:t>
            </w:r>
          </w:p>
        </w:tc>
        <w:tc>
          <w:tcPr>
            <w:tcW w:w="457"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58"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(106.293,00) </w:t>
            </w:r>
          </w:p>
        </w:tc>
        <w:tc>
          <w:tcPr>
            <w:tcW w:w="430"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373.751,87 </w:t>
            </w:r>
          </w:p>
        </w:tc>
      </w:tr>
      <w:tr w:rsidR="006A25FF" w:rsidRPr="006A25FF" w:rsidTr="006A25FF">
        <w:trPr>
          <w:trHeight w:val="157"/>
        </w:trPr>
        <w:tc>
          <w:tcPr>
            <w:tcW w:w="1918" w:type="pct"/>
            <w:tcBorders>
              <w:top w:val="single" w:sz="4" w:space="0" w:color="auto"/>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b/>
                <w:bCs/>
                <w:sz w:val="14"/>
                <w:szCs w:val="14"/>
                <w:lang w:val="es-ES"/>
              </w:rPr>
            </w:pPr>
            <w:r w:rsidRPr="006A25FF">
              <w:rPr>
                <w:rFonts w:ascii="Lucida Bright" w:hAnsi="Lucida Bright" w:cs="Calibri"/>
                <w:b/>
                <w:bCs/>
                <w:sz w:val="14"/>
                <w:szCs w:val="14"/>
                <w:lang w:val="es-ES"/>
              </w:rPr>
              <w:t>Otras subvenciones de capital</w:t>
            </w:r>
          </w:p>
        </w:tc>
        <w:tc>
          <w:tcPr>
            <w:tcW w:w="45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57" w:type="pct"/>
            <w:tcBorders>
              <w:top w:val="single" w:sz="4" w:space="0" w:color="auto"/>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15" w:type="pct"/>
            <w:tcBorders>
              <w:top w:val="single" w:sz="4" w:space="0" w:color="auto"/>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30" w:type="pct"/>
            <w:tcBorders>
              <w:top w:val="single" w:sz="4" w:space="0" w:color="auto"/>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22" w:type="pct"/>
            <w:tcBorders>
              <w:top w:val="single" w:sz="4" w:space="0" w:color="auto"/>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43"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b/>
                <w:bCs/>
                <w:sz w:val="14"/>
                <w:szCs w:val="14"/>
                <w:lang w:val="es-ES"/>
              </w:rPr>
            </w:pPr>
            <w:r w:rsidRPr="006A25FF">
              <w:rPr>
                <w:rFonts w:ascii="Lucida Bright" w:hAnsi="Lucida Bright" w:cs="Calibri"/>
                <w:b/>
                <w:bCs/>
                <w:sz w:val="14"/>
                <w:szCs w:val="14"/>
                <w:lang w:val="es-ES"/>
              </w:rPr>
              <w:t>Donaciones y legados de capital</w:t>
            </w:r>
          </w:p>
        </w:tc>
        <w:tc>
          <w:tcPr>
            <w:tcW w:w="457" w:type="pct"/>
            <w:tcBorders>
              <w:top w:val="nil"/>
              <w:left w:val="single" w:sz="4" w:space="0" w:color="auto"/>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480.044,87 </w:t>
            </w:r>
          </w:p>
        </w:tc>
        <w:tc>
          <w:tcPr>
            <w:tcW w:w="457"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15"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58"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(106.293,00) </w:t>
            </w:r>
          </w:p>
        </w:tc>
        <w:tc>
          <w:tcPr>
            <w:tcW w:w="430"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22"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43"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373.751,87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VEHÍCULOS FORMA CENTRALIZADA 2021</w:t>
            </w:r>
          </w:p>
        </w:tc>
        <w:tc>
          <w:tcPr>
            <w:tcW w:w="457" w:type="pct"/>
            <w:tcBorders>
              <w:top w:val="nil"/>
              <w:left w:val="single" w:sz="4" w:space="0" w:color="auto"/>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94.778,45 </w:t>
            </w:r>
          </w:p>
        </w:tc>
        <w:tc>
          <w:tcPr>
            <w:tcW w:w="457"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58"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(20.679,00) </w:t>
            </w:r>
          </w:p>
        </w:tc>
        <w:tc>
          <w:tcPr>
            <w:tcW w:w="430"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22"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43"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74.099,45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VEHÍCULOS FORMA CENTRALIZADA 2022</w:t>
            </w:r>
          </w:p>
        </w:tc>
        <w:tc>
          <w:tcPr>
            <w:tcW w:w="457" w:type="pct"/>
            <w:tcBorders>
              <w:top w:val="nil"/>
              <w:left w:val="single" w:sz="4" w:space="0" w:color="auto"/>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385.266,42 </w:t>
            </w:r>
          </w:p>
        </w:tc>
        <w:tc>
          <w:tcPr>
            <w:tcW w:w="457"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58"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(85.614,00) </w:t>
            </w:r>
          </w:p>
        </w:tc>
        <w:tc>
          <w:tcPr>
            <w:tcW w:w="430"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22"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43"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299.652,42 </w:t>
            </w:r>
          </w:p>
        </w:tc>
      </w:tr>
      <w:tr w:rsidR="006A25FF" w:rsidRPr="006A25FF" w:rsidTr="006A25FF">
        <w:trPr>
          <w:trHeight w:val="157"/>
        </w:trPr>
        <w:tc>
          <w:tcPr>
            <w:tcW w:w="1918" w:type="pct"/>
            <w:tcBorders>
              <w:top w:val="single" w:sz="4" w:space="0" w:color="auto"/>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b/>
                <w:bCs/>
                <w:sz w:val="14"/>
                <w:szCs w:val="14"/>
                <w:lang w:val="es-ES"/>
              </w:rPr>
            </w:pPr>
            <w:r w:rsidRPr="006A25FF">
              <w:rPr>
                <w:rFonts w:ascii="Lucida Bright" w:hAnsi="Lucida Bright" w:cs="Calibri"/>
                <w:b/>
                <w:bCs/>
                <w:sz w:val="14"/>
                <w:szCs w:val="14"/>
                <w:lang w:val="es-ES"/>
              </w:rPr>
              <w:t xml:space="preserve"> TOTAL SUBVENCIONES, DONACIONES Y LEGADOS DE CAPITAL</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19.615.547,31 </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2.674.934,59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(668.733,65) </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(730.453,75) </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20.891.294,50 </w:t>
            </w:r>
          </w:p>
        </w:tc>
      </w:tr>
      <w:tr w:rsidR="006A25FF" w:rsidRPr="006A25FF" w:rsidTr="006A25FF">
        <w:trPr>
          <w:trHeight w:val="157"/>
        </w:trPr>
        <w:tc>
          <w:tcPr>
            <w:tcW w:w="1918" w:type="pct"/>
            <w:tcBorders>
              <w:top w:val="nil"/>
              <w:left w:val="single" w:sz="4" w:space="0" w:color="auto"/>
              <w:bottom w:val="nil"/>
              <w:right w:val="nil"/>
            </w:tcBorders>
            <w:shd w:val="clear" w:color="000000" w:fill="FFFFFF"/>
            <w:noWrap/>
            <w:vAlign w:val="bottom"/>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57" w:type="pct"/>
            <w:tcBorders>
              <w:top w:val="nil"/>
              <w:left w:val="nil"/>
              <w:bottom w:val="single" w:sz="4" w:space="0" w:color="auto"/>
              <w:right w:val="nil"/>
            </w:tcBorders>
            <w:shd w:val="clear" w:color="000000" w:fill="FFFFFF"/>
            <w:noWrap/>
            <w:vAlign w:val="bottom"/>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57" w:type="pct"/>
            <w:tcBorders>
              <w:top w:val="nil"/>
              <w:left w:val="nil"/>
              <w:bottom w:val="single" w:sz="4" w:space="0" w:color="auto"/>
              <w:right w:val="nil"/>
            </w:tcBorders>
            <w:shd w:val="clear" w:color="000000" w:fill="FFFFFF"/>
            <w:noWrap/>
            <w:vAlign w:val="bottom"/>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15" w:type="pct"/>
            <w:tcBorders>
              <w:top w:val="nil"/>
              <w:left w:val="nil"/>
              <w:bottom w:val="nil"/>
              <w:right w:val="nil"/>
            </w:tcBorders>
            <w:shd w:val="clear" w:color="000000" w:fill="FFFFFF"/>
            <w:noWrap/>
            <w:vAlign w:val="bottom"/>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58" w:type="pct"/>
            <w:tcBorders>
              <w:top w:val="nil"/>
              <w:left w:val="nil"/>
              <w:bottom w:val="nil"/>
              <w:right w:val="nil"/>
            </w:tcBorders>
            <w:shd w:val="clear" w:color="000000" w:fill="FFFFFF"/>
            <w:noWrap/>
            <w:vAlign w:val="bottom"/>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30" w:type="pct"/>
            <w:tcBorders>
              <w:top w:val="nil"/>
              <w:left w:val="nil"/>
              <w:bottom w:val="nil"/>
              <w:right w:val="nil"/>
            </w:tcBorders>
            <w:shd w:val="clear" w:color="000000" w:fill="FFFFFF"/>
            <w:noWrap/>
            <w:vAlign w:val="bottom"/>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22" w:type="pct"/>
            <w:tcBorders>
              <w:top w:val="nil"/>
              <w:left w:val="nil"/>
              <w:bottom w:val="nil"/>
              <w:right w:val="nil"/>
            </w:tcBorders>
            <w:shd w:val="clear" w:color="000000" w:fill="FFFFFF"/>
            <w:noWrap/>
            <w:vAlign w:val="bottom"/>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43" w:type="pct"/>
            <w:tcBorders>
              <w:top w:val="nil"/>
              <w:left w:val="nil"/>
              <w:bottom w:val="nil"/>
              <w:right w:val="single" w:sz="4" w:space="0" w:color="auto"/>
            </w:tcBorders>
            <w:shd w:val="clear" w:color="000000" w:fill="FFFFFF"/>
            <w:noWrap/>
            <w:vAlign w:val="bottom"/>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r>
      <w:tr w:rsidR="006A25FF" w:rsidRPr="006A25FF" w:rsidTr="006A25FF">
        <w:trPr>
          <w:trHeight w:val="157"/>
        </w:trPr>
        <w:tc>
          <w:tcPr>
            <w:tcW w:w="1918" w:type="pct"/>
            <w:tcBorders>
              <w:top w:val="single" w:sz="4" w:space="0" w:color="auto"/>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Otras subvenciones, donaciones y legados</w:t>
            </w:r>
          </w:p>
        </w:tc>
        <w:tc>
          <w:tcPr>
            <w:tcW w:w="457" w:type="pct"/>
            <w:tcBorders>
              <w:top w:val="nil"/>
              <w:left w:val="single" w:sz="4" w:space="0" w:color="auto"/>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57"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15" w:type="pct"/>
            <w:tcBorders>
              <w:top w:val="single" w:sz="4" w:space="0" w:color="auto"/>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30" w:type="pct"/>
            <w:tcBorders>
              <w:top w:val="single" w:sz="4" w:space="0" w:color="auto"/>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22" w:type="pct"/>
            <w:tcBorders>
              <w:top w:val="single" w:sz="4" w:space="0" w:color="auto"/>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43" w:type="pct"/>
            <w:tcBorders>
              <w:top w:val="single" w:sz="4" w:space="0" w:color="auto"/>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Ingresos diferidos por intereses subvencionados</w:t>
            </w:r>
          </w:p>
        </w:tc>
        <w:tc>
          <w:tcPr>
            <w:tcW w:w="457" w:type="pct"/>
            <w:tcBorders>
              <w:top w:val="nil"/>
              <w:left w:val="single" w:sz="4" w:space="0" w:color="auto"/>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57"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15"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58"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30"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22"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c>
          <w:tcPr>
            <w:tcW w:w="443"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sz w:val="14"/>
                <w:szCs w:val="14"/>
                <w:lang w:val="es-ES"/>
              </w:rPr>
            </w:pPr>
            <w:r w:rsidRPr="006A25FF">
              <w:rPr>
                <w:rFonts w:ascii="Lucida Bright" w:hAnsi="Lucida Bright" w:cs="Calibri"/>
                <w:sz w:val="14"/>
                <w:szCs w:val="14"/>
                <w:lang w:val="es-ES"/>
              </w:rPr>
              <w:t xml:space="preserve">- </w:t>
            </w:r>
          </w:p>
        </w:tc>
      </w:tr>
      <w:tr w:rsidR="006A25FF" w:rsidRPr="006A25FF" w:rsidTr="006A25FF">
        <w:trPr>
          <w:trHeight w:val="157"/>
        </w:trPr>
        <w:tc>
          <w:tcPr>
            <w:tcW w:w="1918" w:type="pct"/>
            <w:tcBorders>
              <w:top w:val="nil"/>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b/>
                <w:bCs/>
                <w:sz w:val="14"/>
                <w:szCs w:val="14"/>
                <w:lang w:val="es-ES"/>
              </w:rPr>
            </w:pPr>
            <w:r w:rsidRPr="006A25FF">
              <w:rPr>
                <w:rFonts w:ascii="Lucida Bright" w:hAnsi="Lucida Bright" w:cs="Calibri"/>
                <w:b/>
                <w:bCs/>
                <w:sz w:val="14"/>
                <w:szCs w:val="14"/>
                <w:lang w:val="es-ES"/>
              </w:rPr>
              <w:t xml:space="preserve"> TOTAL OTRAS SUBVENCIONES, DONACIONES Y LEGADOS</w:t>
            </w:r>
          </w:p>
        </w:tc>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57"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58"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r>
      <w:tr w:rsidR="006A25FF" w:rsidRPr="006A25FF" w:rsidTr="006A25FF">
        <w:trPr>
          <w:trHeight w:val="157"/>
        </w:trPr>
        <w:tc>
          <w:tcPr>
            <w:tcW w:w="1918" w:type="pct"/>
            <w:tcBorders>
              <w:top w:val="nil"/>
              <w:left w:val="single" w:sz="4" w:space="0" w:color="auto"/>
              <w:bottom w:val="nil"/>
              <w:right w:val="nil"/>
            </w:tcBorders>
            <w:shd w:val="clear" w:color="000000" w:fill="FFFFFF"/>
            <w:noWrap/>
            <w:vAlign w:val="bottom"/>
            <w:hideMark/>
          </w:tcPr>
          <w:p w:rsidR="006A25FF" w:rsidRPr="006A25FF" w:rsidRDefault="006A25FF" w:rsidP="006A25FF">
            <w:pPr>
              <w:rPr>
                <w:rFonts w:ascii="Lucida Bright" w:hAnsi="Lucida Bright" w:cs="Calibri"/>
                <w:color w:val="000000"/>
                <w:sz w:val="14"/>
                <w:szCs w:val="14"/>
                <w:lang w:val="es-ES"/>
              </w:rPr>
            </w:pPr>
            <w:r w:rsidRPr="006A25FF">
              <w:rPr>
                <w:rFonts w:ascii="Lucida Bright" w:hAnsi="Lucida Bright" w:cs="Calibri"/>
                <w:color w:val="000000"/>
                <w:sz w:val="14"/>
                <w:szCs w:val="14"/>
                <w:lang w:val="es-ES"/>
              </w:rPr>
              <w:t> </w:t>
            </w:r>
          </w:p>
        </w:tc>
        <w:tc>
          <w:tcPr>
            <w:tcW w:w="457" w:type="pct"/>
            <w:tcBorders>
              <w:top w:val="nil"/>
              <w:left w:val="nil"/>
              <w:bottom w:val="single" w:sz="4" w:space="0" w:color="auto"/>
              <w:right w:val="nil"/>
            </w:tcBorders>
            <w:shd w:val="clear" w:color="000000" w:fill="FFFFFF"/>
            <w:noWrap/>
            <w:vAlign w:val="bottom"/>
            <w:hideMark/>
          </w:tcPr>
          <w:p w:rsidR="006A25FF" w:rsidRPr="006A25FF" w:rsidRDefault="006A25FF" w:rsidP="006A25FF">
            <w:pPr>
              <w:rPr>
                <w:rFonts w:ascii="Lucida Bright" w:hAnsi="Lucida Bright" w:cs="Calibri"/>
                <w:color w:val="000000"/>
                <w:sz w:val="14"/>
                <w:szCs w:val="14"/>
                <w:lang w:val="es-ES"/>
              </w:rPr>
            </w:pPr>
            <w:r w:rsidRPr="006A25FF">
              <w:rPr>
                <w:rFonts w:ascii="Lucida Bright" w:hAnsi="Lucida Bright" w:cs="Calibri"/>
                <w:color w:val="000000"/>
                <w:sz w:val="14"/>
                <w:szCs w:val="14"/>
                <w:lang w:val="es-ES"/>
              </w:rPr>
              <w:t> </w:t>
            </w:r>
          </w:p>
        </w:tc>
        <w:tc>
          <w:tcPr>
            <w:tcW w:w="457" w:type="pct"/>
            <w:tcBorders>
              <w:top w:val="nil"/>
              <w:left w:val="nil"/>
              <w:bottom w:val="single" w:sz="4" w:space="0" w:color="auto"/>
              <w:right w:val="nil"/>
            </w:tcBorders>
            <w:shd w:val="clear" w:color="000000" w:fill="FFFFFF"/>
            <w:noWrap/>
            <w:vAlign w:val="bottom"/>
            <w:hideMark/>
          </w:tcPr>
          <w:p w:rsidR="006A25FF" w:rsidRPr="006A25FF" w:rsidRDefault="006A25FF" w:rsidP="006A25FF">
            <w:pPr>
              <w:rPr>
                <w:rFonts w:ascii="Lucida Bright" w:hAnsi="Lucida Bright" w:cs="Calibri"/>
                <w:color w:val="000000"/>
                <w:sz w:val="14"/>
                <w:szCs w:val="14"/>
                <w:lang w:val="es-ES"/>
              </w:rPr>
            </w:pPr>
            <w:r w:rsidRPr="006A25FF">
              <w:rPr>
                <w:rFonts w:ascii="Lucida Bright" w:hAnsi="Lucida Bright" w:cs="Calibri"/>
                <w:color w:val="000000"/>
                <w:sz w:val="14"/>
                <w:szCs w:val="14"/>
                <w:lang w:val="es-ES"/>
              </w:rPr>
              <w:t> </w:t>
            </w:r>
          </w:p>
        </w:tc>
        <w:tc>
          <w:tcPr>
            <w:tcW w:w="415" w:type="pct"/>
            <w:tcBorders>
              <w:top w:val="nil"/>
              <w:left w:val="nil"/>
              <w:bottom w:val="nil"/>
              <w:right w:val="nil"/>
            </w:tcBorders>
            <w:shd w:val="clear" w:color="000000" w:fill="FFFFFF"/>
            <w:noWrap/>
            <w:vAlign w:val="bottom"/>
            <w:hideMark/>
          </w:tcPr>
          <w:p w:rsidR="006A25FF" w:rsidRPr="006A25FF" w:rsidRDefault="006A25FF" w:rsidP="006A25FF">
            <w:pPr>
              <w:rPr>
                <w:rFonts w:ascii="Lucida Bright" w:hAnsi="Lucida Bright" w:cs="Calibri"/>
                <w:color w:val="000000"/>
                <w:sz w:val="14"/>
                <w:szCs w:val="14"/>
                <w:lang w:val="es-ES"/>
              </w:rPr>
            </w:pPr>
            <w:r w:rsidRPr="006A25FF">
              <w:rPr>
                <w:rFonts w:ascii="Lucida Bright" w:hAnsi="Lucida Bright" w:cs="Calibri"/>
                <w:color w:val="000000"/>
                <w:sz w:val="14"/>
                <w:szCs w:val="14"/>
                <w:lang w:val="es-ES"/>
              </w:rPr>
              <w:t> </w:t>
            </w:r>
          </w:p>
        </w:tc>
        <w:tc>
          <w:tcPr>
            <w:tcW w:w="458" w:type="pct"/>
            <w:tcBorders>
              <w:top w:val="nil"/>
              <w:left w:val="nil"/>
              <w:bottom w:val="nil"/>
              <w:right w:val="nil"/>
            </w:tcBorders>
            <w:shd w:val="clear" w:color="000000" w:fill="FFFFFF"/>
            <w:noWrap/>
            <w:vAlign w:val="bottom"/>
            <w:hideMark/>
          </w:tcPr>
          <w:p w:rsidR="006A25FF" w:rsidRPr="006A25FF" w:rsidRDefault="006A25FF" w:rsidP="006A25FF">
            <w:pPr>
              <w:rPr>
                <w:rFonts w:ascii="Lucida Bright" w:hAnsi="Lucida Bright" w:cs="Calibri"/>
                <w:color w:val="000000"/>
                <w:sz w:val="14"/>
                <w:szCs w:val="14"/>
                <w:lang w:val="es-ES"/>
              </w:rPr>
            </w:pPr>
            <w:r w:rsidRPr="006A25FF">
              <w:rPr>
                <w:rFonts w:ascii="Lucida Bright" w:hAnsi="Lucida Bright" w:cs="Calibri"/>
                <w:color w:val="000000"/>
                <w:sz w:val="14"/>
                <w:szCs w:val="14"/>
                <w:lang w:val="es-ES"/>
              </w:rPr>
              <w:t> </w:t>
            </w:r>
          </w:p>
        </w:tc>
        <w:tc>
          <w:tcPr>
            <w:tcW w:w="430" w:type="pct"/>
            <w:tcBorders>
              <w:top w:val="nil"/>
              <w:left w:val="nil"/>
              <w:bottom w:val="nil"/>
              <w:right w:val="nil"/>
            </w:tcBorders>
            <w:shd w:val="clear" w:color="000000" w:fill="FFFFFF"/>
            <w:noWrap/>
            <w:vAlign w:val="bottom"/>
            <w:hideMark/>
          </w:tcPr>
          <w:p w:rsidR="006A25FF" w:rsidRPr="006A25FF" w:rsidRDefault="006A25FF" w:rsidP="006A25FF">
            <w:pPr>
              <w:rPr>
                <w:rFonts w:ascii="Lucida Bright" w:hAnsi="Lucida Bright" w:cs="Calibri"/>
                <w:color w:val="000000"/>
                <w:sz w:val="14"/>
                <w:szCs w:val="14"/>
                <w:lang w:val="es-ES"/>
              </w:rPr>
            </w:pPr>
            <w:r w:rsidRPr="006A25FF">
              <w:rPr>
                <w:rFonts w:ascii="Lucida Bright" w:hAnsi="Lucida Bright" w:cs="Calibri"/>
                <w:color w:val="000000"/>
                <w:sz w:val="14"/>
                <w:szCs w:val="14"/>
                <w:lang w:val="es-ES"/>
              </w:rPr>
              <w:t> </w:t>
            </w:r>
          </w:p>
        </w:tc>
        <w:tc>
          <w:tcPr>
            <w:tcW w:w="422" w:type="pct"/>
            <w:tcBorders>
              <w:top w:val="nil"/>
              <w:left w:val="nil"/>
              <w:bottom w:val="nil"/>
              <w:right w:val="nil"/>
            </w:tcBorders>
            <w:shd w:val="clear" w:color="000000" w:fill="FFFFFF"/>
            <w:noWrap/>
            <w:vAlign w:val="bottom"/>
            <w:hideMark/>
          </w:tcPr>
          <w:p w:rsidR="006A25FF" w:rsidRPr="006A25FF" w:rsidRDefault="006A25FF" w:rsidP="006A25FF">
            <w:pPr>
              <w:rPr>
                <w:rFonts w:ascii="Lucida Bright" w:hAnsi="Lucida Bright" w:cs="Calibri"/>
                <w:color w:val="000000"/>
                <w:sz w:val="14"/>
                <w:szCs w:val="14"/>
                <w:lang w:val="es-ES"/>
              </w:rPr>
            </w:pPr>
            <w:r w:rsidRPr="006A25FF">
              <w:rPr>
                <w:rFonts w:ascii="Lucida Bright" w:hAnsi="Lucida Bright" w:cs="Calibri"/>
                <w:color w:val="000000"/>
                <w:sz w:val="14"/>
                <w:szCs w:val="14"/>
                <w:lang w:val="es-ES"/>
              </w:rPr>
              <w:t> </w:t>
            </w:r>
          </w:p>
        </w:tc>
        <w:tc>
          <w:tcPr>
            <w:tcW w:w="443" w:type="pct"/>
            <w:tcBorders>
              <w:top w:val="nil"/>
              <w:left w:val="nil"/>
              <w:bottom w:val="nil"/>
              <w:right w:val="single" w:sz="4" w:space="0" w:color="auto"/>
            </w:tcBorders>
            <w:shd w:val="clear" w:color="000000" w:fill="FFFFFF"/>
            <w:noWrap/>
            <w:vAlign w:val="bottom"/>
            <w:hideMark/>
          </w:tcPr>
          <w:p w:rsidR="006A25FF" w:rsidRPr="006A25FF" w:rsidRDefault="006A25FF" w:rsidP="006A25FF">
            <w:pPr>
              <w:rPr>
                <w:rFonts w:ascii="Lucida Bright" w:hAnsi="Lucida Bright" w:cs="Calibri"/>
                <w:color w:val="000000"/>
                <w:sz w:val="14"/>
                <w:szCs w:val="14"/>
                <w:lang w:val="es-ES"/>
              </w:rPr>
            </w:pPr>
            <w:r w:rsidRPr="006A25FF">
              <w:rPr>
                <w:rFonts w:ascii="Lucida Bright" w:hAnsi="Lucida Bright" w:cs="Calibri"/>
                <w:color w:val="000000"/>
                <w:sz w:val="14"/>
                <w:szCs w:val="14"/>
                <w:lang w:val="es-ES"/>
              </w:rPr>
              <w:t> </w:t>
            </w:r>
          </w:p>
        </w:tc>
      </w:tr>
      <w:tr w:rsidR="006A25FF" w:rsidRPr="006A25FF" w:rsidTr="006A25FF">
        <w:trPr>
          <w:trHeight w:val="157"/>
        </w:trPr>
        <w:tc>
          <w:tcPr>
            <w:tcW w:w="1918" w:type="pct"/>
            <w:tcBorders>
              <w:top w:val="single" w:sz="4" w:space="0" w:color="auto"/>
              <w:left w:val="single" w:sz="4" w:space="0" w:color="auto"/>
              <w:bottom w:val="single" w:sz="4" w:space="0" w:color="auto"/>
              <w:right w:val="nil"/>
            </w:tcBorders>
            <w:shd w:val="clear" w:color="000000" w:fill="FFFFFF"/>
            <w:noWrap/>
            <w:vAlign w:val="center"/>
            <w:hideMark/>
          </w:tcPr>
          <w:p w:rsidR="006A25FF" w:rsidRPr="006A25FF" w:rsidRDefault="006A25FF" w:rsidP="006A25FF">
            <w:pPr>
              <w:rPr>
                <w:rFonts w:ascii="Lucida Bright" w:hAnsi="Lucida Bright" w:cs="Calibri"/>
                <w:b/>
                <w:bCs/>
                <w:sz w:val="14"/>
                <w:szCs w:val="14"/>
                <w:lang w:val="es-ES"/>
              </w:rPr>
            </w:pPr>
            <w:r w:rsidRPr="006A25FF">
              <w:rPr>
                <w:rFonts w:ascii="Lucida Bright" w:hAnsi="Lucida Bright" w:cs="Calibri"/>
                <w:b/>
                <w:bCs/>
                <w:sz w:val="14"/>
                <w:szCs w:val="14"/>
                <w:lang w:val="es-ES"/>
              </w:rPr>
              <w:t xml:space="preserve"> TOTAL INGRESOS POR REVERSIÓN DE CONCESIONES</w:t>
            </w:r>
          </w:p>
        </w:tc>
        <w:tc>
          <w:tcPr>
            <w:tcW w:w="457" w:type="pct"/>
            <w:tcBorders>
              <w:top w:val="nil"/>
              <w:left w:val="single" w:sz="4" w:space="0" w:color="auto"/>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9.505.571,21 </w:t>
            </w:r>
          </w:p>
        </w:tc>
        <w:tc>
          <w:tcPr>
            <w:tcW w:w="457" w:type="pct"/>
            <w:tcBorders>
              <w:top w:val="nil"/>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11.926.015,06 </w:t>
            </w:r>
          </w:p>
        </w:tc>
        <w:tc>
          <w:tcPr>
            <w:tcW w:w="415" w:type="pct"/>
            <w:tcBorders>
              <w:top w:val="single" w:sz="4" w:space="0" w:color="auto"/>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(1.161.389,38) </w:t>
            </w:r>
          </w:p>
        </w:tc>
        <w:tc>
          <w:tcPr>
            <w:tcW w:w="430" w:type="pct"/>
            <w:tcBorders>
              <w:top w:val="single" w:sz="4" w:space="0" w:color="auto"/>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22" w:type="pct"/>
            <w:tcBorders>
              <w:top w:val="single" w:sz="4" w:space="0" w:color="auto"/>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43" w:type="pct"/>
            <w:tcBorders>
              <w:top w:val="single" w:sz="4" w:space="0" w:color="auto"/>
              <w:left w:val="nil"/>
              <w:bottom w:val="single" w:sz="4" w:space="0" w:color="auto"/>
              <w:right w:val="single" w:sz="4" w:space="0" w:color="auto"/>
            </w:tcBorders>
            <w:shd w:val="clear" w:color="000000" w:fill="FFFFFF"/>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20.270.196,89 </w:t>
            </w:r>
          </w:p>
        </w:tc>
      </w:tr>
      <w:tr w:rsidR="006A25FF" w:rsidRPr="006A25FF" w:rsidTr="006A25FF">
        <w:trPr>
          <w:trHeight w:val="157"/>
        </w:trPr>
        <w:tc>
          <w:tcPr>
            <w:tcW w:w="1918" w:type="pct"/>
            <w:tcBorders>
              <w:top w:val="nil"/>
              <w:left w:val="single" w:sz="4" w:space="0" w:color="auto"/>
              <w:bottom w:val="nil"/>
              <w:right w:val="nil"/>
            </w:tcBorders>
            <w:shd w:val="clear" w:color="000000" w:fill="FFFFFF"/>
            <w:noWrap/>
            <w:vAlign w:val="bottom"/>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57" w:type="pct"/>
            <w:tcBorders>
              <w:top w:val="nil"/>
              <w:left w:val="nil"/>
              <w:bottom w:val="single" w:sz="4" w:space="0" w:color="auto"/>
              <w:right w:val="nil"/>
            </w:tcBorders>
            <w:shd w:val="clear" w:color="000000" w:fill="FFFFFF"/>
            <w:noWrap/>
            <w:vAlign w:val="bottom"/>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57" w:type="pct"/>
            <w:tcBorders>
              <w:top w:val="nil"/>
              <w:left w:val="nil"/>
              <w:bottom w:val="single" w:sz="4" w:space="0" w:color="auto"/>
              <w:right w:val="nil"/>
            </w:tcBorders>
            <w:shd w:val="clear" w:color="000000" w:fill="FFFFFF"/>
            <w:noWrap/>
            <w:vAlign w:val="bottom"/>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15" w:type="pct"/>
            <w:tcBorders>
              <w:top w:val="nil"/>
              <w:left w:val="nil"/>
              <w:bottom w:val="nil"/>
              <w:right w:val="nil"/>
            </w:tcBorders>
            <w:shd w:val="clear" w:color="000000" w:fill="FFFFFF"/>
            <w:noWrap/>
            <w:vAlign w:val="bottom"/>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58" w:type="pct"/>
            <w:tcBorders>
              <w:top w:val="nil"/>
              <w:left w:val="nil"/>
              <w:bottom w:val="nil"/>
              <w:right w:val="nil"/>
            </w:tcBorders>
            <w:shd w:val="clear" w:color="000000" w:fill="FFFFFF"/>
            <w:noWrap/>
            <w:vAlign w:val="bottom"/>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30" w:type="pct"/>
            <w:tcBorders>
              <w:top w:val="nil"/>
              <w:left w:val="nil"/>
              <w:bottom w:val="nil"/>
              <w:right w:val="nil"/>
            </w:tcBorders>
            <w:shd w:val="clear" w:color="000000" w:fill="FFFFFF"/>
            <w:noWrap/>
            <w:vAlign w:val="bottom"/>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22" w:type="pct"/>
            <w:tcBorders>
              <w:top w:val="nil"/>
              <w:left w:val="nil"/>
              <w:bottom w:val="nil"/>
              <w:right w:val="nil"/>
            </w:tcBorders>
            <w:shd w:val="clear" w:color="000000" w:fill="FFFFFF"/>
            <w:noWrap/>
            <w:vAlign w:val="bottom"/>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c>
          <w:tcPr>
            <w:tcW w:w="443" w:type="pct"/>
            <w:tcBorders>
              <w:top w:val="nil"/>
              <w:left w:val="nil"/>
              <w:bottom w:val="nil"/>
              <w:right w:val="single" w:sz="4" w:space="0" w:color="auto"/>
            </w:tcBorders>
            <w:shd w:val="clear" w:color="000000" w:fill="FFFFFF"/>
            <w:noWrap/>
            <w:vAlign w:val="bottom"/>
            <w:hideMark/>
          </w:tcPr>
          <w:p w:rsidR="006A25FF" w:rsidRPr="006A25FF" w:rsidRDefault="006A25FF" w:rsidP="006A25FF">
            <w:pPr>
              <w:rPr>
                <w:rFonts w:ascii="Lucida Bright" w:hAnsi="Lucida Bright" w:cs="Calibri"/>
                <w:sz w:val="14"/>
                <w:szCs w:val="14"/>
                <w:lang w:val="es-ES"/>
              </w:rPr>
            </w:pPr>
            <w:r w:rsidRPr="006A25FF">
              <w:rPr>
                <w:rFonts w:ascii="Lucida Bright" w:hAnsi="Lucida Bright" w:cs="Calibri"/>
                <w:sz w:val="14"/>
                <w:szCs w:val="14"/>
                <w:lang w:val="es-ES"/>
              </w:rPr>
              <w:t> </w:t>
            </w:r>
          </w:p>
        </w:tc>
      </w:tr>
      <w:tr w:rsidR="006A25FF" w:rsidRPr="006A25FF" w:rsidTr="006A25FF">
        <w:trPr>
          <w:trHeight w:val="157"/>
        </w:trPr>
        <w:tc>
          <w:tcPr>
            <w:tcW w:w="1918" w:type="pct"/>
            <w:tcBorders>
              <w:top w:val="single" w:sz="4" w:space="0" w:color="auto"/>
              <w:left w:val="single" w:sz="4" w:space="0" w:color="auto"/>
              <w:bottom w:val="single" w:sz="4" w:space="0" w:color="auto"/>
              <w:right w:val="nil"/>
            </w:tcBorders>
            <w:shd w:val="clear" w:color="auto" w:fill="auto"/>
            <w:noWrap/>
            <w:vAlign w:val="center"/>
            <w:hideMark/>
          </w:tcPr>
          <w:p w:rsidR="006A25FF" w:rsidRPr="006A25FF" w:rsidRDefault="006A25FF" w:rsidP="006A25FF">
            <w:pPr>
              <w:jc w:val="center"/>
              <w:rPr>
                <w:rFonts w:ascii="Lucida Bright" w:hAnsi="Lucida Bright" w:cs="Calibri"/>
                <w:b/>
                <w:bCs/>
                <w:sz w:val="14"/>
                <w:szCs w:val="14"/>
                <w:lang w:val="es-ES"/>
              </w:rPr>
            </w:pPr>
            <w:r w:rsidRPr="006A25FF">
              <w:rPr>
                <w:rFonts w:ascii="Lucida Bright" w:hAnsi="Lucida Bright" w:cs="Calibri"/>
                <w:b/>
                <w:bCs/>
                <w:sz w:val="14"/>
                <w:szCs w:val="14"/>
                <w:lang w:val="es-ES"/>
              </w:rPr>
              <w:t>TOTAL SUBVENCIONES, DONACIONES Y LEGADOS RECIBIDOS</w:t>
            </w:r>
          </w:p>
        </w:tc>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29.121.118,52 </w:t>
            </w:r>
          </w:p>
        </w:tc>
        <w:tc>
          <w:tcPr>
            <w:tcW w:w="457" w:type="pct"/>
            <w:tcBorders>
              <w:top w:val="nil"/>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14.600.949,65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(668.733,65) </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(1.891.843,13) </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 </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6A25FF" w:rsidRPr="006A25FF" w:rsidRDefault="006A25FF" w:rsidP="006A25FF">
            <w:pPr>
              <w:jc w:val="right"/>
              <w:rPr>
                <w:rFonts w:ascii="Lucida Bright" w:hAnsi="Lucida Bright" w:cs="Calibri"/>
                <w:b/>
                <w:bCs/>
                <w:sz w:val="14"/>
                <w:szCs w:val="14"/>
                <w:lang w:val="es-ES"/>
              </w:rPr>
            </w:pPr>
            <w:r w:rsidRPr="006A25FF">
              <w:rPr>
                <w:rFonts w:ascii="Lucida Bright" w:hAnsi="Lucida Bright" w:cs="Calibri"/>
                <w:b/>
                <w:bCs/>
                <w:sz w:val="14"/>
                <w:szCs w:val="14"/>
                <w:lang w:val="es-ES"/>
              </w:rPr>
              <w:t xml:space="preserve">41.161.491,39 </w:t>
            </w:r>
          </w:p>
        </w:tc>
      </w:tr>
    </w:tbl>
    <w:p w:rsidR="00BF0DDB" w:rsidRDefault="00BF0DDB">
      <w:pPr>
        <w:sectPr w:rsidR="00BF0DDB" w:rsidSect="00827932">
          <w:pgSz w:w="16840" w:h="11907" w:orient="landscape" w:code="9"/>
          <w:pgMar w:top="1276" w:right="1701" w:bottom="1418" w:left="1701" w:header="567" w:footer="720" w:gutter="0"/>
          <w:cols w:space="720"/>
          <w:docGrid w:linePitch="272"/>
        </w:sectPr>
      </w:pPr>
    </w:p>
    <w:p w:rsidR="00BF0DDB" w:rsidRDefault="00BF0DDB"/>
    <w:p w:rsidR="00914B2C" w:rsidRPr="00500823" w:rsidRDefault="00914B2C" w:rsidP="00914B2C">
      <w:pPr>
        <w:numPr>
          <w:ilvl w:val="0"/>
          <w:numId w:val="2"/>
        </w:numPr>
        <w:tabs>
          <w:tab w:val="right" w:pos="8364"/>
        </w:tabs>
        <w:ind w:hanging="219"/>
        <w:jc w:val="both"/>
        <w:rPr>
          <w:rFonts w:ascii="NewBaskerville" w:hAnsi="NewBaskerville"/>
          <w:b/>
          <w:bCs/>
        </w:rPr>
      </w:pPr>
      <w:r w:rsidRPr="00500823">
        <w:rPr>
          <w:rFonts w:ascii="NewBaskerville" w:hAnsi="NewBaskerville"/>
        </w:rPr>
        <w:t>Subvención Fondos de Cohesión</w:t>
      </w:r>
    </w:p>
    <w:p w:rsidR="00914B2C" w:rsidRPr="00500823" w:rsidRDefault="00914B2C" w:rsidP="00914B2C">
      <w:pPr>
        <w:tabs>
          <w:tab w:val="right" w:pos="8364"/>
        </w:tabs>
        <w:jc w:val="both"/>
        <w:rPr>
          <w:rFonts w:ascii="NewBaskerville" w:hAnsi="NewBaskerville"/>
        </w:rPr>
      </w:pPr>
    </w:p>
    <w:p w:rsidR="00914B2C" w:rsidRDefault="00A861CC" w:rsidP="00914B2C">
      <w:pPr>
        <w:tabs>
          <w:tab w:val="right" w:pos="8364"/>
        </w:tabs>
        <w:ind w:firstLine="567"/>
        <w:jc w:val="both"/>
      </w:pPr>
      <w:r>
        <w:rPr>
          <w:rFonts w:ascii="NewBaskerville" w:hAnsi="NewBaskerville"/>
        </w:rPr>
        <w:t>La</w:t>
      </w:r>
      <w:r w:rsidR="00914B2C" w:rsidRPr="00500823">
        <w:rPr>
          <w:rFonts w:ascii="NewBaskerville" w:hAnsi="NewBaskerville"/>
        </w:rPr>
        <w:t xml:space="preserve"> AP</w:t>
      </w:r>
      <w:r w:rsidR="00500823">
        <w:rPr>
          <w:rFonts w:ascii="NewBaskerville" w:hAnsi="NewBaskerville"/>
        </w:rPr>
        <w:t>B</w:t>
      </w:r>
      <w:r w:rsidR="00914B2C" w:rsidRPr="00500823">
        <w:rPr>
          <w:rFonts w:ascii="NewBaskerville" w:hAnsi="NewBaskerville"/>
        </w:rPr>
        <w:t xml:space="preserve"> ha recibido Fondos de Cohesión para la construcción del Dique de Botafoc en el puerto de Ibiza, la Ampliación de la explanada sur de los Muelles Comerciales del puerto de Palma y la Ampliación y mejora de los Muelles del Cos Nou en el puerto de Mahón. Todos estos activos ya se han incorporado al inmovilizado por lo que se han traspasado determinados importes al </w:t>
      </w:r>
      <w:r w:rsidR="003F5177" w:rsidRPr="00500823">
        <w:rPr>
          <w:rFonts w:ascii="NewBaskerville" w:hAnsi="NewBaskerville"/>
        </w:rPr>
        <w:t>r</w:t>
      </w:r>
      <w:r w:rsidR="00E12B17">
        <w:rPr>
          <w:rFonts w:ascii="NewBaskerville" w:hAnsi="NewBaskerville"/>
        </w:rPr>
        <w:t>esultado</w:t>
      </w:r>
      <w:r w:rsidR="00FA699C" w:rsidRPr="00500823">
        <w:rPr>
          <w:rFonts w:ascii="NewBaskerville" w:hAnsi="NewBaskerville"/>
        </w:rPr>
        <w:t xml:space="preserve"> del ejercicio 202</w:t>
      </w:r>
      <w:r w:rsidR="00242432">
        <w:rPr>
          <w:rFonts w:ascii="NewBaskerville" w:hAnsi="NewBaskerville"/>
        </w:rPr>
        <w:t>4</w:t>
      </w:r>
      <w:r w:rsidR="00FA699C" w:rsidRPr="00500823">
        <w:rPr>
          <w:rFonts w:ascii="NewBaskerville" w:hAnsi="NewBaskerville"/>
        </w:rPr>
        <w:t xml:space="preserve"> </w:t>
      </w:r>
      <w:r w:rsidR="00914B2C" w:rsidRPr="00500823">
        <w:rPr>
          <w:rFonts w:ascii="NewBaskerville" w:hAnsi="NewBaskerville"/>
        </w:rPr>
        <w:t xml:space="preserve">según se detalla en </w:t>
      </w:r>
      <w:r w:rsidR="00E12B17">
        <w:rPr>
          <w:rFonts w:ascii="NewBaskerville" w:hAnsi="NewBaskerville"/>
        </w:rPr>
        <w:t>el cuadro</w:t>
      </w:r>
      <w:r w:rsidR="00914B2C" w:rsidRPr="00AE63D4">
        <w:t>.</w:t>
      </w:r>
    </w:p>
    <w:p w:rsidR="00E12B17" w:rsidRPr="00BF1AFD" w:rsidRDefault="00E12B17" w:rsidP="00914B2C">
      <w:pPr>
        <w:tabs>
          <w:tab w:val="right" w:pos="8364"/>
        </w:tabs>
        <w:ind w:firstLine="567"/>
        <w:jc w:val="both"/>
      </w:pPr>
    </w:p>
    <w:tbl>
      <w:tblPr>
        <w:tblW w:w="9120" w:type="dxa"/>
        <w:tblInd w:w="60" w:type="dxa"/>
        <w:tblCellMar>
          <w:left w:w="70" w:type="dxa"/>
          <w:right w:w="70" w:type="dxa"/>
        </w:tblCellMar>
        <w:tblLook w:val="04A0" w:firstRow="1" w:lastRow="0" w:firstColumn="1" w:lastColumn="0" w:noHBand="0" w:noVBand="1"/>
      </w:tblPr>
      <w:tblGrid>
        <w:gridCol w:w="2277"/>
        <w:gridCol w:w="261"/>
        <w:gridCol w:w="322"/>
        <w:gridCol w:w="1344"/>
        <w:gridCol w:w="1202"/>
        <w:gridCol w:w="1182"/>
        <w:gridCol w:w="1340"/>
        <w:gridCol w:w="1192"/>
      </w:tblGrid>
      <w:tr w:rsidR="00242432" w:rsidRPr="00242432" w:rsidTr="00242432">
        <w:trPr>
          <w:trHeight w:val="555"/>
        </w:trPr>
        <w:tc>
          <w:tcPr>
            <w:tcW w:w="2860" w:type="dxa"/>
            <w:gridSpan w:val="3"/>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242432" w:rsidRPr="00242432" w:rsidRDefault="00242432" w:rsidP="00242432">
            <w:pPr>
              <w:jc w:val="center"/>
              <w:rPr>
                <w:rFonts w:ascii="Lucida Bright" w:hAnsi="Lucida Bright" w:cs="Calibri"/>
                <w:b/>
                <w:bCs/>
                <w:color w:val="000000"/>
                <w:sz w:val="18"/>
                <w:szCs w:val="18"/>
                <w:lang w:val="es-ES"/>
              </w:rPr>
            </w:pPr>
            <w:r w:rsidRPr="00242432">
              <w:rPr>
                <w:rFonts w:ascii="Lucida Bright" w:hAnsi="Lucida Bright" w:cs="Calibri"/>
                <w:b/>
                <w:bCs/>
                <w:color w:val="000000"/>
                <w:sz w:val="18"/>
                <w:szCs w:val="18"/>
                <w:lang w:val="es-ES"/>
              </w:rPr>
              <w:t>Fondos de Cohesión</w:t>
            </w:r>
          </w:p>
        </w:tc>
        <w:tc>
          <w:tcPr>
            <w:tcW w:w="1344"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Saldo a 31/12/2023</w:t>
            </w:r>
          </w:p>
        </w:tc>
        <w:tc>
          <w:tcPr>
            <w:tcW w:w="1202"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Importe devengado en el ejerci</w:t>
            </w:r>
            <w:r w:rsidR="00416638">
              <w:rPr>
                <w:rFonts w:ascii="Lucida Bright" w:hAnsi="Lucida Bright" w:cs="Calibri"/>
                <w:b/>
                <w:bCs/>
                <w:color w:val="000000"/>
                <w:sz w:val="14"/>
                <w:szCs w:val="14"/>
                <w:lang w:val="es-ES"/>
              </w:rPr>
              <w:t>ci</w:t>
            </w:r>
            <w:r w:rsidRPr="00242432">
              <w:rPr>
                <w:rFonts w:ascii="Lucida Bright" w:hAnsi="Lucida Bright" w:cs="Calibri"/>
                <w:b/>
                <w:bCs/>
                <w:color w:val="000000"/>
                <w:sz w:val="14"/>
                <w:szCs w:val="14"/>
                <w:lang w:val="es-ES"/>
              </w:rPr>
              <w:t>o</w:t>
            </w:r>
          </w:p>
        </w:tc>
        <w:tc>
          <w:tcPr>
            <w:tcW w:w="1182"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Efecto impositivo devengo</w:t>
            </w:r>
          </w:p>
        </w:tc>
        <w:tc>
          <w:tcPr>
            <w:tcW w:w="134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xml:space="preserve">Importe </w:t>
            </w:r>
            <w:r w:rsidR="00416638" w:rsidRPr="00242432">
              <w:rPr>
                <w:rFonts w:ascii="Lucida Bright" w:hAnsi="Lucida Bright" w:cs="Calibri"/>
                <w:b/>
                <w:bCs/>
                <w:color w:val="000000"/>
                <w:sz w:val="14"/>
                <w:szCs w:val="14"/>
                <w:lang w:val="es-ES"/>
              </w:rPr>
              <w:t>traspas</w:t>
            </w:r>
            <w:r w:rsidR="0031200E">
              <w:rPr>
                <w:rFonts w:ascii="Lucida Bright" w:hAnsi="Lucida Bright" w:cs="Calibri"/>
                <w:b/>
                <w:bCs/>
                <w:color w:val="000000"/>
                <w:sz w:val="14"/>
                <w:szCs w:val="14"/>
                <w:lang w:val="es-ES"/>
              </w:rPr>
              <w:t>ad</w:t>
            </w:r>
            <w:r w:rsidR="00416638" w:rsidRPr="00242432">
              <w:rPr>
                <w:rFonts w:ascii="Lucida Bright" w:hAnsi="Lucida Bright" w:cs="Calibri"/>
                <w:b/>
                <w:bCs/>
                <w:color w:val="000000"/>
                <w:sz w:val="14"/>
                <w:szCs w:val="14"/>
                <w:lang w:val="es-ES"/>
              </w:rPr>
              <w:t>o</w:t>
            </w:r>
            <w:r w:rsidRPr="00242432">
              <w:rPr>
                <w:rFonts w:ascii="Lucida Bright" w:hAnsi="Lucida Bright" w:cs="Calibri"/>
                <w:b/>
                <w:bCs/>
                <w:color w:val="000000"/>
                <w:sz w:val="14"/>
                <w:szCs w:val="14"/>
                <w:lang w:val="es-ES"/>
              </w:rPr>
              <w:t xml:space="preserve"> al resultado</w:t>
            </w:r>
          </w:p>
        </w:tc>
        <w:tc>
          <w:tcPr>
            <w:tcW w:w="1192"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Saldo a 31/12/2024</w:t>
            </w:r>
          </w:p>
        </w:tc>
      </w:tr>
      <w:tr w:rsidR="00242432" w:rsidRPr="00242432" w:rsidTr="00242432">
        <w:trPr>
          <w:trHeight w:val="315"/>
        </w:trPr>
        <w:tc>
          <w:tcPr>
            <w:tcW w:w="28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Dique de Botafoc del Pto. Ibiza</w:t>
            </w:r>
          </w:p>
        </w:tc>
        <w:tc>
          <w:tcPr>
            <w:tcW w:w="1344" w:type="dxa"/>
            <w:tcBorders>
              <w:top w:val="nil"/>
              <w:left w:val="nil"/>
              <w:bottom w:val="single" w:sz="4" w:space="0" w:color="auto"/>
              <w:right w:val="single" w:sz="4"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8.344.432,68 </w:t>
            </w:r>
          </w:p>
        </w:tc>
        <w:tc>
          <w:tcPr>
            <w:tcW w:w="12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42432" w:rsidRPr="00242432" w:rsidRDefault="00242432" w:rsidP="00242432">
            <w:pPr>
              <w:rPr>
                <w:color w:val="000000"/>
                <w:sz w:val="14"/>
                <w:szCs w:val="14"/>
                <w:lang w:val="es-ES"/>
              </w:rPr>
            </w:pPr>
            <w:r w:rsidRPr="00242432">
              <w:rPr>
                <w:color w:val="000000"/>
                <w:sz w:val="14"/>
                <w:szCs w:val="14"/>
                <w:lang w:val="es-ES"/>
              </w:rPr>
              <w:t> </w:t>
            </w:r>
          </w:p>
        </w:tc>
        <w:tc>
          <w:tcPr>
            <w:tcW w:w="1182" w:type="dxa"/>
            <w:tcBorders>
              <w:top w:val="single" w:sz="8" w:space="0" w:color="auto"/>
              <w:left w:val="nil"/>
              <w:bottom w:val="single" w:sz="4" w:space="0" w:color="auto"/>
              <w:right w:val="single" w:sz="4" w:space="0" w:color="auto"/>
            </w:tcBorders>
            <w:shd w:val="clear" w:color="auto" w:fill="auto"/>
            <w:noWrap/>
            <w:vAlign w:val="center"/>
            <w:hideMark/>
          </w:tcPr>
          <w:p w:rsidR="00242432" w:rsidRPr="00242432" w:rsidRDefault="00242432" w:rsidP="00242432">
            <w:pPr>
              <w:rPr>
                <w:color w:val="000000"/>
                <w:sz w:val="14"/>
                <w:szCs w:val="14"/>
                <w:lang w:val="es-ES"/>
              </w:rPr>
            </w:pPr>
            <w:r w:rsidRPr="00242432">
              <w:rPr>
                <w:color w:val="000000"/>
                <w:sz w:val="14"/>
                <w:szCs w:val="14"/>
                <w:lang w:val="es-ES"/>
              </w:rPr>
              <w:t> </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(279.772,80) </w:t>
            </w:r>
          </w:p>
        </w:tc>
        <w:tc>
          <w:tcPr>
            <w:tcW w:w="1192" w:type="dxa"/>
            <w:tcBorders>
              <w:top w:val="single" w:sz="8" w:space="0" w:color="auto"/>
              <w:left w:val="nil"/>
              <w:bottom w:val="single" w:sz="4" w:space="0" w:color="auto"/>
              <w:right w:val="single" w:sz="8" w:space="0" w:color="auto"/>
            </w:tcBorders>
            <w:shd w:val="clear" w:color="auto" w:fill="auto"/>
            <w:noWrap/>
            <w:vAlign w:val="center"/>
            <w:hideMark/>
          </w:tcPr>
          <w:p w:rsidR="00242432" w:rsidRPr="00242432" w:rsidRDefault="00242432" w:rsidP="00242432">
            <w:pPr>
              <w:jc w:val="right"/>
              <w:rPr>
                <w:color w:val="000000"/>
                <w:sz w:val="14"/>
                <w:szCs w:val="14"/>
                <w:lang w:val="es-ES"/>
              </w:rPr>
            </w:pPr>
            <w:r w:rsidRPr="00242432">
              <w:rPr>
                <w:color w:val="000000"/>
                <w:sz w:val="14"/>
                <w:szCs w:val="14"/>
                <w:lang w:val="es-ES"/>
              </w:rPr>
              <w:t xml:space="preserve">8.064.659,88 </w:t>
            </w:r>
          </w:p>
        </w:tc>
      </w:tr>
      <w:tr w:rsidR="00242432" w:rsidRPr="00242432" w:rsidTr="00242432">
        <w:trPr>
          <w:trHeight w:val="315"/>
        </w:trPr>
        <w:tc>
          <w:tcPr>
            <w:tcW w:w="28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Ampl. Explanada sur MMCC de Palma</w:t>
            </w:r>
          </w:p>
        </w:tc>
        <w:tc>
          <w:tcPr>
            <w:tcW w:w="1344" w:type="dxa"/>
            <w:tcBorders>
              <w:top w:val="nil"/>
              <w:left w:val="nil"/>
              <w:bottom w:val="single" w:sz="4" w:space="0" w:color="auto"/>
              <w:right w:val="single" w:sz="4"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6.779.403,61 </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rsidR="00242432" w:rsidRPr="00242432" w:rsidRDefault="00242432" w:rsidP="00242432">
            <w:pPr>
              <w:rPr>
                <w:color w:val="000000"/>
                <w:sz w:val="14"/>
                <w:szCs w:val="14"/>
                <w:lang w:val="es-ES"/>
              </w:rPr>
            </w:pPr>
            <w:r w:rsidRPr="00242432">
              <w:rPr>
                <w:color w:val="000000"/>
                <w:sz w:val="14"/>
                <w:szCs w:val="14"/>
                <w:lang w:val="es-ES"/>
              </w:rPr>
              <w:t> </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242432" w:rsidRPr="00242432" w:rsidRDefault="00242432" w:rsidP="00242432">
            <w:pPr>
              <w:rPr>
                <w:color w:val="000000"/>
                <w:sz w:val="14"/>
                <w:szCs w:val="14"/>
                <w:lang w:val="es-ES"/>
              </w:rPr>
            </w:pPr>
            <w:r w:rsidRPr="00242432">
              <w:rPr>
                <w:color w:val="000000"/>
                <w:sz w:val="14"/>
                <w:szCs w:val="14"/>
                <w:lang w:val="es-ES"/>
              </w:rPr>
              <w:t>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(92.087,10) </w:t>
            </w:r>
          </w:p>
        </w:tc>
        <w:tc>
          <w:tcPr>
            <w:tcW w:w="1192" w:type="dxa"/>
            <w:tcBorders>
              <w:top w:val="nil"/>
              <w:left w:val="single" w:sz="4" w:space="0" w:color="auto"/>
              <w:bottom w:val="single" w:sz="4" w:space="0" w:color="auto"/>
              <w:right w:val="single" w:sz="8" w:space="0" w:color="auto"/>
            </w:tcBorders>
            <w:shd w:val="clear" w:color="auto" w:fill="auto"/>
            <w:noWrap/>
            <w:vAlign w:val="center"/>
            <w:hideMark/>
          </w:tcPr>
          <w:p w:rsidR="00242432" w:rsidRPr="00242432" w:rsidRDefault="00242432" w:rsidP="00242432">
            <w:pPr>
              <w:jc w:val="right"/>
              <w:rPr>
                <w:color w:val="000000"/>
                <w:sz w:val="14"/>
                <w:szCs w:val="14"/>
                <w:lang w:val="es-ES"/>
              </w:rPr>
            </w:pPr>
            <w:r w:rsidRPr="00242432">
              <w:rPr>
                <w:color w:val="000000"/>
                <w:sz w:val="14"/>
                <w:szCs w:val="14"/>
                <w:lang w:val="es-ES"/>
              </w:rPr>
              <w:t xml:space="preserve">6.687.316,51 </w:t>
            </w:r>
          </w:p>
        </w:tc>
      </w:tr>
      <w:tr w:rsidR="00242432" w:rsidRPr="00242432" w:rsidTr="00242432">
        <w:trPr>
          <w:trHeight w:val="315"/>
        </w:trPr>
        <w:tc>
          <w:tcPr>
            <w:tcW w:w="28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Ampl. Muelles del Cos Nou del Pto.Mahón</w:t>
            </w:r>
          </w:p>
        </w:tc>
        <w:tc>
          <w:tcPr>
            <w:tcW w:w="1344" w:type="dxa"/>
            <w:tcBorders>
              <w:top w:val="nil"/>
              <w:left w:val="nil"/>
              <w:bottom w:val="nil"/>
              <w:right w:val="single" w:sz="4"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2.709.946,04 </w:t>
            </w:r>
          </w:p>
        </w:tc>
        <w:tc>
          <w:tcPr>
            <w:tcW w:w="1202" w:type="dxa"/>
            <w:tcBorders>
              <w:top w:val="nil"/>
              <w:left w:val="nil"/>
              <w:bottom w:val="nil"/>
              <w:right w:val="single" w:sz="4" w:space="0" w:color="auto"/>
            </w:tcBorders>
            <w:shd w:val="clear" w:color="auto" w:fill="auto"/>
            <w:noWrap/>
            <w:vAlign w:val="center"/>
            <w:hideMark/>
          </w:tcPr>
          <w:p w:rsidR="00242432" w:rsidRPr="00242432" w:rsidRDefault="00242432" w:rsidP="00242432">
            <w:pPr>
              <w:rPr>
                <w:color w:val="000000"/>
                <w:sz w:val="14"/>
                <w:szCs w:val="14"/>
                <w:lang w:val="es-ES"/>
              </w:rPr>
            </w:pPr>
            <w:r w:rsidRPr="00242432">
              <w:rPr>
                <w:color w:val="000000"/>
                <w:sz w:val="14"/>
                <w:szCs w:val="14"/>
                <w:lang w:val="es-ES"/>
              </w:rPr>
              <w:t> </w:t>
            </w:r>
          </w:p>
        </w:tc>
        <w:tc>
          <w:tcPr>
            <w:tcW w:w="1182" w:type="dxa"/>
            <w:tcBorders>
              <w:top w:val="nil"/>
              <w:left w:val="nil"/>
              <w:bottom w:val="nil"/>
              <w:right w:val="single" w:sz="4" w:space="0" w:color="auto"/>
            </w:tcBorders>
            <w:shd w:val="clear" w:color="auto" w:fill="auto"/>
            <w:noWrap/>
            <w:vAlign w:val="center"/>
            <w:hideMark/>
          </w:tcPr>
          <w:p w:rsidR="00242432" w:rsidRPr="00242432" w:rsidRDefault="00242432" w:rsidP="00242432">
            <w:pPr>
              <w:rPr>
                <w:color w:val="000000"/>
                <w:sz w:val="14"/>
                <w:szCs w:val="14"/>
                <w:lang w:val="es-ES"/>
              </w:rPr>
            </w:pPr>
            <w:r w:rsidRPr="00242432">
              <w:rPr>
                <w:color w:val="000000"/>
                <w:sz w:val="14"/>
                <w:szCs w:val="14"/>
                <w:lang w:val="es-ES"/>
              </w:rPr>
              <w:t> </w:t>
            </w:r>
          </w:p>
        </w:tc>
        <w:tc>
          <w:tcPr>
            <w:tcW w:w="1340" w:type="dxa"/>
            <w:tcBorders>
              <w:top w:val="nil"/>
              <w:left w:val="nil"/>
              <w:bottom w:val="nil"/>
              <w:right w:val="single" w:sz="4" w:space="0" w:color="auto"/>
            </w:tcBorders>
            <w:shd w:val="clear" w:color="auto" w:fill="auto"/>
            <w:noWrap/>
            <w:vAlign w:val="center"/>
            <w:hideMark/>
          </w:tcPr>
          <w:p w:rsidR="00242432" w:rsidRPr="00242432" w:rsidRDefault="00242432" w:rsidP="00242432">
            <w:pPr>
              <w:jc w:val="right"/>
              <w:rPr>
                <w:color w:val="000000"/>
                <w:sz w:val="14"/>
                <w:szCs w:val="14"/>
                <w:lang w:val="es-ES"/>
              </w:rPr>
            </w:pPr>
            <w:r w:rsidRPr="00242432">
              <w:rPr>
                <w:color w:val="000000"/>
                <w:sz w:val="14"/>
                <w:szCs w:val="14"/>
                <w:lang w:val="es-ES"/>
              </w:rPr>
              <w:t xml:space="preserve">(199.612,80) </w:t>
            </w:r>
          </w:p>
        </w:tc>
        <w:tc>
          <w:tcPr>
            <w:tcW w:w="1192" w:type="dxa"/>
            <w:tcBorders>
              <w:top w:val="nil"/>
              <w:left w:val="single" w:sz="4" w:space="0" w:color="auto"/>
              <w:bottom w:val="nil"/>
              <w:right w:val="single" w:sz="8" w:space="0" w:color="auto"/>
            </w:tcBorders>
            <w:shd w:val="clear" w:color="auto" w:fill="auto"/>
            <w:noWrap/>
            <w:vAlign w:val="center"/>
            <w:hideMark/>
          </w:tcPr>
          <w:p w:rsidR="00242432" w:rsidRPr="00242432" w:rsidRDefault="00242432" w:rsidP="00242432">
            <w:pPr>
              <w:jc w:val="right"/>
              <w:rPr>
                <w:color w:val="000000"/>
                <w:sz w:val="14"/>
                <w:szCs w:val="14"/>
                <w:lang w:val="es-ES"/>
              </w:rPr>
            </w:pPr>
            <w:r w:rsidRPr="00242432">
              <w:rPr>
                <w:color w:val="000000"/>
                <w:sz w:val="14"/>
                <w:szCs w:val="14"/>
                <w:lang w:val="es-ES"/>
              </w:rPr>
              <w:t xml:space="preserve">2.510.333,24 </w:t>
            </w:r>
          </w:p>
        </w:tc>
      </w:tr>
      <w:tr w:rsidR="00242432" w:rsidRPr="00242432" w:rsidTr="00242432">
        <w:trPr>
          <w:trHeight w:val="315"/>
        </w:trPr>
        <w:tc>
          <w:tcPr>
            <w:tcW w:w="2277" w:type="dxa"/>
            <w:tcBorders>
              <w:top w:val="nil"/>
              <w:left w:val="single" w:sz="8" w:space="0" w:color="auto"/>
              <w:bottom w:val="single" w:sz="8" w:space="0" w:color="auto"/>
              <w:right w:val="nil"/>
            </w:tcBorders>
            <w:shd w:val="clear" w:color="auto" w:fill="auto"/>
            <w:noWrap/>
            <w:vAlign w:val="center"/>
            <w:hideMark/>
          </w:tcPr>
          <w:p w:rsidR="00242432" w:rsidRPr="00242432" w:rsidRDefault="00242432" w:rsidP="00242432">
            <w:pP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Total</w:t>
            </w:r>
          </w:p>
        </w:tc>
        <w:tc>
          <w:tcPr>
            <w:tcW w:w="261" w:type="dxa"/>
            <w:tcBorders>
              <w:top w:val="nil"/>
              <w:left w:val="nil"/>
              <w:bottom w:val="single" w:sz="8" w:space="0" w:color="auto"/>
              <w:right w:val="nil"/>
            </w:tcBorders>
            <w:shd w:val="clear" w:color="auto" w:fill="auto"/>
            <w:noWrap/>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w:t>
            </w:r>
          </w:p>
        </w:tc>
        <w:tc>
          <w:tcPr>
            <w:tcW w:w="322" w:type="dxa"/>
            <w:tcBorders>
              <w:top w:val="nil"/>
              <w:left w:val="nil"/>
              <w:bottom w:val="single" w:sz="8" w:space="0" w:color="auto"/>
              <w:right w:val="single" w:sz="8" w:space="0" w:color="auto"/>
            </w:tcBorders>
            <w:shd w:val="clear" w:color="auto" w:fill="auto"/>
            <w:noWrap/>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w:t>
            </w:r>
          </w:p>
        </w:tc>
        <w:tc>
          <w:tcPr>
            <w:tcW w:w="1344"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xml:space="preserve">17.833.782,33 </w:t>
            </w:r>
          </w:p>
        </w:tc>
        <w:tc>
          <w:tcPr>
            <w:tcW w:w="1202"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w:t>
            </w:r>
          </w:p>
        </w:tc>
        <w:tc>
          <w:tcPr>
            <w:tcW w:w="1182"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w:t>
            </w:r>
          </w:p>
        </w:tc>
        <w:tc>
          <w:tcPr>
            <w:tcW w:w="1340"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xml:space="preserve">(571.472,70) </w:t>
            </w:r>
          </w:p>
        </w:tc>
        <w:tc>
          <w:tcPr>
            <w:tcW w:w="1192"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xml:space="preserve">17.262.309,63 </w:t>
            </w:r>
          </w:p>
        </w:tc>
      </w:tr>
    </w:tbl>
    <w:p w:rsidR="008016E5" w:rsidRDefault="008016E5" w:rsidP="00C22A45">
      <w:pPr>
        <w:tabs>
          <w:tab w:val="right" w:pos="8364"/>
        </w:tabs>
        <w:jc w:val="both"/>
      </w:pPr>
    </w:p>
    <w:p w:rsidR="00446CF7" w:rsidRDefault="00446CF7" w:rsidP="00C22A45">
      <w:pPr>
        <w:tabs>
          <w:tab w:val="right" w:pos="8364"/>
        </w:tabs>
        <w:jc w:val="both"/>
      </w:pPr>
    </w:p>
    <w:p w:rsidR="002C4355" w:rsidRPr="00653857" w:rsidRDefault="002C4355" w:rsidP="005D0B44">
      <w:pPr>
        <w:pStyle w:val="Sangradetextonormal"/>
        <w:numPr>
          <w:ilvl w:val="0"/>
          <w:numId w:val="2"/>
        </w:numPr>
        <w:ind w:hanging="219"/>
        <w:rPr>
          <w:rFonts w:ascii="NewBaskerville" w:hAnsi="NewBaskerville"/>
          <w:sz w:val="20"/>
        </w:rPr>
      </w:pPr>
      <w:r w:rsidRPr="00653857">
        <w:rPr>
          <w:rFonts w:ascii="NewBaskerville" w:hAnsi="NewBaskerville"/>
          <w:sz w:val="20"/>
        </w:rPr>
        <w:t>Subvenciones IFOP</w:t>
      </w:r>
    </w:p>
    <w:p w:rsidR="00605444" w:rsidRPr="00653857" w:rsidRDefault="00605444">
      <w:pPr>
        <w:tabs>
          <w:tab w:val="right" w:pos="8364"/>
        </w:tabs>
        <w:jc w:val="both"/>
        <w:rPr>
          <w:rFonts w:ascii="NewBaskerville" w:hAnsi="NewBaskerville"/>
        </w:rPr>
      </w:pPr>
    </w:p>
    <w:p w:rsidR="00605444" w:rsidRDefault="002C4355" w:rsidP="002537FF">
      <w:pPr>
        <w:pStyle w:val="Textoindependiente2"/>
        <w:ind w:firstLine="540"/>
        <w:rPr>
          <w:rFonts w:ascii="NewBaskerville" w:hAnsi="NewBaskerville"/>
          <w:sz w:val="20"/>
          <w:szCs w:val="20"/>
        </w:rPr>
      </w:pPr>
      <w:r w:rsidRPr="00653857">
        <w:rPr>
          <w:rFonts w:ascii="NewBaskerville" w:hAnsi="NewBaskerville"/>
          <w:sz w:val="20"/>
          <w:szCs w:val="20"/>
        </w:rPr>
        <w:t>Se recibieron subvenciones con cargo a los fondos IFOP para las obras “Mejora de edificio para utillaje y almacén en el Pto. de Alc</w:t>
      </w:r>
      <w:r w:rsidR="00A861CC">
        <w:rPr>
          <w:rFonts w:ascii="NewBaskerville" w:hAnsi="NewBaskerville"/>
          <w:sz w:val="20"/>
          <w:szCs w:val="20"/>
        </w:rPr>
        <w:t>ú</w:t>
      </w:r>
      <w:r w:rsidRPr="00653857">
        <w:rPr>
          <w:rFonts w:ascii="NewBaskerville" w:hAnsi="NewBaskerville"/>
          <w:sz w:val="20"/>
          <w:szCs w:val="20"/>
        </w:rPr>
        <w:t>dia” y “Reforma del edificio de servicios pesqueros del Pto. Ibiza”. Estas inversiones se incorporaron al inmovilizado en ejercicios anteriores por lo que se han traspasado al resultado</w:t>
      </w:r>
      <w:r w:rsidR="00184A43" w:rsidRPr="00653857">
        <w:rPr>
          <w:rFonts w:ascii="NewBaskerville" w:hAnsi="NewBaskerville"/>
          <w:sz w:val="20"/>
          <w:szCs w:val="20"/>
        </w:rPr>
        <w:t xml:space="preserve"> del</w:t>
      </w:r>
      <w:r w:rsidRPr="00653857">
        <w:rPr>
          <w:rFonts w:ascii="NewBaskerville" w:hAnsi="NewBaskerville"/>
          <w:sz w:val="20"/>
          <w:szCs w:val="20"/>
        </w:rPr>
        <w:t xml:space="preserve"> ejercicio 20</w:t>
      </w:r>
      <w:r w:rsidR="00FA699C" w:rsidRPr="00653857">
        <w:rPr>
          <w:rFonts w:ascii="NewBaskerville" w:hAnsi="NewBaskerville"/>
          <w:sz w:val="20"/>
          <w:szCs w:val="20"/>
        </w:rPr>
        <w:t>2</w:t>
      </w:r>
      <w:r w:rsidR="00242432">
        <w:rPr>
          <w:rFonts w:ascii="NewBaskerville" w:hAnsi="NewBaskerville"/>
          <w:sz w:val="20"/>
          <w:szCs w:val="20"/>
        </w:rPr>
        <w:t>4</w:t>
      </w:r>
      <w:r w:rsidR="00FF4194">
        <w:rPr>
          <w:rFonts w:ascii="NewBaskerville" w:hAnsi="NewBaskerville"/>
          <w:sz w:val="20"/>
          <w:szCs w:val="20"/>
        </w:rPr>
        <w:t xml:space="preserve"> según se detalla en el cuadro</w:t>
      </w:r>
      <w:r w:rsidR="00653857">
        <w:rPr>
          <w:rFonts w:ascii="NewBaskerville" w:hAnsi="NewBaskerville"/>
          <w:sz w:val="20"/>
          <w:szCs w:val="20"/>
        </w:rPr>
        <w:t>.</w:t>
      </w:r>
    </w:p>
    <w:p w:rsidR="00242432" w:rsidRDefault="00242432" w:rsidP="002537FF">
      <w:pPr>
        <w:pStyle w:val="Textoindependiente2"/>
        <w:ind w:firstLine="540"/>
        <w:rPr>
          <w:rFonts w:ascii="NewBaskerville" w:hAnsi="NewBaskerville"/>
          <w:sz w:val="20"/>
          <w:szCs w:val="20"/>
        </w:rPr>
      </w:pPr>
    </w:p>
    <w:tbl>
      <w:tblPr>
        <w:tblW w:w="9120" w:type="dxa"/>
        <w:tblInd w:w="60" w:type="dxa"/>
        <w:tblCellMar>
          <w:left w:w="70" w:type="dxa"/>
          <w:right w:w="70" w:type="dxa"/>
        </w:tblCellMar>
        <w:tblLook w:val="04A0" w:firstRow="1" w:lastRow="0" w:firstColumn="1" w:lastColumn="0" w:noHBand="0" w:noVBand="1"/>
      </w:tblPr>
      <w:tblGrid>
        <w:gridCol w:w="2213"/>
        <w:gridCol w:w="254"/>
        <w:gridCol w:w="313"/>
        <w:gridCol w:w="1360"/>
        <w:gridCol w:w="1220"/>
        <w:gridCol w:w="1200"/>
        <w:gridCol w:w="1360"/>
        <w:gridCol w:w="1200"/>
      </w:tblGrid>
      <w:tr w:rsidR="00242432" w:rsidRPr="00242432" w:rsidTr="00242432">
        <w:trPr>
          <w:trHeight w:val="555"/>
        </w:trPr>
        <w:tc>
          <w:tcPr>
            <w:tcW w:w="2780" w:type="dxa"/>
            <w:gridSpan w:val="3"/>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242432" w:rsidRPr="00242432" w:rsidRDefault="00242432" w:rsidP="00242432">
            <w:pPr>
              <w:jc w:val="center"/>
              <w:rPr>
                <w:rFonts w:ascii="Lucida Bright" w:hAnsi="Lucida Bright" w:cs="Calibri"/>
                <w:b/>
                <w:bCs/>
                <w:color w:val="000000"/>
                <w:sz w:val="18"/>
                <w:szCs w:val="18"/>
                <w:lang w:val="es-ES"/>
              </w:rPr>
            </w:pPr>
            <w:r w:rsidRPr="00242432">
              <w:rPr>
                <w:rFonts w:ascii="Lucida Bright" w:hAnsi="Lucida Bright" w:cs="Calibri"/>
                <w:b/>
                <w:bCs/>
                <w:color w:val="000000"/>
                <w:sz w:val="18"/>
                <w:szCs w:val="18"/>
                <w:lang w:val="es-ES"/>
              </w:rPr>
              <w:t>IFOP</w:t>
            </w:r>
          </w:p>
        </w:tc>
        <w:tc>
          <w:tcPr>
            <w:tcW w:w="136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Saldo a 31/12/2023</w:t>
            </w:r>
          </w:p>
        </w:tc>
        <w:tc>
          <w:tcPr>
            <w:tcW w:w="122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416638" w:rsidP="00242432">
            <w:pPr>
              <w:jc w:val="center"/>
              <w:rPr>
                <w:rFonts w:ascii="Lucida Bright" w:hAnsi="Lucida Bright" w:cs="Calibri"/>
                <w:b/>
                <w:bCs/>
                <w:color w:val="000000"/>
                <w:sz w:val="14"/>
                <w:szCs w:val="14"/>
                <w:lang w:val="es-ES"/>
              </w:rPr>
            </w:pPr>
            <w:r>
              <w:rPr>
                <w:rFonts w:ascii="Lucida Bright" w:hAnsi="Lucida Bright" w:cs="Calibri"/>
                <w:b/>
                <w:bCs/>
                <w:color w:val="000000"/>
                <w:sz w:val="14"/>
                <w:szCs w:val="14"/>
                <w:lang w:val="es-ES"/>
              </w:rPr>
              <w:t>Importe devengado en el ejercicio</w:t>
            </w:r>
          </w:p>
        </w:tc>
        <w:tc>
          <w:tcPr>
            <w:tcW w:w="120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Efecto impositivo devengo</w:t>
            </w:r>
          </w:p>
        </w:tc>
        <w:tc>
          <w:tcPr>
            <w:tcW w:w="136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Importe traspas</w:t>
            </w:r>
            <w:r w:rsidR="00416638">
              <w:rPr>
                <w:rFonts w:ascii="Lucida Bright" w:hAnsi="Lucida Bright" w:cs="Calibri"/>
                <w:b/>
                <w:bCs/>
                <w:color w:val="000000"/>
                <w:sz w:val="14"/>
                <w:szCs w:val="14"/>
                <w:lang w:val="es-ES"/>
              </w:rPr>
              <w:t>a</w:t>
            </w:r>
            <w:r w:rsidRPr="00242432">
              <w:rPr>
                <w:rFonts w:ascii="Lucida Bright" w:hAnsi="Lucida Bright" w:cs="Calibri"/>
                <w:b/>
                <w:bCs/>
                <w:color w:val="000000"/>
                <w:sz w:val="14"/>
                <w:szCs w:val="14"/>
                <w:lang w:val="es-ES"/>
              </w:rPr>
              <w:t>do al resultado</w:t>
            </w:r>
          </w:p>
        </w:tc>
        <w:tc>
          <w:tcPr>
            <w:tcW w:w="120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Saldo a 31/12/2024</w:t>
            </w:r>
          </w:p>
        </w:tc>
      </w:tr>
      <w:tr w:rsidR="00242432" w:rsidRPr="00242432" w:rsidTr="00242432">
        <w:trPr>
          <w:trHeight w:val="510"/>
        </w:trPr>
        <w:tc>
          <w:tcPr>
            <w:tcW w:w="27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Mejora edificio para utillaje y almacén Pto Alcudia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133.162,06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(4.256,40) </w:t>
            </w:r>
          </w:p>
        </w:tc>
        <w:tc>
          <w:tcPr>
            <w:tcW w:w="12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128.905,66 </w:t>
            </w:r>
          </w:p>
        </w:tc>
      </w:tr>
      <w:tr w:rsidR="00242432" w:rsidRPr="00242432" w:rsidTr="00242432">
        <w:trPr>
          <w:trHeight w:val="510"/>
        </w:trPr>
        <w:tc>
          <w:tcPr>
            <w:tcW w:w="27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Reforma del edificio de servicios pesqueros del Pto. De Ibiza</w:t>
            </w:r>
          </w:p>
        </w:tc>
        <w:tc>
          <w:tcPr>
            <w:tcW w:w="1360" w:type="dxa"/>
            <w:tcBorders>
              <w:top w:val="nil"/>
              <w:left w:val="nil"/>
              <w:bottom w:val="single" w:sz="8" w:space="0" w:color="auto"/>
              <w:right w:val="single" w:sz="4"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225.323,44 </w:t>
            </w:r>
          </w:p>
        </w:tc>
        <w:tc>
          <w:tcPr>
            <w:tcW w:w="122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w:t>
            </w:r>
          </w:p>
        </w:tc>
        <w:tc>
          <w:tcPr>
            <w:tcW w:w="1360" w:type="dxa"/>
            <w:tcBorders>
              <w:top w:val="single" w:sz="4" w:space="0" w:color="auto"/>
              <w:left w:val="nil"/>
              <w:bottom w:val="single" w:sz="8" w:space="0" w:color="auto"/>
              <w:right w:val="single" w:sz="4"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(6.515,40) </w:t>
            </w:r>
          </w:p>
        </w:tc>
        <w:tc>
          <w:tcPr>
            <w:tcW w:w="1200" w:type="dxa"/>
            <w:tcBorders>
              <w:top w:val="nil"/>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218.808,04 </w:t>
            </w:r>
          </w:p>
        </w:tc>
      </w:tr>
      <w:tr w:rsidR="00242432" w:rsidRPr="00242432" w:rsidTr="00242432">
        <w:trPr>
          <w:trHeight w:val="315"/>
        </w:trPr>
        <w:tc>
          <w:tcPr>
            <w:tcW w:w="2213" w:type="dxa"/>
            <w:tcBorders>
              <w:top w:val="nil"/>
              <w:left w:val="single" w:sz="8" w:space="0" w:color="auto"/>
              <w:bottom w:val="single" w:sz="8" w:space="0" w:color="auto"/>
              <w:right w:val="nil"/>
            </w:tcBorders>
            <w:shd w:val="clear" w:color="auto" w:fill="auto"/>
            <w:noWrap/>
            <w:vAlign w:val="center"/>
            <w:hideMark/>
          </w:tcPr>
          <w:p w:rsidR="00242432" w:rsidRPr="00242432" w:rsidRDefault="00242432" w:rsidP="00242432">
            <w:pP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Total</w:t>
            </w:r>
          </w:p>
        </w:tc>
        <w:tc>
          <w:tcPr>
            <w:tcW w:w="254" w:type="dxa"/>
            <w:tcBorders>
              <w:top w:val="nil"/>
              <w:left w:val="nil"/>
              <w:bottom w:val="single" w:sz="8" w:space="0" w:color="auto"/>
              <w:right w:val="nil"/>
            </w:tcBorders>
            <w:shd w:val="clear" w:color="auto" w:fill="auto"/>
            <w:noWrap/>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w:t>
            </w:r>
          </w:p>
        </w:tc>
        <w:tc>
          <w:tcPr>
            <w:tcW w:w="313" w:type="dxa"/>
            <w:tcBorders>
              <w:top w:val="nil"/>
              <w:left w:val="nil"/>
              <w:bottom w:val="single" w:sz="8" w:space="0" w:color="auto"/>
              <w:right w:val="single" w:sz="8" w:space="0" w:color="auto"/>
            </w:tcBorders>
            <w:shd w:val="clear" w:color="auto" w:fill="auto"/>
            <w:noWrap/>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w:t>
            </w:r>
          </w:p>
        </w:tc>
        <w:tc>
          <w:tcPr>
            <w:tcW w:w="1360" w:type="dxa"/>
            <w:tcBorders>
              <w:top w:val="nil"/>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xml:space="preserve">358.485,50 </w:t>
            </w:r>
          </w:p>
        </w:tc>
        <w:tc>
          <w:tcPr>
            <w:tcW w:w="1220" w:type="dxa"/>
            <w:tcBorders>
              <w:top w:val="nil"/>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w:t>
            </w:r>
          </w:p>
        </w:tc>
        <w:tc>
          <w:tcPr>
            <w:tcW w:w="1200" w:type="dxa"/>
            <w:tcBorders>
              <w:top w:val="nil"/>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w:t>
            </w:r>
          </w:p>
        </w:tc>
        <w:tc>
          <w:tcPr>
            <w:tcW w:w="1360" w:type="dxa"/>
            <w:tcBorders>
              <w:top w:val="nil"/>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xml:space="preserve">(10.771,80) </w:t>
            </w:r>
          </w:p>
        </w:tc>
        <w:tc>
          <w:tcPr>
            <w:tcW w:w="1200" w:type="dxa"/>
            <w:tcBorders>
              <w:top w:val="nil"/>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xml:space="preserve">347.713,70 </w:t>
            </w:r>
          </w:p>
        </w:tc>
      </w:tr>
    </w:tbl>
    <w:p w:rsidR="00FF4194" w:rsidRDefault="00FF4194" w:rsidP="002537FF">
      <w:pPr>
        <w:pStyle w:val="Textoindependiente2"/>
        <w:ind w:firstLine="540"/>
        <w:rPr>
          <w:rFonts w:ascii="NewBaskerville" w:hAnsi="NewBaskerville"/>
          <w:sz w:val="20"/>
          <w:szCs w:val="20"/>
        </w:rPr>
      </w:pPr>
    </w:p>
    <w:p w:rsidR="00FF4194" w:rsidRDefault="00FF4194" w:rsidP="00FF4194">
      <w:pPr>
        <w:pStyle w:val="Sangradetextonormal"/>
        <w:ind w:left="720" w:firstLine="0"/>
        <w:rPr>
          <w:rFonts w:ascii="NewBaskerville" w:hAnsi="NewBaskerville"/>
          <w:sz w:val="20"/>
        </w:rPr>
      </w:pPr>
    </w:p>
    <w:p w:rsidR="00FF4194" w:rsidRDefault="00FF4194" w:rsidP="00FF4194">
      <w:pPr>
        <w:pStyle w:val="Sangradetextonormal"/>
        <w:numPr>
          <w:ilvl w:val="0"/>
          <w:numId w:val="2"/>
        </w:numPr>
        <w:ind w:hanging="219"/>
        <w:rPr>
          <w:rFonts w:ascii="NewBaskerville" w:hAnsi="NewBaskerville"/>
          <w:sz w:val="20"/>
        </w:rPr>
      </w:pPr>
      <w:r>
        <w:rPr>
          <w:rFonts w:ascii="NewBaskerville" w:hAnsi="NewBaskerville"/>
          <w:sz w:val="20"/>
        </w:rPr>
        <w:t>Fondos del Mecanismo de Recuperación y Resiliencia (MRR)</w:t>
      </w:r>
    </w:p>
    <w:p w:rsidR="00C25E67" w:rsidRDefault="00C25E67" w:rsidP="00C25E67">
      <w:pPr>
        <w:pStyle w:val="Sangradetextonormal"/>
        <w:ind w:left="720" w:firstLine="0"/>
        <w:rPr>
          <w:rFonts w:ascii="NewBaskerville" w:hAnsi="NewBaskerville"/>
          <w:sz w:val="20"/>
        </w:rPr>
      </w:pPr>
    </w:p>
    <w:p w:rsidR="00C25E67" w:rsidRDefault="00C25E67" w:rsidP="00C25E67">
      <w:pPr>
        <w:pStyle w:val="Sangradetextonormal"/>
        <w:rPr>
          <w:rFonts w:ascii="NewBaskerville" w:hAnsi="NewBaskerville"/>
          <w:sz w:val="20"/>
        </w:rPr>
      </w:pPr>
      <w:r>
        <w:rPr>
          <w:rFonts w:ascii="NewBaskerville" w:hAnsi="NewBaskerville"/>
          <w:sz w:val="20"/>
        </w:rPr>
        <w:t xml:space="preserve">La APB participa en actuaciones en sostenibilidad ambiental y energía del componente 6, inversión 3 del Plan. </w:t>
      </w:r>
      <w:r w:rsidR="00431F7C">
        <w:rPr>
          <w:rFonts w:ascii="NewBaskerville" w:hAnsi="NewBaskerville"/>
          <w:sz w:val="20"/>
        </w:rPr>
        <w:t>Durante el ejercicio 202</w:t>
      </w:r>
      <w:r w:rsidR="00242432">
        <w:rPr>
          <w:rFonts w:ascii="NewBaskerville" w:hAnsi="NewBaskerville"/>
          <w:sz w:val="20"/>
        </w:rPr>
        <w:t>4</w:t>
      </w:r>
      <w:r w:rsidR="00431F7C">
        <w:rPr>
          <w:rFonts w:ascii="NewBaskerville" w:hAnsi="NewBaskerville"/>
          <w:sz w:val="20"/>
        </w:rPr>
        <w:t xml:space="preserve"> se han materializado inversiones en curso en consonancia a la contribución del cumplimiento de hitos y objetivos. Y se ha</w:t>
      </w:r>
      <w:bookmarkStart w:id="1" w:name="_GoBack"/>
      <w:bookmarkEnd w:id="1"/>
      <w:r w:rsidR="00431F7C">
        <w:rPr>
          <w:rFonts w:ascii="NewBaskerville" w:hAnsi="NewBaskerville"/>
          <w:sz w:val="20"/>
        </w:rPr>
        <w:t xml:space="preserve"> registrado el devengo de estas ayudas según se detalla en el cuadro.</w:t>
      </w:r>
    </w:p>
    <w:p w:rsidR="00431F7C" w:rsidRDefault="00431F7C" w:rsidP="00C25E67">
      <w:pPr>
        <w:pStyle w:val="Sangradetextonormal"/>
        <w:rPr>
          <w:rFonts w:ascii="NewBaskerville" w:hAnsi="NewBaskerville"/>
          <w:sz w:val="20"/>
        </w:rPr>
      </w:pPr>
    </w:p>
    <w:tbl>
      <w:tblPr>
        <w:tblW w:w="9120" w:type="dxa"/>
        <w:tblInd w:w="60" w:type="dxa"/>
        <w:tblCellMar>
          <w:left w:w="70" w:type="dxa"/>
          <w:right w:w="70" w:type="dxa"/>
        </w:tblCellMar>
        <w:tblLook w:val="04A0" w:firstRow="1" w:lastRow="0" w:firstColumn="1" w:lastColumn="0" w:noHBand="0" w:noVBand="1"/>
      </w:tblPr>
      <w:tblGrid>
        <w:gridCol w:w="2213"/>
        <w:gridCol w:w="254"/>
        <w:gridCol w:w="313"/>
        <w:gridCol w:w="1360"/>
        <w:gridCol w:w="1220"/>
        <w:gridCol w:w="1200"/>
        <w:gridCol w:w="1360"/>
        <w:gridCol w:w="1200"/>
      </w:tblGrid>
      <w:tr w:rsidR="00242432" w:rsidRPr="00242432" w:rsidTr="00242432">
        <w:trPr>
          <w:trHeight w:val="555"/>
        </w:trPr>
        <w:tc>
          <w:tcPr>
            <w:tcW w:w="2780" w:type="dxa"/>
            <w:gridSpan w:val="3"/>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242432" w:rsidRPr="00242432" w:rsidRDefault="00242432" w:rsidP="00242432">
            <w:pPr>
              <w:jc w:val="center"/>
              <w:rPr>
                <w:rFonts w:ascii="Lucida Bright" w:hAnsi="Lucida Bright" w:cs="Calibri"/>
                <w:b/>
                <w:bCs/>
                <w:color w:val="000000"/>
                <w:sz w:val="18"/>
                <w:szCs w:val="18"/>
                <w:lang w:val="es-ES"/>
              </w:rPr>
            </w:pPr>
            <w:r w:rsidRPr="00242432">
              <w:rPr>
                <w:rFonts w:ascii="Lucida Bright" w:hAnsi="Lucida Bright" w:cs="Calibri"/>
                <w:b/>
                <w:bCs/>
                <w:color w:val="000000"/>
                <w:sz w:val="18"/>
                <w:szCs w:val="18"/>
                <w:lang w:val="es-ES"/>
              </w:rPr>
              <w:t>FONDOS MRR</w:t>
            </w:r>
          </w:p>
        </w:tc>
        <w:tc>
          <w:tcPr>
            <w:tcW w:w="136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Saldo a 31/12/2023</w:t>
            </w:r>
          </w:p>
        </w:tc>
        <w:tc>
          <w:tcPr>
            <w:tcW w:w="122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416638" w:rsidP="00242432">
            <w:pPr>
              <w:jc w:val="center"/>
              <w:rPr>
                <w:rFonts w:ascii="Lucida Bright" w:hAnsi="Lucida Bright" w:cs="Calibri"/>
                <w:b/>
                <w:bCs/>
                <w:color w:val="000000"/>
                <w:sz w:val="14"/>
                <w:szCs w:val="14"/>
                <w:lang w:val="es-ES"/>
              </w:rPr>
            </w:pPr>
            <w:r>
              <w:rPr>
                <w:rFonts w:ascii="Lucida Bright" w:hAnsi="Lucida Bright" w:cs="Calibri"/>
                <w:b/>
                <w:bCs/>
                <w:color w:val="000000"/>
                <w:sz w:val="14"/>
                <w:szCs w:val="14"/>
                <w:lang w:val="es-ES"/>
              </w:rPr>
              <w:t>Importe devengado en el ejercicio</w:t>
            </w:r>
          </w:p>
        </w:tc>
        <w:tc>
          <w:tcPr>
            <w:tcW w:w="120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Efecto impositivo devengo</w:t>
            </w:r>
          </w:p>
        </w:tc>
        <w:tc>
          <w:tcPr>
            <w:tcW w:w="136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Importe traspas</w:t>
            </w:r>
            <w:r w:rsidR="00416638">
              <w:rPr>
                <w:rFonts w:ascii="Lucida Bright" w:hAnsi="Lucida Bright" w:cs="Calibri"/>
                <w:b/>
                <w:bCs/>
                <w:color w:val="000000"/>
                <w:sz w:val="14"/>
                <w:szCs w:val="14"/>
                <w:lang w:val="es-ES"/>
              </w:rPr>
              <w:t>a</w:t>
            </w:r>
            <w:r w:rsidRPr="00242432">
              <w:rPr>
                <w:rFonts w:ascii="Lucida Bright" w:hAnsi="Lucida Bright" w:cs="Calibri"/>
                <w:b/>
                <w:bCs/>
                <w:color w:val="000000"/>
                <w:sz w:val="14"/>
                <w:szCs w:val="14"/>
                <w:lang w:val="es-ES"/>
              </w:rPr>
              <w:t>do al resultado</w:t>
            </w:r>
          </w:p>
        </w:tc>
        <w:tc>
          <w:tcPr>
            <w:tcW w:w="120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Saldo a 31/12/2024</w:t>
            </w:r>
          </w:p>
        </w:tc>
      </w:tr>
      <w:tr w:rsidR="00242432" w:rsidRPr="00242432" w:rsidTr="00242432">
        <w:trPr>
          <w:trHeight w:val="315"/>
        </w:trPr>
        <w:tc>
          <w:tcPr>
            <w:tcW w:w="27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Fondos MRR </w:t>
            </w:r>
          </w:p>
        </w:tc>
        <w:tc>
          <w:tcPr>
            <w:tcW w:w="1360" w:type="dxa"/>
            <w:tcBorders>
              <w:top w:val="single" w:sz="4" w:space="0" w:color="auto"/>
              <w:left w:val="nil"/>
              <w:bottom w:val="nil"/>
              <w:right w:val="single" w:sz="4"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694.486,40 </w:t>
            </w:r>
          </w:p>
        </w:tc>
        <w:tc>
          <w:tcPr>
            <w:tcW w:w="1220" w:type="dxa"/>
            <w:tcBorders>
              <w:top w:val="single" w:sz="4" w:space="0" w:color="auto"/>
              <w:left w:val="nil"/>
              <w:bottom w:val="nil"/>
              <w:right w:val="single" w:sz="4"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2.674.934,59 </w:t>
            </w:r>
          </w:p>
        </w:tc>
        <w:tc>
          <w:tcPr>
            <w:tcW w:w="1200" w:type="dxa"/>
            <w:tcBorders>
              <w:top w:val="single" w:sz="4" w:space="0" w:color="auto"/>
              <w:left w:val="nil"/>
              <w:bottom w:val="nil"/>
              <w:right w:val="single" w:sz="4"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(668.733,65) </w:t>
            </w:r>
          </w:p>
        </w:tc>
        <w:tc>
          <w:tcPr>
            <w:tcW w:w="1360" w:type="dxa"/>
            <w:tcBorders>
              <w:top w:val="single" w:sz="4" w:space="0" w:color="auto"/>
              <w:left w:val="nil"/>
              <w:bottom w:val="nil"/>
              <w:right w:val="single" w:sz="4"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(26.947,09) </w:t>
            </w:r>
          </w:p>
        </w:tc>
        <w:tc>
          <w:tcPr>
            <w:tcW w:w="1200" w:type="dxa"/>
            <w:tcBorders>
              <w:top w:val="single" w:sz="4" w:space="0" w:color="auto"/>
              <w:left w:val="single" w:sz="4" w:space="0" w:color="auto"/>
              <w:bottom w:val="nil"/>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2.673.740,25 </w:t>
            </w:r>
          </w:p>
        </w:tc>
      </w:tr>
      <w:tr w:rsidR="00242432" w:rsidRPr="00242432" w:rsidTr="00242432">
        <w:trPr>
          <w:trHeight w:val="315"/>
        </w:trPr>
        <w:tc>
          <w:tcPr>
            <w:tcW w:w="2213" w:type="dxa"/>
            <w:tcBorders>
              <w:top w:val="nil"/>
              <w:left w:val="single" w:sz="8" w:space="0" w:color="auto"/>
              <w:bottom w:val="single" w:sz="8" w:space="0" w:color="auto"/>
              <w:right w:val="nil"/>
            </w:tcBorders>
            <w:shd w:val="clear" w:color="auto" w:fill="auto"/>
            <w:noWrap/>
            <w:vAlign w:val="center"/>
            <w:hideMark/>
          </w:tcPr>
          <w:p w:rsidR="00242432" w:rsidRPr="00242432" w:rsidRDefault="00242432" w:rsidP="00242432">
            <w:pP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Total</w:t>
            </w:r>
          </w:p>
        </w:tc>
        <w:tc>
          <w:tcPr>
            <w:tcW w:w="254" w:type="dxa"/>
            <w:tcBorders>
              <w:top w:val="nil"/>
              <w:left w:val="nil"/>
              <w:bottom w:val="single" w:sz="8" w:space="0" w:color="auto"/>
              <w:right w:val="nil"/>
            </w:tcBorders>
            <w:shd w:val="clear" w:color="auto" w:fill="auto"/>
            <w:noWrap/>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w:t>
            </w:r>
          </w:p>
        </w:tc>
        <w:tc>
          <w:tcPr>
            <w:tcW w:w="313" w:type="dxa"/>
            <w:tcBorders>
              <w:top w:val="nil"/>
              <w:left w:val="nil"/>
              <w:bottom w:val="single" w:sz="8" w:space="0" w:color="auto"/>
              <w:right w:val="single" w:sz="8" w:space="0" w:color="auto"/>
            </w:tcBorders>
            <w:shd w:val="clear" w:color="auto" w:fill="auto"/>
            <w:noWrap/>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w:t>
            </w: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xml:space="preserve">694.486,40 </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xml:space="preserve">2.674.934,59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xml:space="preserve">(668.733,65) </w:t>
            </w: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xml:space="preserve">(26.947,09)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xml:space="preserve">2.673.740,25 </w:t>
            </w:r>
          </w:p>
        </w:tc>
      </w:tr>
    </w:tbl>
    <w:p w:rsidR="00431F7C" w:rsidRPr="00653857" w:rsidRDefault="00431F7C" w:rsidP="00C25E67">
      <w:pPr>
        <w:pStyle w:val="Sangradetextonormal"/>
        <w:rPr>
          <w:rFonts w:ascii="NewBaskerville" w:hAnsi="NewBaskerville"/>
          <w:sz w:val="20"/>
        </w:rPr>
      </w:pPr>
    </w:p>
    <w:p w:rsidR="00653857" w:rsidRDefault="00653857" w:rsidP="00653857">
      <w:pPr>
        <w:pStyle w:val="Textoindependiente2"/>
        <w:rPr>
          <w:rFonts w:ascii="NewBaskerville" w:hAnsi="NewBaskerville"/>
          <w:sz w:val="20"/>
          <w:szCs w:val="20"/>
        </w:rPr>
      </w:pPr>
    </w:p>
    <w:p w:rsidR="00BB7BD3" w:rsidRDefault="00BB7BD3" w:rsidP="00653857">
      <w:pPr>
        <w:pStyle w:val="Textoindependiente2"/>
        <w:rPr>
          <w:rFonts w:ascii="NewBaskerville" w:hAnsi="NewBaskerville"/>
          <w:sz w:val="20"/>
          <w:szCs w:val="20"/>
        </w:rPr>
      </w:pPr>
    </w:p>
    <w:p w:rsidR="00242432" w:rsidRDefault="00242432" w:rsidP="00653857">
      <w:pPr>
        <w:pStyle w:val="Textoindependiente2"/>
        <w:rPr>
          <w:rFonts w:ascii="NewBaskerville" w:hAnsi="NewBaskerville"/>
          <w:sz w:val="20"/>
          <w:szCs w:val="20"/>
        </w:rPr>
      </w:pPr>
    </w:p>
    <w:p w:rsidR="00486982" w:rsidRDefault="00486982" w:rsidP="00653857">
      <w:pPr>
        <w:pStyle w:val="Textoindependiente2"/>
        <w:rPr>
          <w:rFonts w:ascii="NewBaskerville" w:hAnsi="NewBaskerville"/>
          <w:sz w:val="20"/>
          <w:szCs w:val="20"/>
        </w:rPr>
      </w:pPr>
    </w:p>
    <w:p w:rsidR="00F174B7" w:rsidRDefault="00F174B7" w:rsidP="00F174B7">
      <w:pPr>
        <w:pStyle w:val="Sangradetextonormal"/>
        <w:numPr>
          <w:ilvl w:val="0"/>
          <w:numId w:val="2"/>
        </w:numPr>
        <w:ind w:hanging="219"/>
        <w:rPr>
          <w:rFonts w:ascii="NewBaskerville" w:hAnsi="NewBaskerville"/>
          <w:sz w:val="20"/>
        </w:rPr>
      </w:pPr>
      <w:r>
        <w:rPr>
          <w:rFonts w:ascii="NewBaskerville" w:hAnsi="NewBaskerville"/>
          <w:sz w:val="20"/>
        </w:rPr>
        <w:lastRenderedPageBreak/>
        <w:t>Fondos Feder M.C.A. 14/20.</w:t>
      </w:r>
    </w:p>
    <w:p w:rsidR="00F174B7" w:rsidRDefault="00F174B7" w:rsidP="00F174B7">
      <w:pPr>
        <w:pStyle w:val="Sangradetextonormal"/>
        <w:rPr>
          <w:rFonts w:ascii="NewBaskerville" w:hAnsi="NewBaskerville"/>
          <w:sz w:val="20"/>
        </w:rPr>
      </w:pPr>
    </w:p>
    <w:p w:rsidR="00F174B7" w:rsidRDefault="00F174B7" w:rsidP="00F174B7">
      <w:pPr>
        <w:pStyle w:val="Sangradetextonormal"/>
        <w:rPr>
          <w:rFonts w:ascii="NewBaskerville" w:hAnsi="NewBaskerville"/>
          <w:sz w:val="20"/>
        </w:rPr>
      </w:pPr>
      <w:r>
        <w:rPr>
          <w:rFonts w:ascii="NewBaskerville" w:hAnsi="NewBaskerville"/>
          <w:sz w:val="20"/>
        </w:rPr>
        <w:t xml:space="preserve">La APB </w:t>
      </w:r>
      <w:r w:rsidR="007C3C8B">
        <w:rPr>
          <w:rFonts w:ascii="NewBaskerville" w:hAnsi="NewBaskerville"/>
          <w:sz w:val="20"/>
        </w:rPr>
        <w:t>ha recibido durante el ejercicio 202</w:t>
      </w:r>
      <w:r w:rsidR="00242432">
        <w:rPr>
          <w:rFonts w:ascii="NewBaskerville" w:hAnsi="NewBaskerville"/>
          <w:sz w:val="20"/>
        </w:rPr>
        <w:t>4</w:t>
      </w:r>
      <w:r w:rsidR="007C3C8B">
        <w:rPr>
          <w:rFonts w:ascii="NewBaskerville" w:hAnsi="NewBaskerville"/>
          <w:sz w:val="20"/>
        </w:rPr>
        <w:t xml:space="preserve"> </w:t>
      </w:r>
      <w:r w:rsidR="001E0345">
        <w:rPr>
          <w:rFonts w:ascii="NewBaskerville" w:hAnsi="NewBaskerville"/>
          <w:sz w:val="20"/>
        </w:rPr>
        <w:t xml:space="preserve">Fondos Feder para la realización de proyectos de renovación energética de edificios e infraestructuras existentes de la Administración General del Estado, proyectos cofinanciados por la Unión Europea a través del Fondo Feder. Dicha subvención fue convocada y resuelta por el Instituto para la Diversificación y Ahorro de la Energía (IDAE), y resultó favorable el proyecto de Mejora de la Eficiencia Energética de parte del </w:t>
      </w:r>
      <w:r w:rsidR="00DD448C">
        <w:rPr>
          <w:rFonts w:ascii="NewBaskerville" w:hAnsi="NewBaskerville"/>
          <w:sz w:val="20"/>
        </w:rPr>
        <w:t>Alumbrado</w:t>
      </w:r>
      <w:r w:rsidR="001E0345">
        <w:rPr>
          <w:rFonts w:ascii="NewBaskerville" w:hAnsi="NewBaskerville"/>
          <w:sz w:val="20"/>
        </w:rPr>
        <w:t xml:space="preserve"> Exterior del Puerto de Maó perteneciente a la APB. Las cantidades devengadas y traspasadas al</w:t>
      </w:r>
      <w:r w:rsidR="0048433C">
        <w:rPr>
          <w:rFonts w:ascii="NewBaskerville" w:hAnsi="NewBaskerville"/>
          <w:sz w:val="20"/>
        </w:rPr>
        <w:t xml:space="preserve"> resultado son las detalladas en el cuadro.</w:t>
      </w:r>
    </w:p>
    <w:p w:rsidR="0048433C" w:rsidRDefault="0048433C" w:rsidP="00F174B7">
      <w:pPr>
        <w:pStyle w:val="Sangradetextonormal"/>
        <w:rPr>
          <w:rFonts w:ascii="NewBaskerville" w:hAnsi="NewBaskerville"/>
          <w:sz w:val="20"/>
        </w:rPr>
      </w:pPr>
    </w:p>
    <w:tbl>
      <w:tblPr>
        <w:tblW w:w="9120" w:type="dxa"/>
        <w:tblInd w:w="60" w:type="dxa"/>
        <w:tblCellMar>
          <w:left w:w="70" w:type="dxa"/>
          <w:right w:w="70" w:type="dxa"/>
        </w:tblCellMar>
        <w:tblLook w:val="04A0" w:firstRow="1" w:lastRow="0" w:firstColumn="1" w:lastColumn="0" w:noHBand="0" w:noVBand="1"/>
      </w:tblPr>
      <w:tblGrid>
        <w:gridCol w:w="2213"/>
        <w:gridCol w:w="254"/>
        <w:gridCol w:w="313"/>
        <w:gridCol w:w="1360"/>
        <w:gridCol w:w="1220"/>
        <w:gridCol w:w="1200"/>
        <w:gridCol w:w="1360"/>
        <w:gridCol w:w="1200"/>
      </w:tblGrid>
      <w:tr w:rsidR="00242432" w:rsidRPr="00242432" w:rsidTr="00242432">
        <w:trPr>
          <w:trHeight w:val="555"/>
        </w:trPr>
        <w:tc>
          <w:tcPr>
            <w:tcW w:w="2780" w:type="dxa"/>
            <w:gridSpan w:val="3"/>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242432" w:rsidRPr="00242432" w:rsidRDefault="00242432" w:rsidP="00242432">
            <w:pPr>
              <w:jc w:val="center"/>
              <w:rPr>
                <w:rFonts w:ascii="Lucida Bright" w:hAnsi="Lucida Bright" w:cs="Calibri"/>
                <w:b/>
                <w:bCs/>
                <w:color w:val="000000"/>
                <w:sz w:val="18"/>
                <w:szCs w:val="18"/>
                <w:lang w:val="es-ES"/>
              </w:rPr>
            </w:pPr>
            <w:r w:rsidRPr="00242432">
              <w:rPr>
                <w:rFonts w:ascii="Lucida Bright" w:hAnsi="Lucida Bright" w:cs="Calibri"/>
                <w:b/>
                <w:bCs/>
                <w:color w:val="000000"/>
                <w:sz w:val="18"/>
                <w:szCs w:val="18"/>
                <w:lang w:val="es-ES"/>
              </w:rPr>
              <w:t>Feder M.C.A. 14/20</w:t>
            </w:r>
          </w:p>
        </w:tc>
        <w:tc>
          <w:tcPr>
            <w:tcW w:w="136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Saldo a 31/12/2023</w:t>
            </w:r>
          </w:p>
        </w:tc>
        <w:tc>
          <w:tcPr>
            <w:tcW w:w="122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Importe devengado en el ejer</w:t>
            </w:r>
            <w:r w:rsidR="0031200E">
              <w:rPr>
                <w:rFonts w:ascii="Lucida Bright" w:hAnsi="Lucida Bright" w:cs="Calibri"/>
                <w:b/>
                <w:bCs/>
                <w:color w:val="000000"/>
                <w:sz w:val="14"/>
                <w:szCs w:val="14"/>
                <w:lang w:val="es-ES"/>
              </w:rPr>
              <w:t>ci</w:t>
            </w:r>
            <w:r w:rsidRPr="00242432">
              <w:rPr>
                <w:rFonts w:ascii="Lucida Bright" w:hAnsi="Lucida Bright" w:cs="Calibri"/>
                <w:b/>
                <w:bCs/>
                <w:color w:val="000000"/>
                <w:sz w:val="14"/>
                <w:szCs w:val="14"/>
                <w:lang w:val="es-ES"/>
              </w:rPr>
              <w:t>cio</w:t>
            </w:r>
          </w:p>
        </w:tc>
        <w:tc>
          <w:tcPr>
            <w:tcW w:w="120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Efecto impositivo devengo</w:t>
            </w:r>
          </w:p>
        </w:tc>
        <w:tc>
          <w:tcPr>
            <w:tcW w:w="136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Importe traspas</w:t>
            </w:r>
            <w:r w:rsidR="0031200E">
              <w:rPr>
                <w:rFonts w:ascii="Lucida Bright" w:hAnsi="Lucida Bright" w:cs="Calibri"/>
                <w:b/>
                <w:bCs/>
                <w:color w:val="000000"/>
                <w:sz w:val="14"/>
                <w:szCs w:val="14"/>
                <w:lang w:val="es-ES"/>
              </w:rPr>
              <w:t>a</w:t>
            </w:r>
            <w:r w:rsidRPr="00242432">
              <w:rPr>
                <w:rFonts w:ascii="Lucida Bright" w:hAnsi="Lucida Bright" w:cs="Calibri"/>
                <w:b/>
                <w:bCs/>
                <w:color w:val="000000"/>
                <w:sz w:val="14"/>
                <w:szCs w:val="14"/>
                <w:lang w:val="es-ES"/>
              </w:rPr>
              <w:t>do al resultado</w:t>
            </w:r>
          </w:p>
        </w:tc>
        <w:tc>
          <w:tcPr>
            <w:tcW w:w="120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Saldo a 31/12/2024</w:t>
            </w:r>
          </w:p>
        </w:tc>
      </w:tr>
      <w:tr w:rsidR="00242432" w:rsidRPr="00242432" w:rsidTr="00242432">
        <w:trPr>
          <w:trHeight w:val="420"/>
        </w:trPr>
        <w:tc>
          <w:tcPr>
            <w:tcW w:w="27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Proyecto de renovación energética de ed e infrae AGE (IDAE )</w:t>
            </w:r>
          </w:p>
        </w:tc>
        <w:tc>
          <w:tcPr>
            <w:tcW w:w="1360" w:type="dxa"/>
            <w:tcBorders>
              <w:top w:val="single" w:sz="4" w:space="0" w:color="auto"/>
              <w:left w:val="nil"/>
              <w:bottom w:val="nil"/>
              <w:right w:val="single" w:sz="4"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134.511,58 </w:t>
            </w:r>
          </w:p>
        </w:tc>
        <w:tc>
          <w:tcPr>
            <w:tcW w:w="1220" w:type="dxa"/>
            <w:tcBorders>
              <w:top w:val="single" w:sz="4" w:space="0" w:color="auto"/>
              <w:left w:val="nil"/>
              <w:bottom w:val="nil"/>
              <w:right w:val="single" w:sz="4" w:space="0" w:color="auto"/>
            </w:tcBorders>
            <w:shd w:val="clear" w:color="auto" w:fill="auto"/>
            <w:noWrap/>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w:t>
            </w:r>
          </w:p>
        </w:tc>
        <w:tc>
          <w:tcPr>
            <w:tcW w:w="1200" w:type="dxa"/>
            <w:tcBorders>
              <w:top w:val="single" w:sz="4" w:space="0" w:color="auto"/>
              <w:left w:val="nil"/>
              <w:bottom w:val="nil"/>
              <w:right w:val="single" w:sz="4" w:space="0" w:color="auto"/>
            </w:tcBorders>
            <w:shd w:val="clear" w:color="auto" w:fill="auto"/>
            <w:noWrap/>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w:t>
            </w:r>
          </w:p>
        </w:tc>
        <w:tc>
          <w:tcPr>
            <w:tcW w:w="1360" w:type="dxa"/>
            <w:tcBorders>
              <w:top w:val="single" w:sz="4" w:space="0" w:color="auto"/>
              <w:left w:val="nil"/>
              <w:bottom w:val="nil"/>
              <w:right w:val="single" w:sz="4"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(8.064,72) </w:t>
            </w:r>
          </w:p>
        </w:tc>
        <w:tc>
          <w:tcPr>
            <w:tcW w:w="1200" w:type="dxa"/>
            <w:tcBorders>
              <w:top w:val="single" w:sz="4" w:space="0" w:color="auto"/>
              <w:left w:val="single" w:sz="4" w:space="0" w:color="auto"/>
              <w:bottom w:val="nil"/>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126.446,86 </w:t>
            </w:r>
          </w:p>
        </w:tc>
      </w:tr>
      <w:tr w:rsidR="00242432" w:rsidRPr="00242432" w:rsidTr="00242432">
        <w:trPr>
          <w:trHeight w:val="315"/>
        </w:trPr>
        <w:tc>
          <w:tcPr>
            <w:tcW w:w="2213" w:type="dxa"/>
            <w:tcBorders>
              <w:top w:val="nil"/>
              <w:left w:val="single" w:sz="8" w:space="0" w:color="auto"/>
              <w:bottom w:val="single" w:sz="8" w:space="0" w:color="auto"/>
              <w:right w:val="nil"/>
            </w:tcBorders>
            <w:shd w:val="clear" w:color="auto" w:fill="auto"/>
            <w:noWrap/>
            <w:vAlign w:val="center"/>
            <w:hideMark/>
          </w:tcPr>
          <w:p w:rsidR="00242432" w:rsidRPr="00242432" w:rsidRDefault="00242432" w:rsidP="00242432">
            <w:pP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Total</w:t>
            </w:r>
          </w:p>
        </w:tc>
        <w:tc>
          <w:tcPr>
            <w:tcW w:w="254" w:type="dxa"/>
            <w:tcBorders>
              <w:top w:val="nil"/>
              <w:left w:val="nil"/>
              <w:bottom w:val="single" w:sz="8" w:space="0" w:color="auto"/>
              <w:right w:val="nil"/>
            </w:tcBorders>
            <w:shd w:val="clear" w:color="auto" w:fill="auto"/>
            <w:noWrap/>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w:t>
            </w:r>
          </w:p>
        </w:tc>
        <w:tc>
          <w:tcPr>
            <w:tcW w:w="313" w:type="dxa"/>
            <w:tcBorders>
              <w:top w:val="nil"/>
              <w:left w:val="nil"/>
              <w:bottom w:val="single" w:sz="8" w:space="0" w:color="auto"/>
              <w:right w:val="single" w:sz="8" w:space="0" w:color="auto"/>
            </w:tcBorders>
            <w:shd w:val="clear" w:color="auto" w:fill="auto"/>
            <w:noWrap/>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w:t>
            </w: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xml:space="preserve">134.511,58 </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w:t>
            </w: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xml:space="preserve">(8.064,72)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xml:space="preserve">126.446,86 </w:t>
            </w:r>
          </w:p>
        </w:tc>
      </w:tr>
    </w:tbl>
    <w:p w:rsidR="0048433C" w:rsidRDefault="0048433C" w:rsidP="00F174B7">
      <w:pPr>
        <w:pStyle w:val="Sangradetextonormal"/>
        <w:rPr>
          <w:rFonts w:ascii="NewBaskerville" w:hAnsi="NewBaskerville"/>
          <w:sz w:val="20"/>
        </w:rPr>
      </w:pPr>
    </w:p>
    <w:p w:rsidR="00F174B7" w:rsidRDefault="00F174B7" w:rsidP="00F174B7">
      <w:pPr>
        <w:tabs>
          <w:tab w:val="right" w:pos="8364"/>
        </w:tabs>
        <w:ind w:left="360"/>
        <w:jc w:val="both"/>
        <w:rPr>
          <w:rFonts w:ascii="NewBaskerville" w:hAnsi="NewBaskerville"/>
          <w:bCs/>
        </w:rPr>
      </w:pPr>
    </w:p>
    <w:p w:rsidR="0048433C" w:rsidRDefault="0048433C" w:rsidP="0048433C">
      <w:pPr>
        <w:pStyle w:val="Sangradetextonormal"/>
        <w:numPr>
          <w:ilvl w:val="0"/>
          <w:numId w:val="2"/>
        </w:numPr>
        <w:ind w:hanging="219"/>
        <w:rPr>
          <w:rFonts w:ascii="NewBaskerville" w:hAnsi="NewBaskerville"/>
          <w:sz w:val="20"/>
        </w:rPr>
      </w:pPr>
      <w:r>
        <w:rPr>
          <w:rFonts w:ascii="NewBaskerville" w:hAnsi="NewBaskerville"/>
          <w:sz w:val="20"/>
        </w:rPr>
        <w:t>Fondos UE Conecting Europe Facility – (CEF, Ret-T)</w:t>
      </w:r>
    </w:p>
    <w:p w:rsidR="00486982" w:rsidRDefault="00486982" w:rsidP="00486982">
      <w:pPr>
        <w:tabs>
          <w:tab w:val="right" w:pos="8364"/>
        </w:tabs>
        <w:ind w:left="720"/>
        <w:jc w:val="both"/>
        <w:rPr>
          <w:rFonts w:ascii="NewBaskerville" w:hAnsi="NewBaskerville"/>
          <w:bCs/>
        </w:rPr>
      </w:pPr>
    </w:p>
    <w:p w:rsidR="00811FEC" w:rsidRDefault="0048433C" w:rsidP="0048433C">
      <w:pPr>
        <w:tabs>
          <w:tab w:val="right" w:pos="8364"/>
        </w:tabs>
        <w:ind w:firstLine="567"/>
        <w:jc w:val="both"/>
        <w:rPr>
          <w:rFonts w:ascii="NewBaskerville" w:hAnsi="NewBaskerville"/>
          <w:bCs/>
        </w:rPr>
      </w:pPr>
      <w:r>
        <w:rPr>
          <w:rFonts w:ascii="NewBaskerville" w:hAnsi="NewBaskerville"/>
          <w:bCs/>
        </w:rPr>
        <w:t>La Entidad ha participado en el proyecto “OPS Master Plan for Spanish Ports”</w:t>
      </w:r>
      <w:r w:rsidR="00811FEC">
        <w:rPr>
          <w:rFonts w:ascii="NewBaskerville" w:hAnsi="NewBaskerville"/>
          <w:bCs/>
        </w:rPr>
        <w:t xml:space="preserve"> co-financiado por la UE por el programa Conecting Europe Facility (CEF)</w:t>
      </w:r>
      <w:r>
        <w:rPr>
          <w:rFonts w:ascii="NewBaskerville" w:hAnsi="NewBaskerville"/>
          <w:bCs/>
        </w:rPr>
        <w:t xml:space="preserve">, coordinado y gestionado por el Organismo Público Puertos del Estado, con el proyecto de </w:t>
      </w:r>
      <w:r w:rsidR="00811FEC">
        <w:rPr>
          <w:rFonts w:ascii="NewBaskerville" w:hAnsi="NewBaskerville"/>
          <w:bCs/>
        </w:rPr>
        <w:t xml:space="preserve">la Instalación de suministro eléctrico a ferries en el muelle de Paraires del puerto de Palma de Mallorca. En ejercicios anteriores se </w:t>
      </w:r>
      <w:r w:rsidR="00350D1C">
        <w:rPr>
          <w:rFonts w:ascii="NewBaskerville" w:hAnsi="NewBaskerville"/>
          <w:bCs/>
        </w:rPr>
        <w:t>devengaron importes de la ayuda</w:t>
      </w:r>
      <w:r w:rsidR="00811FEC">
        <w:rPr>
          <w:rFonts w:ascii="NewBaskerville" w:hAnsi="NewBaskerville"/>
          <w:bCs/>
        </w:rPr>
        <w:t xml:space="preserve"> y en el actual se ha liquidado el proyecto, siendo las cantidades devengadas y traspasadas en el 202</w:t>
      </w:r>
      <w:r w:rsidR="00242432">
        <w:rPr>
          <w:rFonts w:ascii="NewBaskerville" w:hAnsi="NewBaskerville"/>
          <w:bCs/>
        </w:rPr>
        <w:t>4</w:t>
      </w:r>
      <w:r w:rsidR="00811FEC">
        <w:rPr>
          <w:rFonts w:ascii="NewBaskerville" w:hAnsi="NewBaskerville"/>
          <w:bCs/>
        </w:rPr>
        <w:t xml:space="preserve"> las del cuadro.</w:t>
      </w:r>
    </w:p>
    <w:p w:rsidR="00811FEC" w:rsidRDefault="00811FEC" w:rsidP="0048433C">
      <w:pPr>
        <w:tabs>
          <w:tab w:val="right" w:pos="8364"/>
        </w:tabs>
        <w:ind w:firstLine="567"/>
        <w:jc w:val="both"/>
        <w:rPr>
          <w:rFonts w:ascii="NewBaskerville" w:hAnsi="NewBaskerville"/>
          <w:bCs/>
        </w:rPr>
      </w:pPr>
    </w:p>
    <w:p w:rsidR="00242432" w:rsidRDefault="00811FEC" w:rsidP="0048433C">
      <w:pPr>
        <w:tabs>
          <w:tab w:val="right" w:pos="8364"/>
        </w:tabs>
        <w:ind w:firstLine="567"/>
        <w:jc w:val="both"/>
        <w:rPr>
          <w:rFonts w:ascii="NewBaskerville" w:hAnsi="NewBaskerville"/>
          <w:bCs/>
        </w:rPr>
      </w:pPr>
      <w:r>
        <w:rPr>
          <w:rFonts w:ascii="NewBaskerville" w:hAnsi="NewBaskerville"/>
          <w:bCs/>
        </w:rPr>
        <w:t xml:space="preserve"> </w:t>
      </w:r>
    </w:p>
    <w:tbl>
      <w:tblPr>
        <w:tblW w:w="9120" w:type="dxa"/>
        <w:tblInd w:w="60" w:type="dxa"/>
        <w:tblCellMar>
          <w:left w:w="70" w:type="dxa"/>
          <w:right w:w="70" w:type="dxa"/>
        </w:tblCellMar>
        <w:tblLook w:val="04A0" w:firstRow="1" w:lastRow="0" w:firstColumn="1" w:lastColumn="0" w:noHBand="0" w:noVBand="1"/>
      </w:tblPr>
      <w:tblGrid>
        <w:gridCol w:w="2213"/>
        <w:gridCol w:w="254"/>
        <w:gridCol w:w="313"/>
        <w:gridCol w:w="1360"/>
        <w:gridCol w:w="1220"/>
        <w:gridCol w:w="1200"/>
        <w:gridCol w:w="1360"/>
        <w:gridCol w:w="1200"/>
      </w:tblGrid>
      <w:tr w:rsidR="00242432" w:rsidRPr="00242432" w:rsidTr="00242432">
        <w:trPr>
          <w:trHeight w:val="555"/>
        </w:trPr>
        <w:tc>
          <w:tcPr>
            <w:tcW w:w="2780" w:type="dxa"/>
            <w:gridSpan w:val="3"/>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242432" w:rsidRPr="00242432" w:rsidRDefault="00242432" w:rsidP="00242432">
            <w:pPr>
              <w:jc w:val="center"/>
              <w:rPr>
                <w:rFonts w:ascii="Lucida Bright" w:hAnsi="Lucida Bright" w:cs="Calibri"/>
                <w:b/>
                <w:bCs/>
                <w:color w:val="000000"/>
                <w:sz w:val="18"/>
                <w:szCs w:val="18"/>
                <w:lang w:val="es-ES"/>
              </w:rPr>
            </w:pPr>
            <w:r w:rsidRPr="00242432">
              <w:rPr>
                <w:rFonts w:ascii="Lucida Bright" w:hAnsi="Lucida Bright" w:cs="Calibri"/>
                <w:b/>
                <w:bCs/>
                <w:color w:val="000000"/>
                <w:sz w:val="18"/>
                <w:szCs w:val="18"/>
                <w:lang w:val="es-ES"/>
              </w:rPr>
              <w:t>Fondos C.E.F.</w:t>
            </w:r>
          </w:p>
        </w:tc>
        <w:tc>
          <w:tcPr>
            <w:tcW w:w="136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Saldo a 31/12/2023</w:t>
            </w:r>
          </w:p>
        </w:tc>
        <w:tc>
          <w:tcPr>
            <w:tcW w:w="122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Importe devengado en el ejerci</w:t>
            </w:r>
            <w:r w:rsidR="0031200E">
              <w:rPr>
                <w:rFonts w:ascii="Lucida Bright" w:hAnsi="Lucida Bright" w:cs="Calibri"/>
                <w:b/>
                <w:bCs/>
                <w:color w:val="000000"/>
                <w:sz w:val="14"/>
                <w:szCs w:val="14"/>
                <w:lang w:val="es-ES"/>
              </w:rPr>
              <w:t>ci</w:t>
            </w:r>
            <w:r w:rsidRPr="00242432">
              <w:rPr>
                <w:rFonts w:ascii="Lucida Bright" w:hAnsi="Lucida Bright" w:cs="Calibri"/>
                <w:b/>
                <w:bCs/>
                <w:color w:val="000000"/>
                <w:sz w:val="14"/>
                <w:szCs w:val="14"/>
                <w:lang w:val="es-ES"/>
              </w:rPr>
              <w:t>o</w:t>
            </w:r>
          </w:p>
        </w:tc>
        <w:tc>
          <w:tcPr>
            <w:tcW w:w="120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Efecto impositivo devengo</w:t>
            </w:r>
          </w:p>
        </w:tc>
        <w:tc>
          <w:tcPr>
            <w:tcW w:w="136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Importe traspas</w:t>
            </w:r>
            <w:r w:rsidR="0031200E">
              <w:rPr>
                <w:rFonts w:ascii="Lucida Bright" w:hAnsi="Lucida Bright" w:cs="Calibri"/>
                <w:b/>
                <w:bCs/>
                <w:color w:val="000000"/>
                <w:sz w:val="14"/>
                <w:szCs w:val="14"/>
                <w:lang w:val="es-ES"/>
              </w:rPr>
              <w:t>a</w:t>
            </w:r>
            <w:r w:rsidRPr="00242432">
              <w:rPr>
                <w:rFonts w:ascii="Lucida Bright" w:hAnsi="Lucida Bright" w:cs="Calibri"/>
                <w:b/>
                <w:bCs/>
                <w:color w:val="000000"/>
                <w:sz w:val="14"/>
                <w:szCs w:val="14"/>
                <w:lang w:val="es-ES"/>
              </w:rPr>
              <w:t>do al resultado</w:t>
            </w:r>
          </w:p>
        </w:tc>
        <w:tc>
          <w:tcPr>
            <w:tcW w:w="1200" w:type="dxa"/>
            <w:tcBorders>
              <w:top w:val="single" w:sz="8" w:space="0" w:color="auto"/>
              <w:left w:val="nil"/>
              <w:bottom w:val="single" w:sz="8" w:space="0" w:color="auto"/>
              <w:right w:val="single" w:sz="8" w:space="0" w:color="auto"/>
            </w:tcBorders>
            <w:shd w:val="clear" w:color="000000" w:fill="CCFFCC"/>
            <w:vAlign w:val="center"/>
            <w:hideMark/>
          </w:tcPr>
          <w:p w:rsidR="00242432" w:rsidRPr="00242432" w:rsidRDefault="00242432" w:rsidP="00242432">
            <w:pPr>
              <w:jc w:val="cente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Saldo a 31/12/2024</w:t>
            </w:r>
          </w:p>
        </w:tc>
      </w:tr>
      <w:tr w:rsidR="00242432" w:rsidRPr="00242432" w:rsidTr="00242432">
        <w:trPr>
          <w:trHeight w:val="600"/>
        </w:trPr>
        <w:tc>
          <w:tcPr>
            <w:tcW w:w="27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Instalación de suministro eléctrico a ferries en el muelle de Paraires del puerto de Palma de Mallorca</w:t>
            </w:r>
          </w:p>
        </w:tc>
        <w:tc>
          <w:tcPr>
            <w:tcW w:w="1360" w:type="dxa"/>
            <w:tcBorders>
              <w:top w:val="single" w:sz="4" w:space="0" w:color="auto"/>
              <w:left w:val="nil"/>
              <w:bottom w:val="nil"/>
              <w:right w:val="single" w:sz="4"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114.236,63 </w:t>
            </w:r>
          </w:p>
        </w:tc>
        <w:tc>
          <w:tcPr>
            <w:tcW w:w="1220" w:type="dxa"/>
            <w:tcBorders>
              <w:top w:val="single" w:sz="4" w:space="0" w:color="auto"/>
              <w:left w:val="nil"/>
              <w:bottom w:val="nil"/>
              <w:right w:val="single" w:sz="4" w:space="0" w:color="auto"/>
            </w:tcBorders>
            <w:shd w:val="clear" w:color="auto" w:fill="auto"/>
            <w:noWrap/>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w:t>
            </w:r>
          </w:p>
        </w:tc>
        <w:tc>
          <w:tcPr>
            <w:tcW w:w="1200" w:type="dxa"/>
            <w:tcBorders>
              <w:top w:val="single" w:sz="4" w:space="0" w:color="auto"/>
              <w:left w:val="nil"/>
              <w:bottom w:val="nil"/>
              <w:right w:val="single" w:sz="4" w:space="0" w:color="auto"/>
            </w:tcBorders>
            <w:shd w:val="clear" w:color="auto" w:fill="auto"/>
            <w:noWrap/>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w:t>
            </w:r>
          </w:p>
        </w:tc>
        <w:tc>
          <w:tcPr>
            <w:tcW w:w="1360" w:type="dxa"/>
            <w:tcBorders>
              <w:top w:val="single" w:sz="4" w:space="0" w:color="auto"/>
              <w:left w:val="nil"/>
              <w:bottom w:val="nil"/>
              <w:right w:val="single" w:sz="4"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(6.904,44) </w:t>
            </w:r>
          </w:p>
        </w:tc>
        <w:tc>
          <w:tcPr>
            <w:tcW w:w="1200" w:type="dxa"/>
            <w:tcBorders>
              <w:top w:val="single" w:sz="4" w:space="0" w:color="auto"/>
              <w:left w:val="single" w:sz="4" w:space="0" w:color="auto"/>
              <w:bottom w:val="nil"/>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xml:space="preserve">107.332,19 </w:t>
            </w:r>
          </w:p>
        </w:tc>
      </w:tr>
      <w:tr w:rsidR="00242432" w:rsidRPr="00242432" w:rsidTr="00242432">
        <w:trPr>
          <w:trHeight w:val="315"/>
        </w:trPr>
        <w:tc>
          <w:tcPr>
            <w:tcW w:w="2213" w:type="dxa"/>
            <w:tcBorders>
              <w:top w:val="nil"/>
              <w:left w:val="single" w:sz="8" w:space="0" w:color="auto"/>
              <w:bottom w:val="single" w:sz="8" w:space="0" w:color="auto"/>
              <w:right w:val="nil"/>
            </w:tcBorders>
            <w:shd w:val="clear" w:color="auto" w:fill="auto"/>
            <w:noWrap/>
            <w:vAlign w:val="center"/>
            <w:hideMark/>
          </w:tcPr>
          <w:p w:rsidR="00242432" w:rsidRPr="00242432" w:rsidRDefault="00242432" w:rsidP="00242432">
            <w:pPr>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Total</w:t>
            </w:r>
          </w:p>
        </w:tc>
        <w:tc>
          <w:tcPr>
            <w:tcW w:w="254" w:type="dxa"/>
            <w:tcBorders>
              <w:top w:val="nil"/>
              <w:left w:val="nil"/>
              <w:bottom w:val="single" w:sz="8" w:space="0" w:color="auto"/>
              <w:right w:val="nil"/>
            </w:tcBorders>
            <w:shd w:val="clear" w:color="auto" w:fill="auto"/>
            <w:noWrap/>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w:t>
            </w:r>
          </w:p>
        </w:tc>
        <w:tc>
          <w:tcPr>
            <w:tcW w:w="313" w:type="dxa"/>
            <w:tcBorders>
              <w:top w:val="nil"/>
              <w:left w:val="nil"/>
              <w:bottom w:val="single" w:sz="8" w:space="0" w:color="auto"/>
              <w:right w:val="single" w:sz="8" w:space="0" w:color="auto"/>
            </w:tcBorders>
            <w:shd w:val="clear" w:color="auto" w:fill="auto"/>
            <w:noWrap/>
            <w:vAlign w:val="center"/>
            <w:hideMark/>
          </w:tcPr>
          <w:p w:rsidR="00242432" w:rsidRPr="00242432" w:rsidRDefault="00242432" w:rsidP="00242432">
            <w:pPr>
              <w:rPr>
                <w:rFonts w:ascii="Lucida Bright" w:hAnsi="Lucida Bright" w:cs="Calibri"/>
                <w:color w:val="000000"/>
                <w:sz w:val="14"/>
                <w:szCs w:val="14"/>
                <w:lang w:val="es-ES"/>
              </w:rPr>
            </w:pPr>
            <w:r w:rsidRPr="00242432">
              <w:rPr>
                <w:rFonts w:ascii="Lucida Bright" w:hAnsi="Lucida Bright" w:cs="Calibri"/>
                <w:color w:val="000000"/>
                <w:sz w:val="14"/>
                <w:szCs w:val="14"/>
                <w:lang w:val="es-ES"/>
              </w:rPr>
              <w:t> </w:t>
            </w: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xml:space="preserve">114.236,63 </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w:t>
            </w: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xml:space="preserve">(6.904,44)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242432" w:rsidRPr="00242432" w:rsidRDefault="00242432" w:rsidP="00242432">
            <w:pPr>
              <w:jc w:val="right"/>
              <w:rPr>
                <w:rFonts w:ascii="Lucida Bright" w:hAnsi="Lucida Bright" w:cs="Calibri"/>
                <w:b/>
                <w:bCs/>
                <w:color w:val="000000"/>
                <w:sz w:val="14"/>
                <w:szCs w:val="14"/>
                <w:lang w:val="es-ES"/>
              </w:rPr>
            </w:pPr>
            <w:r w:rsidRPr="00242432">
              <w:rPr>
                <w:rFonts w:ascii="Lucida Bright" w:hAnsi="Lucida Bright" w:cs="Calibri"/>
                <w:b/>
                <w:bCs/>
                <w:color w:val="000000"/>
                <w:sz w:val="14"/>
                <w:szCs w:val="14"/>
                <w:lang w:val="es-ES"/>
              </w:rPr>
              <w:t xml:space="preserve">107.332,19 </w:t>
            </w:r>
          </w:p>
        </w:tc>
      </w:tr>
    </w:tbl>
    <w:p w:rsidR="0048433C" w:rsidRDefault="0048433C" w:rsidP="0048433C">
      <w:pPr>
        <w:tabs>
          <w:tab w:val="right" w:pos="8364"/>
        </w:tabs>
        <w:ind w:firstLine="567"/>
        <w:jc w:val="both"/>
        <w:rPr>
          <w:rFonts w:ascii="NewBaskerville" w:hAnsi="NewBaskerville"/>
          <w:bCs/>
        </w:rPr>
      </w:pPr>
    </w:p>
    <w:p w:rsidR="00486982" w:rsidRPr="00653857" w:rsidRDefault="00486982" w:rsidP="00486982">
      <w:pPr>
        <w:tabs>
          <w:tab w:val="right" w:pos="8364"/>
        </w:tabs>
        <w:ind w:firstLine="567"/>
        <w:jc w:val="both"/>
        <w:rPr>
          <w:rFonts w:ascii="NewBaskerville" w:hAnsi="NewBaskerville"/>
          <w:bCs/>
        </w:rPr>
      </w:pPr>
    </w:p>
    <w:p w:rsidR="00380828" w:rsidRDefault="00380828" w:rsidP="00380828">
      <w:pPr>
        <w:pStyle w:val="Sangradetextonormal"/>
        <w:ind w:left="720" w:firstLine="0"/>
        <w:rPr>
          <w:rFonts w:ascii="NewBaskerville" w:hAnsi="NewBaskerville"/>
          <w:sz w:val="20"/>
        </w:rPr>
      </w:pPr>
    </w:p>
    <w:p w:rsidR="00380828" w:rsidRDefault="00380828" w:rsidP="00380828">
      <w:pPr>
        <w:pStyle w:val="Sangradetextonormal"/>
        <w:numPr>
          <w:ilvl w:val="0"/>
          <w:numId w:val="2"/>
        </w:numPr>
        <w:ind w:hanging="219"/>
        <w:rPr>
          <w:rFonts w:ascii="NewBaskerville" w:hAnsi="NewBaskerville"/>
          <w:sz w:val="20"/>
        </w:rPr>
      </w:pPr>
      <w:r>
        <w:rPr>
          <w:rFonts w:ascii="NewBaskerville" w:hAnsi="NewBaskerville"/>
          <w:sz w:val="20"/>
        </w:rPr>
        <w:t>Subvención del Programa de Apoyo al Transporte Sostenible y Digital, en el marco del Plan de Recuperación, Transformación y Resiliencia – financiado por la UE – NextGeneration.</w:t>
      </w:r>
    </w:p>
    <w:p w:rsidR="00380828" w:rsidRDefault="00380828" w:rsidP="00380828">
      <w:pPr>
        <w:pStyle w:val="Sangradetextonormal"/>
        <w:rPr>
          <w:rFonts w:ascii="NewBaskerville" w:hAnsi="NewBaskerville"/>
          <w:sz w:val="20"/>
        </w:rPr>
      </w:pPr>
    </w:p>
    <w:p w:rsidR="00380828" w:rsidRDefault="00380828" w:rsidP="00380828">
      <w:pPr>
        <w:pStyle w:val="Sangradetextonormal"/>
        <w:rPr>
          <w:rFonts w:ascii="NewBaskerville" w:hAnsi="NewBaskerville"/>
          <w:sz w:val="20"/>
        </w:rPr>
      </w:pPr>
      <w:r>
        <w:rPr>
          <w:rFonts w:ascii="NewBaskerville" w:hAnsi="NewBaskerville"/>
          <w:sz w:val="20"/>
        </w:rPr>
        <w:t xml:space="preserve">Mediante Orden Ministerial el 13/12/2022 se </w:t>
      </w:r>
      <w:r w:rsidR="00655DFE">
        <w:rPr>
          <w:rFonts w:ascii="NewBaskerville" w:hAnsi="NewBaskerville"/>
          <w:sz w:val="20"/>
        </w:rPr>
        <w:t>resolvió el procedimiento de concesión de subvenciones</w:t>
      </w:r>
      <w:r>
        <w:rPr>
          <w:rFonts w:ascii="NewBaskerville" w:hAnsi="NewBaskerville"/>
          <w:sz w:val="20"/>
        </w:rPr>
        <w:t>.</w:t>
      </w:r>
      <w:r w:rsidR="00655DFE">
        <w:rPr>
          <w:rFonts w:ascii="NewBaskerville" w:hAnsi="NewBaskerville"/>
          <w:sz w:val="20"/>
        </w:rPr>
        <w:t xml:space="preserve"> La APB participa en concurrencia con la Autoridad Portuaria de Barcelona, siendo concedida una subvención individual a la APB po</w:t>
      </w:r>
      <w:r w:rsidR="00FF2432">
        <w:rPr>
          <w:rFonts w:ascii="NewBaskerville" w:hAnsi="NewBaskerville"/>
          <w:sz w:val="20"/>
        </w:rPr>
        <w:t>r importe de 4.923.875,47 euros,</w:t>
      </w:r>
      <w:r w:rsidR="00655DFE">
        <w:rPr>
          <w:rFonts w:ascii="NewBaskerville" w:hAnsi="NewBaskerville"/>
          <w:sz w:val="20"/>
        </w:rPr>
        <w:t xml:space="preserve"> </w:t>
      </w:r>
      <w:r w:rsidR="00FF2432">
        <w:rPr>
          <w:rFonts w:ascii="NewBaskerville" w:hAnsi="NewBaskerville"/>
          <w:sz w:val="20"/>
        </w:rPr>
        <w:t>p</w:t>
      </w:r>
      <w:r w:rsidR="00655DFE">
        <w:rPr>
          <w:rFonts w:ascii="NewBaskerville" w:hAnsi="NewBaskerville"/>
          <w:sz w:val="20"/>
        </w:rPr>
        <w:t xml:space="preserve">ara la ejecución del proyecto OPS4B&amp;B – Despliegue de soluciones de suministro </w:t>
      </w:r>
      <w:r w:rsidR="00DD448C">
        <w:rPr>
          <w:rFonts w:ascii="NewBaskerville" w:hAnsi="NewBaskerville"/>
          <w:sz w:val="20"/>
        </w:rPr>
        <w:t>eléctrico</w:t>
      </w:r>
      <w:r w:rsidR="00655DFE">
        <w:rPr>
          <w:rFonts w:ascii="NewBaskerville" w:hAnsi="NewBaskerville"/>
          <w:sz w:val="20"/>
        </w:rPr>
        <w:t xml:space="preserve"> para “Cold Ironing”. Debido a su bajo grado de ejecución </w:t>
      </w:r>
      <w:r w:rsidR="00FF2432">
        <w:rPr>
          <w:rFonts w:ascii="NewBaskerville" w:hAnsi="NewBaskerville"/>
          <w:sz w:val="20"/>
        </w:rPr>
        <w:t>no se ha reconocido el devengo de la subvención.</w:t>
      </w:r>
      <w:r w:rsidR="00242432">
        <w:rPr>
          <w:rFonts w:ascii="NewBaskerville" w:hAnsi="NewBaskerville"/>
          <w:sz w:val="20"/>
        </w:rPr>
        <w:t xml:space="preserve"> En el ejercicio 2024 se ha percibido un importe de 572,12 euros reconociéndose de carácter reintegrable.</w:t>
      </w:r>
    </w:p>
    <w:p w:rsidR="00FF2432" w:rsidRDefault="00FF2432" w:rsidP="00380828">
      <w:pPr>
        <w:pStyle w:val="Sangradetextonormal"/>
        <w:rPr>
          <w:rFonts w:ascii="NewBaskerville" w:hAnsi="NewBaskerville"/>
          <w:sz w:val="20"/>
        </w:rPr>
      </w:pPr>
    </w:p>
    <w:p w:rsidR="00BB7BD3" w:rsidRDefault="00BB7BD3" w:rsidP="00653857">
      <w:pPr>
        <w:pStyle w:val="Textoindependiente2"/>
        <w:rPr>
          <w:rFonts w:ascii="NewBaskerville" w:hAnsi="NewBaskerville"/>
          <w:sz w:val="20"/>
          <w:szCs w:val="20"/>
        </w:rPr>
      </w:pPr>
    </w:p>
    <w:p w:rsidR="00FF2432" w:rsidRDefault="00FF2432" w:rsidP="00FF2432">
      <w:pPr>
        <w:pStyle w:val="Sangradetextonormal"/>
        <w:numPr>
          <w:ilvl w:val="0"/>
          <w:numId w:val="2"/>
        </w:numPr>
        <w:ind w:hanging="219"/>
        <w:rPr>
          <w:rFonts w:ascii="NewBaskerville" w:hAnsi="NewBaskerville"/>
          <w:sz w:val="20"/>
        </w:rPr>
      </w:pPr>
      <w:r>
        <w:rPr>
          <w:rFonts w:ascii="NewBaskerville" w:hAnsi="NewBaskerville"/>
          <w:sz w:val="20"/>
        </w:rPr>
        <w:t>Otras ayudas y subvenciones.</w:t>
      </w:r>
    </w:p>
    <w:p w:rsidR="00486982" w:rsidRDefault="00486982" w:rsidP="00653857">
      <w:pPr>
        <w:pStyle w:val="Textoindependiente2"/>
        <w:rPr>
          <w:rFonts w:ascii="NewBaskerville" w:hAnsi="NewBaskerville"/>
          <w:sz w:val="20"/>
          <w:szCs w:val="20"/>
        </w:rPr>
      </w:pPr>
    </w:p>
    <w:p w:rsidR="00BB7BD3" w:rsidRDefault="00FF2432" w:rsidP="00FF2432">
      <w:pPr>
        <w:pStyle w:val="Textoindependiente2"/>
        <w:ind w:firstLine="567"/>
        <w:rPr>
          <w:rFonts w:ascii="NewBaskerville" w:hAnsi="NewBaskerville"/>
          <w:sz w:val="20"/>
          <w:szCs w:val="20"/>
        </w:rPr>
      </w:pPr>
      <w:r>
        <w:rPr>
          <w:rFonts w:ascii="NewBaskerville" w:hAnsi="NewBaskerville"/>
          <w:sz w:val="20"/>
          <w:szCs w:val="20"/>
        </w:rPr>
        <w:t xml:space="preserve">Existen ayudas y subvenciones percibidas por la APB que se ha estimado que todavía tienen naturaleza de reintegrables, </w:t>
      </w:r>
      <w:r w:rsidR="00DD448C">
        <w:rPr>
          <w:rFonts w:ascii="NewBaskerville" w:hAnsi="NewBaskerville"/>
          <w:sz w:val="20"/>
          <w:szCs w:val="20"/>
        </w:rPr>
        <w:t>cuya</w:t>
      </w:r>
      <w:r w:rsidR="00350D1C">
        <w:rPr>
          <w:rFonts w:ascii="NewBaskerville" w:hAnsi="NewBaskerville"/>
          <w:sz w:val="20"/>
          <w:szCs w:val="20"/>
        </w:rPr>
        <w:t>s</w:t>
      </w:r>
      <w:r>
        <w:rPr>
          <w:rFonts w:ascii="NewBaskerville" w:hAnsi="NewBaskerville"/>
          <w:sz w:val="20"/>
          <w:szCs w:val="20"/>
        </w:rPr>
        <w:t xml:space="preserve"> cantidad</w:t>
      </w:r>
      <w:r w:rsidR="00350D1C">
        <w:rPr>
          <w:rFonts w:ascii="NewBaskerville" w:hAnsi="NewBaskerville"/>
          <w:sz w:val="20"/>
          <w:szCs w:val="20"/>
        </w:rPr>
        <w:t>es</w:t>
      </w:r>
      <w:r>
        <w:rPr>
          <w:rFonts w:ascii="NewBaskerville" w:hAnsi="NewBaskerville"/>
          <w:sz w:val="20"/>
          <w:szCs w:val="20"/>
        </w:rPr>
        <w:t xml:space="preserve"> a cierre del ejercicio </w:t>
      </w:r>
      <w:r w:rsidR="00350D1C">
        <w:rPr>
          <w:rFonts w:ascii="NewBaskerville" w:hAnsi="NewBaskerville"/>
          <w:sz w:val="20"/>
          <w:szCs w:val="20"/>
        </w:rPr>
        <w:t>son</w:t>
      </w:r>
      <w:r>
        <w:rPr>
          <w:rFonts w:ascii="NewBaskerville" w:hAnsi="NewBaskerville"/>
          <w:sz w:val="20"/>
          <w:szCs w:val="20"/>
        </w:rPr>
        <w:t>:</w:t>
      </w:r>
    </w:p>
    <w:p w:rsidR="006814C6" w:rsidRDefault="006814C6" w:rsidP="006814C6">
      <w:pPr>
        <w:pStyle w:val="Textoindependiente2"/>
        <w:ind w:left="1287"/>
        <w:rPr>
          <w:rFonts w:ascii="NewBaskerville" w:hAnsi="NewBaskerville"/>
          <w:sz w:val="20"/>
          <w:szCs w:val="20"/>
        </w:rPr>
      </w:pPr>
    </w:p>
    <w:p w:rsidR="00352633" w:rsidRDefault="00352633" w:rsidP="00FF2432">
      <w:pPr>
        <w:pStyle w:val="Textoindependiente2"/>
        <w:numPr>
          <w:ilvl w:val="0"/>
          <w:numId w:val="6"/>
        </w:numPr>
        <w:rPr>
          <w:rFonts w:ascii="NewBaskerville" w:hAnsi="NewBaskerville"/>
          <w:sz w:val="20"/>
          <w:szCs w:val="20"/>
        </w:rPr>
      </w:pPr>
      <w:r>
        <w:rPr>
          <w:rFonts w:ascii="NewBaskerville" w:hAnsi="NewBaskerville"/>
          <w:sz w:val="20"/>
          <w:szCs w:val="20"/>
        </w:rPr>
        <w:lastRenderedPageBreak/>
        <w:t>Programa Horizonte 2020 de la Unión Europea, Proyecto Green Hysland, de innovación para transformar la isla de Mallorca en un ecosistema de hidrógeno verde. Del que se han percibido a fecha de cierre la cantidad de 4</w:t>
      </w:r>
      <w:r w:rsidR="00FF650B">
        <w:rPr>
          <w:rFonts w:ascii="NewBaskerville" w:hAnsi="NewBaskerville"/>
          <w:sz w:val="20"/>
          <w:szCs w:val="20"/>
        </w:rPr>
        <w:t>31</w:t>
      </w:r>
      <w:r>
        <w:rPr>
          <w:rFonts w:ascii="NewBaskerville" w:hAnsi="NewBaskerville"/>
          <w:sz w:val="20"/>
          <w:szCs w:val="20"/>
        </w:rPr>
        <w:t>.</w:t>
      </w:r>
      <w:r w:rsidR="00FF650B">
        <w:rPr>
          <w:rFonts w:ascii="NewBaskerville" w:hAnsi="NewBaskerville"/>
          <w:sz w:val="20"/>
          <w:szCs w:val="20"/>
        </w:rPr>
        <w:t>747</w:t>
      </w:r>
      <w:r>
        <w:rPr>
          <w:rFonts w:ascii="NewBaskerville" w:hAnsi="NewBaskerville"/>
          <w:sz w:val="20"/>
          <w:szCs w:val="20"/>
        </w:rPr>
        <w:t>,</w:t>
      </w:r>
      <w:r w:rsidR="00FF650B">
        <w:rPr>
          <w:rFonts w:ascii="NewBaskerville" w:hAnsi="NewBaskerville"/>
          <w:sz w:val="20"/>
          <w:szCs w:val="20"/>
        </w:rPr>
        <w:t>30</w:t>
      </w:r>
      <w:r>
        <w:rPr>
          <w:rFonts w:ascii="NewBaskerville" w:hAnsi="NewBaskerville"/>
          <w:sz w:val="20"/>
          <w:szCs w:val="20"/>
        </w:rPr>
        <w:t xml:space="preserve"> euros.</w:t>
      </w:r>
    </w:p>
    <w:p w:rsidR="00FF650B" w:rsidRDefault="00FF650B" w:rsidP="00FF650B">
      <w:pPr>
        <w:pStyle w:val="Textoindependiente2"/>
        <w:ind w:firstLine="567"/>
        <w:rPr>
          <w:rFonts w:ascii="NewBaskerville" w:hAnsi="NewBaskerville"/>
          <w:sz w:val="20"/>
          <w:szCs w:val="20"/>
        </w:rPr>
      </w:pPr>
    </w:p>
    <w:p w:rsidR="00FF650B" w:rsidRDefault="00FF650B" w:rsidP="00FF650B">
      <w:pPr>
        <w:pStyle w:val="Textoindependiente2"/>
        <w:ind w:firstLine="567"/>
        <w:rPr>
          <w:rFonts w:ascii="NewBaskerville" w:hAnsi="NewBaskerville"/>
          <w:sz w:val="20"/>
          <w:szCs w:val="20"/>
        </w:rPr>
      </w:pPr>
      <w:r>
        <w:rPr>
          <w:rFonts w:ascii="NewBaskerville" w:hAnsi="NewBaskerville"/>
          <w:sz w:val="20"/>
          <w:szCs w:val="20"/>
        </w:rPr>
        <w:t>En el ejercicio se han reconocido ayudas y subvenciones que se han imputado en la cuenta de pérdidas y ganancias:</w:t>
      </w:r>
    </w:p>
    <w:p w:rsidR="00FF650B" w:rsidRDefault="00FF650B" w:rsidP="00FF650B">
      <w:pPr>
        <w:pStyle w:val="Textoindependiente2"/>
        <w:rPr>
          <w:rFonts w:ascii="NewBaskerville" w:hAnsi="NewBaskerville"/>
          <w:sz w:val="20"/>
          <w:szCs w:val="20"/>
        </w:rPr>
      </w:pPr>
    </w:p>
    <w:p w:rsidR="00352633" w:rsidRDefault="008967E4" w:rsidP="00FF2432">
      <w:pPr>
        <w:pStyle w:val="Textoindependiente2"/>
        <w:numPr>
          <w:ilvl w:val="0"/>
          <w:numId w:val="6"/>
        </w:numPr>
        <w:rPr>
          <w:rFonts w:ascii="NewBaskerville" w:hAnsi="NewBaskerville"/>
          <w:sz w:val="20"/>
          <w:szCs w:val="20"/>
        </w:rPr>
      </w:pPr>
      <w:r>
        <w:rPr>
          <w:rFonts w:ascii="NewBaskerville" w:hAnsi="NewBaskerville"/>
          <w:sz w:val="20"/>
          <w:szCs w:val="20"/>
        </w:rPr>
        <w:t xml:space="preserve">Programa Horizonte 2020 de la Unión Europea, Proyecto Eiffel, de innovación para la mitigación del cambio climático. Del que se ha </w:t>
      </w:r>
      <w:r w:rsidR="00FF650B">
        <w:rPr>
          <w:rFonts w:ascii="NewBaskerville" w:hAnsi="NewBaskerville"/>
          <w:sz w:val="20"/>
          <w:szCs w:val="20"/>
        </w:rPr>
        <w:t>reconocido</w:t>
      </w:r>
      <w:r>
        <w:rPr>
          <w:rFonts w:ascii="NewBaskerville" w:hAnsi="NewBaskerville"/>
          <w:sz w:val="20"/>
          <w:szCs w:val="20"/>
        </w:rPr>
        <w:t xml:space="preserve"> la cantidad de </w:t>
      </w:r>
      <w:r w:rsidR="00FF650B">
        <w:rPr>
          <w:rFonts w:ascii="NewBaskerville" w:hAnsi="NewBaskerville"/>
          <w:sz w:val="20"/>
          <w:szCs w:val="20"/>
        </w:rPr>
        <w:t>64.662,78</w:t>
      </w:r>
      <w:r>
        <w:rPr>
          <w:rFonts w:ascii="NewBaskerville" w:hAnsi="NewBaskerville"/>
          <w:sz w:val="20"/>
          <w:szCs w:val="20"/>
        </w:rPr>
        <w:t xml:space="preserve"> euros.</w:t>
      </w:r>
    </w:p>
    <w:p w:rsidR="00FF650B" w:rsidRDefault="00FF650B" w:rsidP="00FF2432">
      <w:pPr>
        <w:pStyle w:val="Textoindependiente2"/>
        <w:numPr>
          <w:ilvl w:val="0"/>
          <w:numId w:val="6"/>
        </w:numPr>
        <w:rPr>
          <w:rFonts w:ascii="NewBaskerville" w:hAnsi="NewBaskerville"/>
          <w:sz w:val="20"/>
          <w:szCs w:val="20"/>
        </w:rPr>
      </w:pPr>
      <w:r>
        <w:rPr>
          <w:rFonts w:ascii="NewBaskerville" w:hAnsi="NewBaskerville"/>
          <w:sz w:val="20"/>
          <w:szCs w:val="20"/>
        </w:rPr>
        <w:t>Programa Horizonte 2020 de la Unión Europea, Proyecto</w:t>
      </w:r>
      <w:r w:rsidRPr="0031200E">
        <w:rPr>
          <w:rFonts w:ascii="NewBaskerville" w:hAnsi="NewBaskerville"/>
          <w:sz w:val="20"/>
          <w:szCs w:val="20"/>
        </w:rPr>
        <w:t xml:space="preserve"> Balith</w:t>
      </w:r>
      <w:r>
        <w:rPr>
          <w:rFonts w:ascii="NewBaskerville" w:hAnsi="NewBaskerville"/>
          <w:sz w:val="20"/>
          <w:szCs w:val="20"/>
        </w:rPr>
        <w:t>, de diseño de baterías de flujo orgánico redox. Del que se ha reconocido la cantidad de 5.432,19 euros.</w:t>
      </w:r>
    </w:p>
    <w:p w:rsidR="008967E4" w:rsidRDefault="008967E4" w:rsidP="008967E4">
      <w:pPr>
        <w:pStyle w:val="Textoindependiente2"/>
        <w:ind w:left="1287"/>
        <w:rPr>
          <w:rFonts w:ascii="NewBaskerville" w:hAnsi="NewBaskerville"/>
          <w:sz w:val="20"/>
          <w:szCs w:val="20"/>
        </w:rPr>
      </w:pPr>
    </w:p>
    <w:p w:rsidR="008967E4" w:rsidRDefault="008967E4" w:rsidP="008967E4">
      <w:pPr>
        <w:pStyle w:val="Textoindependiente2"/>
        <w:ind w:left="1287"/>
        <w:rPr>
          <w:rFonts w:ascii="NewBaskerville" w:hAnsi="NewBaskerville"/>
          <w:sz w:val="20"/>
          <w:szCs w:val="20"/>
        </w:rPr>
      </w:pPr>
    </w:p>
    <w:p w:rsidR="008967E4" w:rsidRDefault="008967E4" w:rsidP="008967E4">
      <w:pPr>
        <w:pStyle w:val="Sangradetextonormal"/>
        <w:numPr>
          <w:ilvl w:val="0"/>
          <w:numId w:val="2"/>
        </w:numPr>
        <w:ind w:hanging="219"/>
        <w:rPr>
          <w:rFonts w:ascii="NewBaskerville" w:hAnsi="NewBaskerville"/>
          <w:sz w:val="20"/>
        </w:rPr>
      </w:pPr>
      <w:r>
        <w:rPr>
          <w:rFonts w:ascii="NewBaskerville" w:hAnsi="NewBaskerville"/>
          <w:sz w:val="20"/>
        </w:rPr>
        <w:t>Reversión de concesiones.</w:t>
      </w:r>
    </w:p>
    <w:p w:rsidR="008016E5" w:rsidRPr="00F72B6C" w:rsidRDefault="008016E5" w:rsidP="002420DC">
      <w:pPr>
        <w:pStyle w:val="Textoindependiente2"/>
        <w:ind w:firstLine="567"/>
        <w:rPr>
          <w:sz w:val="20"/>
          <w:szCs w:val="20"/>
        </w:rPr>
      </w:pPr>
    </w:p>
    <w:tbl>
      <w:tblPr>
        <w:tblW w:w="9120" w:type="dxa"/>
        <w:tblInd w:w="60" w:type="dxa"/>
        <w:tblCellMar>
          <w:left w:w="70" w:type="dxa"/>
          <w:right w:w="70" w:type="dxa"/>
        </w:tblCellMar>
        <w:tblLook w:val="04A0" w:firstRow="1" w:lastRow="0" w:firstColumn="1" w:lastColumn="0" w:noHBand="0" w:noVBand="1"/>
      </w:tblPr>
      <w:tblGrid>
        <w:gridCol w:w="2213"/>
        <w:gridCol w:w="254"/>
        <w:gridCol w:w="313"/>
        <w:gridCol w:w="1360"/>
        <w:gridCol w:w="1220"/>
        <w:gridCol w:w="1200"/>
        <w:gridCol w:w="1360"/>
        <w:gridCol w:w="1200"/>
      </w:tblGrid>
      <w:tr w:rsidR="00FF650B" w:rsidRPr="00FF650B" w:rsidTr="00FF650B">
        <w:trPr>
          <w:trHeight w:val="555"/>
        </w:trPr>
        <w:tc>
          <w:tcPr>
            <w:tcW w:w="2780" w:type="dxa"/>
            <w:gridSpan w:val="3"/>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FF650B" w:rsidRPr="00FF650B" w:rsidRDefault="00FF650B" w:rsidP="00FF650B">
            <w:pPr>
              <w:rPr>
                <w:rFonts w:ascii="Lucida Bright" w:hAnsi="Lucida Bright" w:cs="Calibri"/>
                <w:b/>
                <w:bCs/>
                <w:color w:val="000000"/>
                <w:sz w:val="18"/>
                <w:szCs w:val="18"/>
                <w:lang w:val="es-ES"/>
              </w:rPr>
            </w:pPr>
            <w:r w:rsidRPr="00FF650B">
              <w:rPr>
                <w:rFonts w:ascii="Lucida Bright" w:hAnsi="Lucida Bright" w:cs="Calibri"/>
                <w:b/>
                <w:bCs/>
                <w:color w:val="000000"/>
                <w:sz w:val="18"/>
                <w:szCs w:val="18"/>
                <w:lang w:val="es-ES"/>
              </w:rPr>
              <w:t>CONCESIONES REVERTIDAS</w:t>
            </w:r>
          </w:p>
        </w:tc>
        <w:tc>
          <w:tcPr>
            <w:tcW w:w="1360" w:type="dxa"/>
            <w:tcBorders>
              <w:top w:val="single" w:sz="8" w:space="0" w:color="auto"/>
              <w:left w:val="nil"/>
              <w:bottom w:val="single" w:sz="8" w:space="0" w:color="auto"/>
              <w:right w:val="single" w:sz="8" w:space="0" w:color="auto"/>
            </w:tcBorders>
            <w:shd w:val="clear" w:color="000000" w:fill="CCFFCC"/>
            <w:vAlign w:val="center"/>
            <w:hideMark/>
          </w:tcPr>
          <w:p w:rsidR="00FF650B" w:rsidRPr="00FF650B" w:rsidRDefault="00FF650B" w:rsidP="00FF650B">
            <w:pPr>
              <w:jc w:val="center"/>
              <w:rPr>
                <w:rFonts w:ascii="Lucida Bright" w:hAnsi="Lucida Bright" w:cs="Calibri"/>
                <w:b/>
                <w:bCs/>
                <w:color w:val="000000"/>
                <w:sz w:val="14"/>
                <w:szCs w:val="14"/>
                <w:lang w:val="es-ES"/>
              </w:rPr>
            </w:pPr>
            <w:r w:rsidRPr="00FF650B">
              <w:rPr>
                <w:rFonts w:ascii="Lucida Bright" w:hAnsi="Lucida Bright" w:cs="Calibri"/>
                <w:b/>
                <w:bCs/>
                <w:color w:val="000000"/>
                <w:sz w:val="14"/>
                <w:szCs w:val="14"/>
                <w:lang w:val="es-ES"/>
              </w:rPr>
              <w:t>Saldo a 31/12/2023</w:t>
            </w:r>
          </w:p>
        </w:tc>
        <w:tc>
          <w:tcPr>
            <w:tcW w:w="1220" w:type="dxa"/>
            <w:tcBorders>
              <w:top w:val="single" w:sz="8" w:space="0" w:color="auto"/>
              <w:left w:val="nil"/>
              <w:bottom w:val="single" w:sz="8" w:space="0" w:color="auto"/>
              <w:right w:val="single" w:sz="8" w:space="0" w:color="auto"/>
            </w:tcBorders>
            <w:shd w:val="clear" w:color="000000" w:fill="CCFFCC"/>
            <w:vAlign w:val="center"/>
            <w:hideMark/>
          </w:tcPr>
          <w:p w:rsidR="00FF650B" w:rsidRPr="00FF650B" w:rsidRDefault="00FF650B" w:rsidP="00FF650B">
            <w:pPr>
              <w:jc w:val="center"/>
              <w:rPr>
                <w:rFonts w:ascii="Lucida Bright" w:hAnsi="Lucida Bright" w:cs="Calibri"/>
                <w:b/>
                <w:bCs/>
                <w:color w:val="000000"/>
                <w:sz w:val="14"/>
                <w:szCs w:val="14"/>
                <w:lang w:val="es-ES"/>
              </w:rPr>
            </w:pPr>
            <w:r w:rsidRPr="00FF650B">
              <w:rPr>
                <w:rFonts w:ascii="Lucida Bright" w:hAnsi="Lucida Bright" w:cs="Calibri"/>
                <w:b/>
                <w:bCs/>
                <w:color w:val="000000"/>
                <w:sz w:val="14"/>
                <w:szCs w:val="14"/>
                <w:lang w:val="es-ES"/>
              </w:rPr>
              <w:t>Importe devengado en el ejerci</w:t>
            </w:r>
            <w:r w:rsidR="0031200E">
              <w:rPr>
                <w:rFonts w:ascii="Lucida Bright" w:hAnsi="Lucida Bright" w:cs="Calibri"/>
                <w:b/>
                <w:bCs/>
                <w:color w:val="000000"/>
                <w:sz w:val="14"/>
                <w:szCs w:val="14"/>
                <w:lang w:val="es-ES"/>
              </w:rPr>
              <w:t>ci</w:t>
            </w:r>
            <w:r w:rsidRPr="00FF650B">
              <w:rPr>
                <w:rFonts w:ascii="Lucida Bright" w:hAnsi="Lucida Bright" w:cs="Calibri"/>
                <w:b/>
                <w:bCs/>
                <w:color w:val="000000"/>
                <w:sz w:val="14"/>
                <w:szCs w:val="14"/>
                <w:lang w:val="es-ES"/>
              </w:rPr>
              <w:t>o</w:t>
            </w:r>
          </w:p>
        </w:tc>
        <w:tc>
          <w:tcPr>
            <w:tcW w:w="1200" w:type="dxa"/>
            <w:tcBorders>
              <w:top w:val="single" w:sz="8" w:space="0" w:color="auto"/>
              <w:left w:val="nil"/>
              <w:bottom w:val="single" w:sz="8" w:space="0" w:color="auto"/>
              <w:right w:val="single" w:sz="8" w:space="0" w:color="auto"/>
            </w:tcBorders>
            <w:shd w:val="clear" w:color="000000" w:fill="CCFFCC"/>
            <w:vAlign w:val="center"/>
            <w:hideMark/>
          </w:tcPr>
          <w:p w:rsidR="00FF650B" w:rsidRPr="00FF650B" w:rsidRDefault="00FF650B" w:rsidP="00FF650B">
            <w:pPr>
              <w:jc w:val="center"/>
              <w:rPr>
                <w:rFonts w:ascii="Lucida Bright" w:hAnsi="Lucida Bright" w:cs="Calibri"/>
                <w:b/>
                <w:bCs/>
                <w:color w:val="000000"/>
                <w:sz w:val="14"/>
                <w:szCs w:val="14"/>
                <w:lang w:val="es-ES"/>
              </w:rPr>
            </w:pPr>
            <w:r w:rsidRPr="00FF650B">
              <w:rPr>
                <w:rFonts w:ascii="Lucida Bright" w:hAnsi="Lucida Bright" w:cs="Calibri"/>
                <w:b/>
                <w:bCs/>
                <w:color w:val="000000"/>
                <w:sz w:val="14"/>
                <w:szCs w:val="14"/>
                <w:lang w:val="es-ES"/>
              </w:rPr>
              <w:t>Efecto impositivo devengo</w:t>
            </w:r>
          </w:p>
        </w:tc>
        <w:tc>
          <w:tcPr>
            <w:tcW w:w="1360" w:type="dxa"/>
            <w:tcBorders>
              <w:top w:val="single" w:sz="8" w:space="0" w:color="auto"/>
              <w:left w:val="nil"/>
              <w:bottom w:val="single" w:sz="8" w:space="0" w:color="auto"/>
              <w:right w:val="single" w:sz="8" w:space="0" w:color="auto"/>
            </w:tcBorders>
            <w:shd w:val="clear" w:color="000000" w:fill="CCFFCC"/>
            <w:vAlign w:val="center"/>
            <w:hideMark/>
          </w:tcPr>
          <w:p w:rsidR="00FF650B" w:rsidRPr="00FF650B" w:rsidRDefault="00FF650B" w:rsidP="00FF650B">
            <w:pPr>
              <w:jc w:val="center"/>
              <w:rPr>
                <w:rFonts w:ascii="Lucida Bright" w:hAnsi="Lucida Bright" w:cs="Calibri"/>
                <w:b/>
                <w:bCs/>
                <w:color w:val="000000"/>
                <w:sz w:val="14"/>
                <w:szCs w:val="14"/>
                <w:lang w:val="es-ES"/>
              </w:rPr>
            </w:pPr>
            <w:r w:rsidRPr="00FF650B">
              <w:rPr>
                <w:rFonts w:ascii="Lucida Bright" w:hAnsi="Lucida Bright" w:cs="Calibri"/>
                <w:b/>
                <w:bCs/>
                <w:color w:val="000000"/>
                <w:sz w:val="14"/>
                <w:szCs w:val="14"/>
                <w:lang w:val="es-ES"/>
              </w:rPr>
              <w:t>Importe traspas</w:t>
            </w:r>
            <w:r w:rsidR="0031200E">
              <w:rPr>
                <w:rFonts w:ascii="Lucida Bright" w:hAnsi="Lucida Bright" w:cs="Calibri"/>
                <w:b/>
                <w:bCs/>
                <w:color w:val="000000"/>
                <w:sz w:val="14"/>
                <w:szCs w:val="14"/>
                <w:lang w:val="es-ES"/>
              </w:rPr>
              <w:t>a</w:t>
            </w:r>
            <w:r w:rsidRPr="00FF650B">
              <w:rPr>
                <w:rFonts w:ascii="Lucida Bright" w:hAnsi="Lucida Bright" w:cs="Calibri"/>
                <w:b/>
                <w:bCs/>
                <w:color w:val="000000"/>
                <w:sz w:val="14"/>
                <w:szCs w:val="14"/>
                <w:lang w:val="es-ES"/>
              </w:rPr>
              <w:t>do al resultado</w:t>
            </w:r>
          </w:p>
        </w:tc>
        <w:tc>
          <w:tcPr>
            <w:tcW w:w="1200" w:type="dxa"/>
            <w:tcBorders>
              <w:top w:val="single" w:sz="8" w:space="0" w:color="auto"/>
              <w:left w:val="nil"/>
              <w:bottom w:val="single" w:sz="8" w:space="0" w:color="auto"/>
              <w:right w:val="single" w:sz="8" w:space="0" w:color="auto"/>
            </w:tcBorders>
            <w:shd w:val="clear" w:color="000000" w:fill="CCFFCC"/>
            <w:vAlign w:val="center"/>
            <w:hideMark/>
          </w:tcPr>
          <w:p w:rsidR="00FF650B" w:rsidRPr="00FF650B" w:rsidRDefault="00FF650B" w:rsidP="00FF650B">
            <w:pPr>
              <w:jc w:val="center"/>
              <w:rPr>
                <w:rFonts w:ascii="Lucida Bright" w:hAnsi="Lucida Bright" w:cs="Calibri"/>
                <w:b/>
                <w:bCs/>
                <w:color w:val="000000"/>
                <w:sz w:val="14"/>
                <w:szCs w:val="14"/>
                <w:lang w:val="es-ES"/>
              </w:rPr>
            </w:pPr>
            <w:r w:rsidRPr="00FF650B">
              <w:rPr>
                <w:rFonts w:ascii="Lucida Bright" w:hAnsi="Lucida Bright" w:cs="Calibri"/>
                <w:b/>
                <w:bCs/>
                <w:color w:val="000000"/>
                <w:sz w:val="14"/>
                <w:szCs w:val="14"/>
                <w:lang w:val="es-ES"/>
              </w:rPr>
              <w:t>Saldo a 31/12/2024</w:t>
            </w:r>
          </w:p>
        </w:tc>
      </w:tr>
      <w:tr w:rsidR="00FF650B" w:rsidRPr="00FF650B" w:rsidTr="00FF650B">
        <w:trPr>
          <w:trHeight w:val="525"/>
        </w:trPr>
        <w:tc>
          <w:tcPr>
            <w:tcW w:w="27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F650B" w:rsidRPr="00FF650B" w:rsidRDefault="00FF650B" w:rsidP="00FF650B">
            <w:pPr>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Construcciones destinadas a uso deportivo (reversión concesión GESA)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777.209,58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FF650B" w:rsidRPr="00FF650B" w:rsidRDefault="00FF650B" w:rsidP="00FF650B">
            <w:pPr>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FF650B" w:rsidRPr="00FF650B" w:rsidRDefault="00FF650B" w:rsidP="00FF650B">
            <w:pPr>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(589,44) </w:t>
            </w:r>
          </w:p>
        </w:tc>
        <w:tc>
          <w:tcPr>
            <w:tcW w:w="12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776.620,14 </w:t>
            </w:r>
          </w:p>
        </w:tc>
      </w:tr>
      <w:tr w:rsidR="00FF650B" w:rsidRPr="00FF650B" w:rsidTr="00FF650B">
        <w:trPr>
          <w:trHeight w:val="525"/>
        </w:trPr>
        <w:tc>
          <w:tcPr>
            <w:tcW w:w="27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F650B" w:rsidRPr="00FF650B" w:rsidRDefault="00FF650B" w:rsidP="00FF650B">
            <w:pPr>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Reversión obras e instalaciones de La Savina (GSP 110 - EM 584)</w:t>
            </w:r>
          </w:p>
        </w:tc>
        <w:tc>
          <w:tcPr>
            <w:tcW w:w="1360" w:type="dxa"/>
            <w:tcBorders>
              <w:top w:val="nil"/>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1.257.453,52 </w:t>
            </w:r>
          </w:p>
        </w:tc>
        <w:tc>
          <w:tcPr>
            <w:tcW w:w="1220" w:type="dxa"/>
            <w:tcBorders>
              <w:top w:val="nil"/>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1200" w:type="dxa"/>
            <w:tcBorders>
              <w:top w:val="nil"/>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1360" w:type="dxa"/>
            <w:tcBorders>
              <w:top w:val="nil"/>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(84.155,22) </w:t>
            </w:r>
          </w:p>
        </w:tc>
        <w:tc>
          <w:tcPr>
            <w:tcW w:w="1200" w:type="dxa"/>
            <w:tcBorders>
              <w:top w:val="nil"/>
              <w:left w:val="single" w:sz="4" w:space="0" w:color="auto"/>
              <w:bottom w:val="nil"/>
              <w:right w:val="single" w:sz="8"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1.173.298,30 </w:t>
            </w:r>
          </w:p>
        </w:tc>
      </w:tr>
      <w:tr w:rsidR="00FF650B" w:rsidRPr="00FF650B" w:rsidTr="00FF650B">
        <w:trPr>
          <w:trHeight w:val="525"/>
        </w:trPr>
        <w:tc>
          <w:tcPr>
            <w:tcW w:w="27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F650B" w:rsidRPr="00FF650B" w:rsidRDefault="00FF650B" w:rsidP="00FF650B">
            <w:pPr>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Reversión Caseta Obra Puerto de Ibiza 901 CPG</w:t>
            </w:r>
          </w:p>
        </w:tc>
        <w:tc>
          <w:tcPr>
            <w:tcW w:w="136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15.167,55 </w:t>
            </w:r>
          </w:p>
        </w:tc>
        <w:tc>
          <w:tcPr>
            <w:tcW w:w="122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120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136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(329,76) </w:t>
            </w:r>
          </w:p>
        </w:tc>
        <w:tc>
          <w:tcPr>
            <w:tcW w:w="1200" w:type="dxa"/>
            <w:tcBorders>
              <w:top w:val="single" w:sz="4" w:space="0" w:color="000000"/>
              <w:left w:val="nil"/>
              <w:bottom w:val="nil"/>
              <w:right w:val="single" w:sz="8"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14.837,79 </w:t>
            </w:r>
          </w:p>
        </w:tc>
      </w:tr>
      <w:tr w:rsidR="00FF650B" w:rsidRPr="00FF650B" w:rsidTr="00FF650B">
        <w:trPr>
          <w:trHeight w:val="525"/>
        </w:trPr>
        <w:tc>
          <w:tcPr>
            <w:tcW w:w="27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F650B" w:rsidRPr="00FF650B" w:rsidRDefault="00FF650B" w:rsidP="00FF650B">
            <w:pPr>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Reversión Pantalán y Pantalán flotante GSP-131</w:t>
            </w:r>
          </w:p>
        </w:tc>
        <w:tc>
          <w:tcPr>
            <w:tcW w:w="136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122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2.684.326,19 </w:t>
            </w:r>
          </w:p>
        </w:tc>
        <w:tc>
          <w:tcPr>
            <w:tcW w:w="120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136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(147.821,89) </w:t>
            </w:r>
          </w:p>
        </w:tc>
        <w:tc>
          <w:tcPr>
            <w:tcW w:w="1200" w:type="dxa"/>
            <w:tcBorders>
              <w:top w:val="single" w:sz="4" w:space="0" w:color="000000"/>
              <w:left w:val="nil"/>
              <w:bottom w:val="nil"/>
              <w:right w:val="single" w:sz="8"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2.536.504,30 </w:t>
            </w:r>
          </w:p>
        </w:tc>
      </w:tr>
      <w:tr w:rsidR="00FF650B" w:rsidRPr="00FF650B" w:rsidTr="00FF650B">
        <w:trPr>
          <w:trHeight w:val="525"/>
        </w:trPr>
        <w:tc>
          <w:tcPr>
            <w:tcW w:w="27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F650B" w:rsidRPr="00FF650B" w:rsidRDefault="00FF650B" w:rsidP="00FF650B">
            <w:pPr>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Reversión Pantalán GSP-093</w:t>
            </w:r>
          </w:p>
        </w:tc>
        <w:tc>
          <w:tcPr>
            <w:tcW w:w="136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122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6.799.187,15 </w:t>
            </w:r>
          </w:p>
        </w:tc>
        <w:tc>
          <w:tcPr>
            <w:tcW w:w="120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136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(221.111,77) </w:t>
            </w:r>
          </w:p>
        </w:tc>
        <w:tc>
          <w:tcPr>
            <w:tcW w:w="1200" w:type="dxa"/>
            <w:tcBorders>
              <w:top w:val="single" w:sz="4" w:space="0" w:color="000000"/>
              <w:left w:val="nil"/>
              <w:bottom w:val="nil"/>
              <w:right w:val="single" w:sz="8"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6.578.075,38 </w:t>
            </w:r>
          </w:p>
        </w:tc>
      </w:tr>
      <w:tr w:rsidR="00FF650B" w:rsidRPr="00FF650B" w:rsidTr="00FF650B">
        <w:trPr>
          <w:trHeight w:val="525"/>
        </w:trPr>
        <w:tc>
          <w:tcPr>
            <w:tcW w:w="27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F650B" w:rsidRPr="00FF650B" w:rsidRDefault="00FF650B" w:rsidP="00FF650B">
            <w:pPr>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Instalación náutica 827-CP/G</w:t>
            </w:r>
          </w:p>
        </w:tc>
        <w:tc>
          <w:tcPr>
            <w:tcW w:w="136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6.666.868,06 </w:t>
            </w:r>
          </w:p>
        </w:tc>
        <w:tc>
          <w:tcPr>
            <w:tcW w:w="122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120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136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(532.385,81) </w:t>
            </w:r>
          </w:p>
        </w:tc>
        <w:tc>
          <w:tcPr>
            <w:tcW w:w="1200" w:type="dxa"/>
            <w:tcBorders>
              <w:top w:val="single" w:sz="4" w:space="0" w:color="000000"/>
              <w:left w:val="nil"/>
              <w:bottom w:val="nil"/>
              <w:right w:val="single" w:sz="8"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6.134.482,25 </w:t>
            </w:r>
          </w:p>
        </w:tc>
      </w:tr>
      <w:tr w:rsidR="00FF650B" w:rsidRPr="00FF650B" w:rsidTr="00FF650B">
        <w:trPr>
          <w:trHeight w:val="525"/>
        </w:trPr>
        <w:tc>
          <w:tcPr>
            <w:tcW w:w="27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F650B" w:rsidRPr="00FF650B" w:rsidRDefault="00FF650B" w:rsidP="00FF650B">
            <w:pPr>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Instalación 0540-CP/G</w:t>
            </w:r>
          </w:p>
        </w:tc>
        <w:tc>
          <w:tcPr>
            <w:tcW w:w="136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788.872,50 </w:t>
            </w:r>
          </w:p>
        </w:tc>
        <w:tc>
          <w:tcPr>
            <w:tcW w:w="122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120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136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(87.652,50) </w:t>
            </w:r>
          </w:p>
        </w:tc>
        <w:tc>
          <w:tcPr>
            <w:tcW w:w="1200" w:type="dxa"/>
            <w:tcBorders>
              <w:top w:val="single" w:sz="4" w:space="0" w:color="000000"/>
              <w:left w:val="nil"/>
              <w:bottom w:val="nil"/>
              <w:right w:val="single" w:sz="8"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701.220,00 </w:t>
            </w:r>
          </w:p>
        </w:tc>
      </w:tr>
      <w:tr w:rsidR="00FF650B" w:rsidRPr="00FF650B" w:rsidTr="00FF650B">
        <w:trPr>
          <w:trHeight w:val="525"/>
        </w:trPr>
        <w:tc>
          <w:tcPr>
            <w:tcW w:w="27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F650B" w:rsidRPr="00FF650B" w:rsidRDefault="00FF650B" w:rsidP="00FF650B">
            <w:pPr>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Instalación 1017-CP/G</w:t>
            </w:r>
          </w:p>
        </w:tc>
        <w:tc>
          <w:tcPr>
            <w:tcW w:w="136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122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167.040,77 </w:t>
            </w:r>
          </w:p>
        </w:tc>
        <w:tc>
          <w:tcPr>
            <w:tcW w:w="120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1360" w:type="dxa"/>
            <w:tcBorders>
              <w:top w:val="single" w:sz="4" w:space="0" w:color="000000"/>
              <w:left w:val="nil"/>
              <w:bottom w:val="nil"/>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(10.440,06) </w:t>
            </w:r>
          </w:p>
        </w:tc>
        <w:tc>
          <w:tcPr>
            <w:tcW w:w="1200" w:type="dxa"/>
            <w:tcBorders>
              <w:top w:val="single" w:sz="4" w:space="0" w:color="000000"/>
              <w:left w:val="nil"/>
              <w:bottom w:val="nil"/>
              <w:right w:val="single" w:sz="8"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156.600,71 </w:t>
            </w:r>
          </w:p>
        </w:tc>
      </w:tr>
      <w:tr w:rsidR="00FF650B" w:rsidRPr="00FF650B" w:rsidTr="00FF650B">
        <w:trPr>
          <w:trHeight w:val="525"/>
        </w:trPr>
        <w:tc>
          <w:tcPr>
            <w:tcW w:w="27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F650B" w:rsidRPr="00FF650B" w:rsidRDefault="00FF650B" w:rsidP="00FF650B">
            <w:pPr>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Instalación náutica GSP-171 CN Ibiza</w:t>
            </w:r>
          </w:p>
        </w:tc>
        <w:tc>
          <w:tcPr>
            <w:tcW w:w="1360" w:type="dxa"/>
            <w:tcBorders>
              <w:top w:val="single" w:sz="4" w:space="0" w:color="000000"/>
              <w:left w:val="nil"/>
              <w:bottom w:val="single" w:sz="8" w:space="0" w:color="auto"/>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1220" w:type="dxa"/>
            <w:tcBorders>
              <w:top w:val="single" w:sz="4" w:space="0" w:color="000000"/>
              <w:left w:val="nil"/>
              <w:bottom w:val="single" w:sz="8" w:space="0" w:color="auto"/>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2.275.460,95 </w:t>
            </w:r>
          </w:p>
        </w:tc>
        <w:tc>
          <w:tcPr>
            <w:tcW w:w="1200" w:type="dxa"/>
            <w:tcBorders>
              <w:top w:val="single" w:sz="4" w:space="0" w:color="000000"/>
              <w:left w:val="nil"/>
              <w:bottom w:val="single" w:sz="8" w:space="0" w:color="auto"/>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1360" w:type="dxa"/>
            <w:tcBorders>
              <w:top w:val="single" w:sz="4" w:space="0" w:color="000000"/>
              <w:left w:val="nil"/>
              <w:bottom w:val="single" w:sz="8" w:space="0" w:color="auto"/>
              <w:right w:val="single" w:sz="4"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(76.902,93) </w:t>
            </w:r>
          </w:p>
        </w:tc>
        <w:tc>
          <w:tcPr>
            <w:tcW w:w="1200" w:type="dxa"/>
            <w:tcBorders>
              <w:top w:val="single" w:sz="4" w:space="0" w:color="000000"/>
              <w:left w:val="nil"/>
              <w:bottom w:val="single" w:sz="8" w:space="0" w:color="auto"/>
              <w:right w:val="single" w:sz="8" w:space="0" w:color="auto"/>
            </w:tcBorders>
            <w:shd w:val="clear" w:color="auto" w:fill="auto"/>
            <w:noWrap/>
            <w:vAlign w:val="center"/>
            <w:hideMark/>
          </w:tcPr>
          <w:p w:rsidR="00FF650B" w:rsidRPr="00FF650B" w:rsidRDefault="00FF650B" w:rsidP="00FF650B">
            <w:pPr>
              <w:jc w:val="right"/>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xml:space="preserve">2.198.558,02 </w:t>
            </w:r>
          </w:p>
        </w:tc>
      </w:tr>
      <w:tr w:rsidR="00FF650B" w:rsidRPr="00FF650B" w:rsidTr="00FF650B">
        <w:trPr>
          <w:trHeight w:val="315"/>
        </w:trPr>
        <w:tc>
          <w:tcPr>
            <w:tcW w:w="2213" w:type="dxa"/>
            <w:tcBorders>
              <w:top w:val="nil"/>
              <w:left w:val="single" w:sz="8" w:space="0" w:color="auto"/>
              <w:bottom w:val="single" w:sz="8" w:space="0" w:color="auto"/>
              <w:right w:val="nil"/>
            </w:tcBorders>
            <w:shd w:val="clear" w:color="auto" w:fill="auto"/>
            <w:noWrap/>
            <w:vAlign w:val="center"/>
            <w:hideMark/>
          </w:tcPr>
          <w:p w:rsidR="00FF650B" w:rsidRPr="00FF650B" w:rsidRDefault="00FF650B" w:rsidP="00FF650B">
            <w:pPr>
              <w:rPr>
                <w:rFonts w:ascii="Lucida Bright" w:hAnsi="Lucida Bright" w:cs="Calibri"/>
                <w:b/>
                <w:bCs/>
                <w:color w:val="000000"/>
                <w:sz w:val="14"/>
                <w:szCs w:val="14"/>
                <w:lang w:val="es-ES"/>
              </w:rPr>
            </w:pPr>
            <w:r w:rsidRPr="00FF650B">
              <w:rPr>
                <w:rFonts w:ascii="Lucida Bright" w:hAnsi="Lucida Bright" w:cs="Calibri"/>
                <w:b/>
                <w:bCs/>
                <w:color w:val="000000"/>
                <w:sz w:val="14"/>
                <w:szCs w:val="14"/>
                <w:lang w:val="es-ES"/>
              </w:rPr>
              <w:t>Total</w:t>
            </w:r>
          </w:p>
        </w:tc>
        <w:tc>
          <w:tcPr>
            <w:tcW w:w="254" w:type="dxa"/>
            <w:tcBorders>
              <w:top w:val="nil"/>
              <w:left w:val="nil"/>
              <w:bottom w:val="single" w:sz="8" w:space="0" w:color="auto"/>
              <w:right w:val="nil"/>
            </w:tcBorders>
            <w:shd w:val="clear" w:color="auto" w:fill="auto"/>
            <w:noWrap/>
            <w:vAlign w:val="center"/>
            <w:hideMark/>
          </w:tcPr>
          <w:p w:rsidR="00FF650B" w:rsidRPr="00FF650B" w:rsidRDefault="00FF650B" w:rsidP="00FF650B">
            <w:pPr>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313" w:type="dxa"/>
            <w:tcBorders>
              <w:top w:val="nil"/>
              <w:left w:val="nil"/>
              <w:bottom w:val="single" w:sz="8" w:space="0" w:color="auto"/>
              <w:right w:val="single" w:sz="8" w:space="0" w:color="auto"/>
            </w:tcBorders>
            <w:shd w:val="clear" w:color="auto" w:fill="auto"/>
            <w:noWrap/>
            <w:vAlign w:val="center"/>
            <w:hideMark/>
          </w:tcPr>
          <w:p w:rsidR="00FF650B" w:rsidRPr="00FF650B" w:rsidRDefault="00FF650B" w:rsidP="00FF650B">
            <w:pPr>
              <w:rPr>
                <w:rFonts w:ascii="Lucida Bright" w:hAnsi="Lucida Bright" w:cs="Calibri"/>
                <w:color w:val="000000"/>
                <w:sz w:val="14"/>
                <w:szCs w:val="14"/>
                <w:lang w:val="es-ES"/>
              </w:rPr>
            </w:pPr>
            <w:r w:rsidRPr="00FF650B">
              <w:rPr>
                <w:rFonts w:ascii="Lucida Bright" w:hAnsi="Lucida Bright" w:cs="Calibri"/>
                <w:color w:val="000000"/>
                <w:sz w:val="14"/>
                <w:szCs w:val="14"/>
                <w:lang w:val="es-ES"/>
              </w:rPr>
              <w:t> </w:t>
            </w:r>
          </w:p>
        </w:tc>
        <w:tc>
          <w:tcPr>
            <w:tcW w:w="1360" w:type="dxa"/>
            <w:tcBorders>
              <w:top w:val="nil"/>
              <w:left w:val="nil"/>
              <w:bottom w:val="single" w:sz="8" w:space="0" w:color="auto"/>
              <w:right w:val="single" w:sz="8" w:space="0" w:color="auto"/>
            </w:tcBorders>
            <w:shd w:val="clear" w:color="auto" w:fill="auto"/>
            <w:noWrap/>
            <w:vAlign w:val="center"/>
            <w:hideMark/>
          </w:tcPr>
          <w:p w:rsidR="00FF650B" w:rsidRPr="00FF650B" w:rsidRDefault="00FF650B" w:rsidP="00FF650B">
            <w:pPr>
              <w:jc w:val="right"/>
              <w:rPr>
                <w:rFonts w:ascii="Lucida Bright" w:hAnsi="Lucida Bright" w:cs="Calibri"/>
                <w:b/>
                <w:bCs/>
                <w:color w:val="000000"/>
                <w:sz w:val="14"/>
                <w:szCs w:val="14"/>
                <w:lang w:val="es-ES"/>
              </w:rPr>
            </w:pPr>
            <w:r w:rsidRPr="00FF650B">
              <w:rPr>
                <w:rFonts w:ascii="Lucida Bright" w:hAnsi="Lucida Bright" w:cs="Calibri"/>
                <w:b/>
                <w:bCs/>
                <w:color w:val="000000"/>
                <w:sz w:val="14"/>
                <w:szCs w:val="14"/>
                <w:lang w:val="es-ES"/>
              </w:rPr>
              <w:t xml:space="preserve">9.505.571,21 </w:t>
            </w:r>
          </w:p>
        </w:tc>
        <w:tc>
          <w:tcPr>
            <w:tcW w:w="1220" w:type="dxa"/>
            <w:tcBorders>
              <w:top w:val="nil"/>
              <w:left w:val="nil"/>
              <w:bottom w:val="single" w:sz="8" w:space="0" w:color="auto"/>
              <w:right w:val="single" w:sz="8" w:space="0" w:color="auto"/>
            </w:tcBorders>
            <w:shd w:val="clear" w:color="auto" w:fill="auto"/>
            <w:noWrap/>
            <w:vAlign w:val="center"/>
            <w:hideMark/>
          </w:tcPr>
          <w:p w:rsidR="00FF650B" w:rsidRPr="00FF650B" w:rsidRDefault="00FF650B" w:rsidP="00FF650B">
            <w:pPr>
              <w:jc w:val="right"/>
              <w:rPr>
                <w:rFonts w:ascii="Lucida Bright" w:hAnsi="Lucida Bright" w:cs="Calibri"/>
                <w:b/>
                <w:bCs/>
                <w:color w:val="000000"/>
                <w:sz w:val="14"/>
                <w:szCs w:val="14"/>
                <w:lang w:val="es-ES"/>
              </w:rPr>
            </w:pPr>
            <w:r w:rsidRPr="00FF650B">
              <w:rPr>
                <w:rFonts w:ascii="Lucida Bright" w:hAnsi="Lucida Bright" w:cs="Calibri"/>
                <w:b/>
                <w:bCs/>
                <w:color w:val="000000"/>
                <w:sz w:val="14"/>
                <w:szCs w:val="14"/>
                <w:lang w:val="es-ES"/>
              </w:rPr>
              <w:t xml:space="preserve">11.926.015,06 </w:t>
            </w:r>
          </w:p>
        </w:tc>
        <w:tc>
          <w:tcPr>
            <w:tcW w:w="1200" w:type="dxa"/>
            <w:tcBorders>
              <w:top w:val="nil"/>
              <w:left w:val="nil"/>
              <w:bottom w:val="single" w:sz="8" w:space="0" w:color="auto"/>
              <w:right w:val="single" w:sz="8" w:space="0" w:color="auto"/>
            </w:tcBorders>
            <w:shd w:val="clear" w:color="auto" w:fill="auto"/>
            <w:noWrap/>
            <w:vAlign w:val="center"/>
            <w:hideMark/>
          </w:tcPr>
          <w:p w:rsidR="00FF650B" w:rsidRPr="00FF650B" w:rsidRDefault="00FF650B" w:rsidP="00FF650B">
            <w:pPr>
              <w:jc w:val="right"/>
              <w:rPr>
                <w:rFonts w:ascii="Lucida Bright" w:hAnsi="Lucida Bright" w:cs="Calibri"/>
                <w:b/>
                <w:bCs/>
                <w:color w:val="000000"/>
                <w:sz w:val="14"/>
                <w:szCs w:val="14"/>
                <w:lang w:val="es-ES"/>
              </w:rPr>
            </w:pPr>
            <w:r w:rsidRPr="00FF650B">
              <w:rPr>
                <w:rFonts w:ascii="Lucida Bright" w:hAnsi="Lucida Bright" w:cs="Calibri"/>
                <w:b/>
                <w:bCs/>
                <w:color w:val="000000"/>
                <w:sz w:val="14"/>
                <w:szCs w:val="14"/>
                <w:lang w:val="es-ES"/>
              </w:rPr>
              <w:t> </w:t>
            </w:r>
          </w:p>
        </w:tc>
        <w:tc>
          <w:tcPr>
            <w:tcW w:w="1360" w:type="dxa"/>
            <w:tcBorders>
              <w:top w:val="nil"/>
              <w:left w:val="nil"/>
              <w:bottom w:val="single" w:sz="8" w:space="0" w:color="auto"/>
              <w:right w:val="single" w:sz="8" w:space="0" w:color="auto"/>
            </w:tcBorders>
            <w:shd w:val="clear" w:color="auto" w:fill="auto"/>
            <w:noWrap/>
            <w:vAlign w:val="center"/>
            <w:hideMark/>
          </w:tcPr>
          <w:p w:rsidR="00FF650B" w:rsidRPr="00FF650B" w:rsidRDefault="00FF650B" w:rsidP="00FF650B">
            <w:pPr>
              <w:jc w:val="right"/>
              <w:rPr>
                <w:rFonts w:ascii="Lucida Bright" w:hAnsi="Lucida Bright" w:cs="Calibri"/>
                <w:b/>
                <w:bCs/>
                <w:color w:val="000000"/>
                <w:sz w:val="14"/>
                <w:szCs w:val="14"/>
                <w:lang w:val="es-ES"/>
              </w:rPr>
            </w:pPr>
            <w:r w:rsidRPr="00FF650B">
              <w:rPr>
                <w:rFonts w:ascii="Lucida Bright" w:hAnsi="Lucida Bright" w:cs="Calibri"/>
                <w:b/>
                <w:bCs/>
                <w:color w:val="000000"/>
                <w:sz w:val="14"/>
                <w:szCs w:val="14"/>
                <w:lang w:val="es-ES"/>
              </w:rPr>
              <w:t xml:space="preserve">(1.161.389,38) </w:t>
            </w:r>
          </w:p>
        </w:tc>
        <w:tc>
          <w:tcPr>
            <w:tcW w:w="1200" w:type="dxa"/>
            <w:tcBorders>
              <w:top w:val="nil"/>
              <w:left w:val="nil"/>
              <w:bottom w:val="single" w:sz="8" w:space="0" w:color="auto"/>
              <w:right w:val="single" w:sz="8" w:space="0" w:color="auto"/>
            </w:tcBorders>
            <w:shd w:val="clear" w:color="auto" w:fill="auto"/>
            <w:noWrap/>
            <w:vAlign w:val="center"/>
            <w:hideMark/>
          </w:tcPr>
          <w:p w:rsidR="00FF650B" w:rsidRPr="00FF650B" w:rsidRDefault="00FF650B" w:rsidP="00FF650B">
            <w:pPr>
              <w:jc w:val="right"/>
              <w:rPr>
                <w:rFonts w:ascii="Lucida Bright" w:hAnsi="Lucida Bright" w:cs="Calibri"/>
                <w:b/>
                <w:bCs/>
                <w:color w:val="000000"/>
                <w:sz w:val="14"/>
                <w:szCs w:val="14"/>
                <w:lang w:val="es-ES"/>
              </w:rPr>
            </w:pPr>
            <w:r w:rsidRPr="00FF650B">
              <w:rPr>
                <w:rFonts w:ascii="Lucida Bright" w:hAnsi="Lucida Bright" w:cs="Calibri"/>
                <w:b/>
                <w:bCs/>
                <w:color w:val="000000"/>
                <w:sz w:val="14"/>
                <w:szCs w:val="14"/>
                <w:lang w:val="es-ES"/>
              </w:rPr>
              <w:t xml:space="preserve">20.270.196,89 </w:t>
            </w:r>
          </w:p>
        </w:tc>
      </w:tr>
    </w:tbl>
    <w:p w:rsidR="00D62C98" w:rsidRDefault="00D62C98" w:rsidP="00D62C98">
      <w:pPr>
        <w:tabs>
          <w:tab w:val="right" w:pos="8364"/>
        </w:tabs>
        <w:jc w:val="both"/>
        <w:rPr>
          <w:bCs/>
        </w:rPr>
      </w:pPr>
    </w:p>
    <w:p w:rsidR="008016E5" w:rsidRPr="00F72B6C" w:rsidRDefault="008016E5" w:rsidP="00D62C98">
      <w:pPr>
        <w:tabs>
          <w:tab w:val="right" w:pos="8364"/>
        </w:tabs>
        <w:jc w:val="both"/>
        <w:rPr>
          <w:bCs/>
        </w:rPr>
      </w:pPr>
    </w:p>
    <w:p w:rsidR="00CD05E8" w:rsidRDefault="00CD05E8" w:rsidP="00BF22FE">
      <w:pPr>
        <w:tabs>
          <w:tab w:val="right" w:pos="8364"/>
        </w:tabs>
        <w:ind w:firstLine="567"/>
        <w:jc w:val="both"/>
        <w:rPr>
          <w:rFonts w:ascii="NewBaskerville" w:hAnsi="NewBaskerville"/>
          <w:bCs/>
          <w:lang w:val="es-ES"/>
        </w:rPr>
      </w:pPr>
      <w:r>
        <w:rPr>
          <w:rFonts w:ascii="NewBaskerville" w:hAnsi="NewBaskerville"/>
          <w:bCs/>
          <w:lang w:val="es-ES"/>
        </w:rPr>
        <w:t>Tal y como se describe en la Nota 2.g) se han reconocido conce</w:t>
      </w:r>
      <w:r w:rsidR="00914209">
        <w:rPr>
          <w:rFonts w:ascii="NewBaskerville" w:hAnsi="NewBaskerville"/>
          <w:bCs/>
          <w:lang w:val="es-ES"/>
        </w:rPr>
        <w:t>s</w:t>
      </w:r>
      <w:r>
        <w:rPr>
          <w:rFonts w:ascii="NewBaskerville" w:hAnsi="NewBaskerville"/>
          <w:bCs/>
          <w:lang w:val="es-ES"/>
        </w:rPr>
        <w:t>iones que revertieron a la APB en ejercicios anteriores, siendo:</w:t>
      </w:r>
    </w:p>
    <w:p w:rsidR="006466BD" w:rsidRDefault="006466BD" w:rsidP="00BF22FE">
      <w:pPr>
        <w:tabs>
          <w:tab w:val="right" w:pos="8364"/>
        </w:tabs>
        <w:ind w:firstLine="567"/>
        <w:jc w:val="both"/>
        <w:rPr>
          <w:rFonts w:ascii="NewBaskerville" w:hAnsi="NewBaskerville"/>
          <w:bCs/>
          <w:lang w:val="es-ES"/>
        </w:rPr>
      </w:pPr>
    </w:p>
    <w:p w:rsidR="00D62C98" w:rsidRDefault="00CD05E8" w:rsidP="00CD05E8">
      <w:pPr>
        <w:pStyle w:val="Prrafodelista"/>
        <w:numPr>
          <w:ilvl w:val="0"/>
          <w:numId w:val="6"/>
        </w:numPr>
        <w:tabs>
          <w:tab w:val="right" w:pos="8364"/>
        </w:tabs>
        <w:jc w:val="both"/>
        <w:rPr>
          <w:rFonts w:ascii="NewBaskerville" w:hAnsi="NewBaskerville"/>
          <w:bCs/>
          <w:lang w:val="es-ES"/>
        </w:rPr>
      </w:pPr>
      <w:r>
        <w:rPr>
          <w:rFonts w:ascii="NewBaskerville" w:hAnsi="NewBaskerville"/>
          <w:bCs/>
          <w:lang w:val="es-ES"/>
        </w:rPr>
        <w:t xml:space="preserve">Instalación náutica 827-CP/G “Marina de Botafoch” </w:t>
      </w:r>
      <w:r w:rsidR="006466BD">
        <w:rPr>
          <w:rFonts w:ascii="NewBaskerville" w:hAnsi="NewBaskerville"/>
          <w:bCs/>
          <w:lang w:val="es-ES"/>
        </w:rPr>
        <w:t xml:space="preserve">en el Puerto de Eivissa </w:t>
      </w:r>
      <w:r>
        <w:rPr>
          <w:rFonts w:ascii="NewBaskerville" w:hAnsi="NewBaskerville"/>
          <w:bCs/>
          <w:lang w:val="es-ES"/>
        </w:rPr>
        <w:t xml:space="preserve">que revertió el 30/07/2019 </w:t>
      </w:r>
      <w:r w:rsidR="006466BD">
        <w:rPr>
          <w:rFonts w:ascii="NewBaskerville" w:hAnsi="NewBaskerville"/>
          <w:bCs/>
          <w:lang w:val="es-ES"/>
        </w:rPr>
        <w:t>por un valor razonable de 9.018.238,83 euros, y traspasándose a resultados de ejercicios anteriores por un importe de 2.351.370,77 euros.</w:t>
      </w:r>
    </w:p>
    <w:p w:rsidR="006466BD" w:rsidRDefault="006466BD" w:rsidP="00CD05E8">
      <w:pPr>
        <w:pStyle w:val="Prrafodelista"/>
        <w:numPr>
          <w:ilvl w:val="0"/>
          <w:numId w:val="6"/>
        </w:numPr>
        <w:tabs>
          <w:tab w:val="right" w:pos="8364"/>
        </w:tabs>
        <w:jc w:val="both"/>
        <w:rPr>
          <w:rFonts w:ascii="NewBaskerville" w:hAnsi="NewBaskerville"/>
          <w:bCs/>
          <w:lang w:val="es-ES"/>
        </w:rPr>
      </w:pPr>
      <w:r>
        <w:rPr>
          <w:rFonts w:ascii="NewBaskerville" w:hAnsi="NewBaskerville"/>
          <w:bCs/>
          <w:lang w:val="es-ES"/>
        </w:rPr>
        <w:t>Instalación de una factoría para el almacenaje y distribución de productos asfálticos 0540-CP/G en el Puerto de Alcúdia que revertió el 16/12/2022 por un valor razonable de 876.525,00 euros, y traspasándose a resultados de ejercicios anteriores por un importe de 87.652,50 euros.</w:t>
      </w:r>
    </w:p>
    <w:p w:rsidR="006814C6" w:rsidRDefault="006814C6" w:rsidP="00BF22FE">
      <w:pPr>
        <w:tabs>
          <w:tab w:val="right" w:pos="8364"/>
        </w:tabs>
        <w:ind w:firstLine="567"/>
        <w:jc w:val="both"/>
        <w:rPr>
          <w:bCs/>
          <w:sz w:val="24"/>
        </w:rPr>
      </w:pPr>
    </w:p>
    <w:p w:rsidR="006F550B" w:rsidRDefault="006F550B" w:rsidP="00BF22FE">
      <w:pPr>
        <w:tabs>
          <w:tab w:val="right" w:pos="8364"/>
        </w:tabs>
        <w:ind w:firstLine="567"/>
        <w:jc w:val="both"/>
        <w:rPr>
          <w:bCs/>
          <w:sz w:val="24"/>
        </w:rPr>
      </w:pPr>
    </w:p>
    <w:p w:rsidR="00914209" w:rsidRDefault="00914209" w:rsidP="00BF22FE">
      <w:pPr>
        <w:tabs>
          <w:tab w:val="right" w:pos="8364"/>
        </w:tabs>
        <w:ind w:firstLine="567"/>
        <w:jc w:val="both"/>
        <w:rPr>
          <w:bCs/>
          <w:sz w:val="24"/>
        </w:rPr>
        <w:sectPr w:rsidR="00914209" w:rsidSect="00304E6C">
          <w:pgSz w:w="11907" w:h="16840" w:code="9"/>
          <w:pgMar w:top="1701" w:right="1418" w:bottom="1701" w:left="1276" w:header="567" w:footer="720" w:gutter="0"/>
          <w:cols w:space="720"/>
          <w:docGrid w:linePitch="272"/>
        </w:sectPr>
      </w:pPr>
    </w:p>
    <w:p w:rsidR="002C4355" w:rsidRPr="00D159DC" w:rsidRDefault="002C4355" w:rsidP="00846803">
      <w:pPr>
        <w:tabs>
          <w:tab w:val="right" w:pos="8364"/>
        </w:tabs>
        <w:ind w:left="567" w:hanging="567"/>
        <w:jc w:val="both"/>
        <w:rPr>
          <w:rFonts w:ascii="NewBaskerville" w:hAnsi="NewBaskerville"/>
          <w:b/>
          <w:bCs/>
          <w:sz w:val="24"/>
          <w:szCs w:val="24"/>
        </w:rPr>
      </w:pPr>
      <w:r w:rsidRPr="00D159DC">
        <w:rPr>
          <w:rFonts w:ascii="NewBaskerville" w:hAnsi="NewBaskerville"/>
          <w:b/>
          <w:bCs/>
          <w:sz w:val="24"/>
          <w:szCs w:val="24"/>
        </w:rPr>
        <w:lastRenderedPageBreak/>
        <w:t>1</w:t>
      </w:r>
      <w:r w:rsidR="00F706A9" w:rsidRPr="00D159DC">
        <w:rPr>
          <w:rFonts w:ascii="NewBaskerville" w:hAnsi="NewBaskerville"/>
          <w:b/>
          <w:bCs/>
          <w:sz w:val="24"/>
          <w:szCs w:val="24"/>
        </w:rPr>
        <w:t>2</w:t>
      </w:r>
      <w:r w:rsidRPr="00D159DC">
        <w:rPr>
          <w:rFonts w:ascii="NewBaskerville" w:hAnsi="NewBaskerville"/>
          <w:b/>
          <w:bCs/>
          <w:sz w:val="24"/>
          <w:szCs w:val="24"/>
        </w:rPr>
        <w:t>. Situación fiscal</w:t>
      </w:r>
    </w:p>
    <w:p w:rsidR="00846803" w:rsidRPr="00846803" w:rsidRDefault="00846803" w:rsidP="00846803">
      <w:pPr>
        <w:tabs>
          <w:tab w:val="right" w:pos="8364"/>
        </w:tabs>
        <w:ind w:left="567" w:hanging="567"/>
        <w:jc w:val="both"/>
        <w:rPr>
          <w:b/>
          <w:u w:val="single"/>
        </w:rPr>
      </w:pPr>
    </w:p>
    <w:p w:rsidR="002C4355" w:rsidRPr="00D55F96" w:rsidRDefault="00707210">
      <w:pPr>
        <w:tabs>
          <w:tab w:val="right" w:pos="8364"/>
        </w:tabs>
        <w:ind w:firstLine="540"/>
        <w:jc w:val="both"/>
        <w:rPr>
          <w:rFonts w:ascii="NewBaskerville" w:hAnsi="NewBaskerville"/>
          <w:bCs/>
        </w:rPr>
      </w:pPr>
      <w:r w:rsidRPr="00D55F96">
        <w:rPr>
          <w:rFonts w:ascii="NewBaskerville" w:hAnsi="NewBaskerville"/>
          <w:bCs/>
        </w:rPr>
        <w:t>El TRLPEM</w:t>
      </w:r>
      <w:r w:rsidR="00CA62A9" w:rsidRPr="00D55F96">
        <w:rPr>
          <w:rFonts w:ascii="NewBaskerville" w:hAnsi="NewBaskerville"/>
          <w:bCs/>
        </w:rPr>
        <w:t xml:space="preserve">M </w:t>
      </w:r>
      <w:r w:rsidR="002C4355" w:rsidRPr="00D55F96">
        <w:rPr>
          <w:rFonts w:ascii="NewBaskerville" w:hAnsi="NewBaskerville"/>
          <w:bCs/>
        </w:rPr>
        <w:t>establece que el régimen tributario de la</w:t>
      </w:r>
      <w:r w:rsidR="005C790F">
        <w:rPr>
          <w:rFonts w:ascii="NewBaskerville" w:hAnsi="NewBaskerville"/>
          <w:bCs/>
        </w:rPr>
        <w:t xml:space="preserve"> </w:t>
      </w:r>
      <w:r w:rsidR="002C4355" w:rsidRPr="00D55F96">
        <w:rPr>
          <w:rFonts w:ascii="NewBaskerville" w:hAnsi="NewBaskerville"/>
          <w:bCs/>
        </w:rPr>
        <w:t>A</w:t>
      </w:r>
      <w:r w:rsidR="005C790F">
        <w:rPr>
          <w:rFonts w:ascii="NewBaskerville" w:hAnsi="NewBaskerville"/>
          <w:bCs/>
        </w:rPr>
        <w:t>PB</w:t>
      </w:r>
      <w:r w:rsidR="002C4355" w:rsidRPr="00D55F96">
        <w:rPr>
          <w:rFonts w:ascii="NewBaskerville" w:hAnsi="NewBaskerville"/>
          <w:bCs/>
        </w:rPr>
        <w:t xml:space="preserve"> es el mismo que corresponde al Estado, sin perjuicio de la aplicación a </w:t>
      </w:r>
      <w:r w:rsidR="001507F2">
        <w:rPr>
          <w:rFonts w:ascii="NewBaskerville" w:hAnsi="NewBaskerville"/>
          <w:bCs/>
        </w:rPr>
        <w:t>esta</w:t>
      </w:r>
      <w:r w:rsidR="002C4355" w:rsidRPr="00D55F96">
        <w:rPr>
          <w:rFonts w:ascii="NewBaskerville" w:hAnsi="NewBaskerville"/>
          <w:bCs/>
        </w:rPr>
        <w:t xml:space="preserve"> </w:t>
      </w:r>
      <w:r w:rsidR="001507F2">
        <w:rPr>
          <w:rFonts w:ascii="NewBaskerville" w:hAnsi="NewBaskerville"/>
          <w:bCs/>
        </w:rPr>
        <w:t>E</w:t>
      </w:r>
      <w:r w:rsidR="002C4355" w:rsidRPr="00D55F96">
        <w:rPr>
          <w:rFonts w:ascii="NewBaskerville" w:hAnsi="NewBaskerville"/>
          <w:bCs/>
        </w:rPr>
        <w:t xml:space="preserve">ntidad del régimen </w:t>
      </w:r>
      <w:r w:rsidR="00F16EB6" w:rsidRPr="00D55F96">
        <w:rPr>
          <w:rFonts w:ascii="NewBaskerville" w:hAnsi="NewBaskerville"/>
          <w:bCs/>
        </w:rPr>
        <w:t>general</w:t>
      </w:r>
      <w:r w:rsidR="002C4355" w:rsidRPr="00D55F96">
        <w:rPr>
          <w:rFonts w:ascii="NewBaskerville" w:hAnsi="NewBaskerville"/>
          <w:bCs/>
        </w:rPr>
        <w:t xml:space="preserve"> en el Impuesto de Sociedades. </w:t>
      </w:r>
      <w:r w:rsidR="003F2E2E" w:rsidRPr="00D55F96">
        <w:rPr>
          <w:rFonts w:ascii="NewBaskerville" w:hAnsi="NewBaskerville"/>
          <w:bCs/>
        </w:rPr>
        <w:t xml:space="preserve">El Real Decreto-ley 26/2020, de 7 de julio, modifica el régimen fiscal previsto para la </w:t>
      </w:r>
      <w:r w:rsidR="001507F2">
        <w:rPr>
          <w:rFonts w:ascii="NewBaskerville" w:hAnsi="NewBaskerville"/>
          <w:bCs/>
        </w:rPr>
        <w:t>APB</w:t>
      </w:r>
      <w:r w:rsidR="003F2E2E" w:rsidRPr="00D55F96">
        <w:rPr>
          <w:rFonts w:ascii="NewBaskerville" w:hAnsi="NewBaskerville"/>
          <w:bCs/>
        </w:rPr>
        <w:t>, que deja de estar parcialmente exenta del Impue</w:t>
      </w:r>
      <w:r w:rsidR="00D55F96" w:rsidRPr="00D55F96">
        <w:rPr>
          <w:rFonts w:ascii="NewBaskerville" w:hAnsi="NewBaskerville"/>
          <w:bCs/>
        </w:rPr>
        <w:t>sto</w:t>
      </w:r>
      <w:r w:rsidR="003F2E2E" w:rsidRPr="00D55F96">
        <w:rPr>
          <w:rFonts w:ascii="NewBaskerville" w:hAnsi="NewBaskerville"/>
          <w:bCs/>
        </w:rPr>
        <w:t xml:space="preserve"> sobre Sociedades, con el objeto de dar </w:t>
      </w:r>
      <w:r w:rsidR="003F24D6" w:rsidRPr="00D55F96">
        <w:rPr>
          <w:rFonts w:ascii="NewBaskerville" w:hAnsi="NewBaskerville"/>
          <w:bCs/>
        </w:rPr>
        <w:t>cumplimiento</w:t>
      </w:r>
      <w:r w:rsidR="003F2E2E" w:rsidRPr="00D55F96">
        <w:rPr>
          <w:rFonts w:ascii="NewBaskerville" w:hAnsi="NewBaskerville"/>
          <w:bCs/>
        </w:rPr>
        <w:t xml:space="preserve"> a la Decisión de la Comisión C (2018) 8676 final, de 8 de enero de 2019, relativa a la fiscalidad de los puertos en España.</w:t>
      </w:r>
    </w:p>
    <w:p w:rsidR="00536F43" w:rsidRPr="00D55F96" w:rsidRDefault="00536F43">
      <w:pPr>
        <w:tabs>
          <w:tab w:val="right" w:pos="8364"/>
        </w:tabs>
        <w:ind w:firstLine="540"/>
        <w:jc w:val="both"/>
        <w:rPr>
          <w:rFonts w:ascii="NewBaskerville" w:hAnsi="NewBaskerville"/>
          <w:bCs/>
        </w:rPr>
      </w:pPr>
    </w:p>
    <w:p w:rsidR="003F2E2E" w:rsidRPr="00D55F96" w:rsidRDefault="003F2E2E">
      <w:pPr>
        <w:tabs>
          <w:tab w:val="right" w:pos="8364"/>
        </w:tabs>
        <w:ind w:firstLine="540"/>
        <w:jc w:val="both"/>
        <w:rPr>
          <w:rFonts w:ascii="NewBaskerville" w:hAnsi="NewBaskerville"/>
          <w:bCs/>
        </w:rPr>
      </w:pPr>
      <w:r w:rsidRPr="00D55F96">
        <w:rPr>
          <w:rFonts w:ascii="NewBaskerville" w:hAnsi="NewBaskerville"/>
          <w:bCs/>
        </w:rPr>
        <w:t>Las autoridades portuarias tienen autonomía en su gestión económico-financiera sobre la base del principio de autosuficiencia económica, lo que supone que no reciben financiación a cargo de los Presupuestos General del Estado. Por otra parte, las autoridades portuarias realizan inversiones y gastos que no están directamente destinados al servicio de las actividades portuarias pero que, sin embargo, benefician a la colectividad de la ciudadanía sin percibir contraprestación a cambio. Justificándose la introducción en el impuesto de una deducción vinculada a estos gastos e inversiones.</w:t>
      </w:r>
    </w:p>
    <w:p w:rsidR="00536F43" w:rsidRPr="00D55F96" w:rsidRDefault="00536F43">
      <w:pPr>
        <w:tabs>
          <w:tab w:val="right" w:pos="8364"/>
        </w:tabs>
        <w:ind w:firstLine="540"/>
        <w:jc w:val="both"/>
        <w:rPr>
          <w:rFonts w:ascii="NewBaskerville" w:hAnsi="NewBaskerville"/>
          <w:bCs/>
        </w:rPr>
      </w:pPr>
    </w:p>
    <w:p w:rsidR="003F2E2E" w:rsidRPr="00D55F96" w:rsidRDefault="00BF68C9">
      <w:pPr>
        <w:tabs>
          <w:tab w:val="right" w:pos="8364"/>
        </w:tabs>
        <w:ind w:firstLine="540"/>
        <w:jc w:val="both"/>
        <w:rPr>
          <w:rFonts w:ascii="NewBaskerville" w:hAnsi="NewBaskerville"/>
          <w:bCs/>
        </w:rPr>
      </w:pPr>
      <w:r w:rsidRPr="00D55F96">
        <w:rPr>
          <w:rFonts w:ascii="NewBaskerville" w:hAnsi="NewBaskerville"/>
          <w:bCs/>
        </w:rPr>
        <w:t xml:space="preserve">Además, en la deducción se incluyen también los gastos e inversiones que son compatibles con el mercado interior a tenor de lo dispuesto en el capítulo I y en el artículo 56 ter del Reglamento (UE) Nº 651/2014, de la Comisión, de 17 de junio de 2014, por el que se declaran determinadas categorías de ayudas compatibles con el mercado interior en aplicación de los artículos 107 y 108 del Tratado, y, en su caso, las que puedan declararse con el mercado interior por </w:t>
      </w:r>
      <w:r w:rsidR="003F24D6" w:rsidRPr="00D55F96">
        <w:rPr>
          <w:rFonts w:ascii="NewBaskerville" w:hAnsi="NewBaskerville"/>
          <w:bCs/>
        </w:rPr>
        <w:t>Decisión</w:t>
      </w:r>
      <w:r w:rsidRPr="00D55F96">
        <w:rPr>
          <w:rFonts w:ascii="NewBaskerville" w:hAnsi="NewBaskerville"/>
          <w:bCs/>
        </w:rPr>
        <w:t xml:space="preserve"> de la Comisión Europea en cada supuesto particular de conformidad con lo previsto en el apartado 3 del artículo 108 de Tratado de Funcionamiento de la Unión Europea.</w:t>
      </w:r>
    </w:p>
    <w:p w:rsidR="00B62B5F" w:rsidRPr="00D55F96" w:rsidRDefault="00B62B5F">
      <w:pPr>
        <w:tabs>
          <w:tab w:val="right" w:pos="8364"/>
        </w:tabs>
        <w:ind w:firstLine="540"/>
        <w:jc w:val="both"/>
        <w:rPr>
          <w:rFonts w:ascii="NewBaskerville" w:hAnsi="NewBaskerville"/>
          <w:bCs/>
        </w:rPr>
      </w:pPr>
    </w:p>
    <w:p w:rsidR="00B62B5F" w:rsidRPr="00D55F96" w:rsidRDefault="00B62B5F">
      <w:pPr>
        <w:tabs>
          <w:tab w:val="right" w:pos="8364"/>
        </w:tabs>
        <w:ind w:firstLine="540"/>
        <w:jc w:val="both"/>
        <w:rPr>
          <w:rFonts w:ascii="NewBaskerville" w:hAnsi="NewBaskerville"/>
          <w:bCs/>
        </w:rPr>
      </w:pPr>
      <w:r w:rsidRPr="00D55F96">
        <w:rPr>
          <w:rFonts w:ascii="NewBaskerville" w:hAnsi="NewBaskerville"/>
          <w:bCs/>
        </w:rPr>
        <w:t>A continuación se presenta información de la Autoridad Portuaria en relación a las Administraciones Públicas y situación fiscal.</w:t>
      </w:r>
    </w:p>
    <w:p w:rsidR="00B62B5F" w:rsidRDefault="00B62B5F">
      <w:pPr>
        <w:tabs>
          <w:tab w:val="right" w:pos="8364"/>
        </w:tabs>
        <w:ind w:firstLine="540"/>
        <w:jc w:val="both"/>
        <w:rPr>
          <w:bCs/>
        </w:rPr>
      </w:pPr>
    </w:p>
    <w:p w:rsidR="008016E5" w:rsidRPr="00C7435A" w:rsidRDefault="008016E5">
      <w:pPr>
        <w:tabs>
          <w:tab w:val="right" w:pos="8364"/>
        </w:tabs>
        <w:ind w:firstLine="540"/>
        <w:jc w:val="both"/>
        <w:rPr>
          <w:rFonts w:ascii="NewBaskerville" w:hAnsi="NewBaskerville"/>
          <w:bCs/>
        </w:rPr>
      </w:pPr>
    </w:p>
    <w:p w:rsidR="00B62B5F" w:rsidRPr="00C7435A" w:rsidRDefault="00B62B5F">
      <w:pPr>
        <w:tabs>
          <w:tab w:val="right" w:pos="8364"/>
        </w:tabs>
        <w:ind w:firstLine="540"/>
        <w:jc w:val="both"/>
        <w:rPr>
          <w:rFonts w:ascii="NewBaskerville" w:hAnsi="NewBaskerville"/>
          <w:bCs/>
        </w:rPr>
      </w:pPr>
      <w:r w:rsidRPr="00C7435A">
        <w:rPr>
          <w:rFonts w:ascii="NewBaskerville" w:hAnsi="NewBaskerville"/>
          <w:bCs/>
          <w:u w:val="single"/>
        </w:rPr>
        <w:t>Saldos corrientes con las Administraciones Públicas.</w:t>
      </w:r>
    </w:p>
    <w:p w:rsidR="0010198F" w:rsidRPr="00C7435A" w:rsidRDefault="0010198F">
      <w:pPr>
        <w:tabs>
          <w:tab w:val="right" w:pos="8364"/>
        </w:tabs>
        <w:ind w:firstLine="540"/>
        <w:jc w:val="both"/>
        <w:rPr>
          <w:rFonts w:ascii="NewBaskerville" w:hAnsi="NewBaskerville"/>
          <w:bCs/>
        </w:rPr>
      </w:pPr>
    </w:p>
    <w:p w:rsidR="0010198F" w:rsidRPr="00C7435A" w:rsidRDefault="0010198F">
      <w:pPr>
        <w:tabs>
          <w:tab w:val="right" w:pos="8364"/>
        </w:tabs>
        <w:ind w:firstLine="540"/>
        <w:jc w:val="both"/>
        <w:rPr>
          <w:rFonts w:ascii="NewBaskerville" w:hAnsi="NewBaskerville"/>
          <w:bCs/>
        </w:rPr>
      </w:pPr>
      <w:r w:rsidRPr="00C7435A">
        <w:rPr>
          <w:rFonts w:ascii="NewBaskerville" w:hAnsi="NewBaskerville"/>
          <w:bCs/>
        </w:rPr>
        <w:t>La composición de los saldos corrientes con las Administraciones Públicas e</w:t>
      </w:r>
      <w:r w:rsidR="00AE1189">
        <w:rPr>
          <w:rFonts w:ascii="NewBaskerville" w:hAnsi="NewBaskerville"/>
          <w:bCs/>
        </w:rPr>
        <w:t>s</w:t>
      </w:r>
      <w:r w:rsidRPr="00C7435A">
        <w:rPr>
          <w:rFonts w:ascii="NewBaskerville" w:hAnsi="NewBaskerville"/>
          <w:bCs/>
        </w:rPr>
        <w:t xml:space="preserve"> la siguiente:</w:t>
      </w:r>
    </w:p>
    <w:p w:rsidR="00C7435A" w:rsidRPr="0010198F" w:rsidRDefault="00C7435A">
      <w:pPr>
        <w:tabs>
          <w:tab w:val="right" w:pos="8364"/>
        </w:tabs>
        <w:ind w:firstLine="540"/>
        <w:jc w:val="both"/>
        <w:rPr>
          <w:bCs/>
        </w:rPr>
      </w:pPr>
    </w:p>
    <w:p w:rsidR="00F86C94" w:rsidRDefault="00F86C94">
      <w:pPr>
        <w:tabs>
          <w:tab w:val="right" w:pos="8364"/>
        </w:tabs>
        <w:ind w:firstLine="540"/>
        <w:jc w:val="both"/>
        <w:rPr>
          <w:bCs/>
        </w:rPr>
      </w:pPr>
    </w:p>
    <w:tbl>
      <w:tblPr>
        <w:tblW w:w="6720" w:type="dxa"/>
        <w:tblInd w:w="55" w:type="dxa"/>
        <w:tblCellMar>
          <w:left w:w="70" w:type="dxa"/>
          <w:right w:w="70" w:type="dxa"/>
        </w:tblCellMar>
        <w:tblLook w:val="04A0" w:firstRow="1" w:lastRow="0" w:firstColumn="1" w:lastColumn="0" w:noHBand="0" w:noVBand="1"/>
      </w:tblPr>
      <w:tblGrid>
        <w:gridCol w:w="1442"/>
        <w:gridCol w:w="1439"/>
        <w:gridCol w:w="1439"/>
        <w:gridCol w:w="1200"/>
        <w:gridCol w:w="1200"/>
      </w:tblGrid>
      <w:tr w:rsidR="00342094" w:rsidRPr="00342094" w:rsidTr="00342094">
        <w:trPr>
          <w:trHeight w:val="285"/>
        </w:trPr>
        <w:tc>
          <w:tcPr>
            <w:tcW w:w="4320" w:type="dxa"/>
            <w:gridSpan w:val="3"/>
            <w:vMerge w:val="restart"/>
            <w:tcBorders>
              <w:top w:val="single" w:sz="8" w:space="0" w:color="auto"/>
              <w:left w:val="single" w:sz="8" w:space="0" w:color="auto"/>
              <w:bottom w:val="single" w:sz="8" w:space="0" w:color="000000"/>
              <w:right w:val="single" w:sz="8" w:space="0" w:color="000000"/>
            </w:tcBorders>
            <w:shd w:val="clear" w:color="000000" w:fill="CCFFCC"/>
            <w:vAlign w:val="center"/>
            <w:hideMark/>
          </w:tcPr>
          <w:p w:rsidR="00342094" w:rsidRPr="00342094" w:rsidRDefault="00342094" w:rsidP="00342094">
            <w:pPr>
              <w:jc w:val="center"/>
              <w:rPr>
                <w:rFonts w:ascii="Lucida Bright" w:hAnsi="Lucida Bright" w:cs="Calibri"/>
                <w:b/>
                <w:bCs/>
                <w:color w:val="000000"/>
                <w:sz w:val="16"/>
                <w:szCs w:val="16"/>
                <w:lang w:val="es-ES"/>
              </w:rPr>
            </w:pPr>
            <w:r w:rsidRPr="00342094">
              <w:rPr>
                <w:rFonts w:ascii="Lucida Bright" w:hAnsi="Lucida Bright" w:cs="Calibri"/>
                <w:b/>
                <w:bCs/>
                <w:color w:val="000000"/>
                <w:sz w:val="16"/>
                <w:szCs w:val="16"/>
                <w:lang w:val="es-ES"/>
              </w:rPr>
              <w:t>Saldos corrientes deudores con las Administraciones Públicas</w:t>
            </w:r>
          </w:p>
        </w:tc>
        <w:tc>
          <w:tcPr>
            <w:tcW w:w="2400" w:type="dxa"/>
            <w:gridSpan w:val="2"/>
            <w:tcBorders>
              <w:top w:val="single" w:sz="8" w:space="0" w:color="auto"/>
              <w:left w:val="nil"/>
              <w:bottom w:val="nil"/>
              <w:right w:val="single" w:sz="8" w:space="0" w:color="000000"/>
            </w:tcBorders>
            <w:shd w:val="clear" w:color="000000" w:fill="CCFFCC"/>
            <w:noWrap/>
            <w:vAlign w:val="bottom"/>
            <w:hideMark/>
          </w:tcPr>
          <w:p w:rsidR="00342094" w:rsidRPr="00342094" w:rsidRDefault="00342094" w:rsidP="00342094">
            <w:pPr>
              <w:jc w:val="center"/>
              <w:rPr>
                <w:rFonts w:ascii="Lucida Bright" w:hAnsi="Lucida Bright" w:cs="Calibri"/>
                <w:b/>
                <w:bCs/>
                <w:color w:val="000000"/>
                <w:sz w:val="14"/>
                <w:szCs w:val="14"/>
                <w:lang w:val="es-ES"/>
              </w:rPr>
            </w:pPr>
            <w:r w:rsidRPr="00342094">
              <w:rPr>
                <w:rFonts w:ascii="Lucida Bright" w:hAnsi="Lucida Bright" w:cs="Calibri"/>
                <w:b/>
                <w:bCs/>
                <w:color w:val="000000"/>
                <w:sz w:val="14"/>
                <w:szCs w:val="14"/>
                <w:lang w:val="es-ES"/>
              </w:rPr>
              <w:t>Euros</w:t>
            </w:r>
          </w:p>
        </w:tc>
      </w:tr>
      <w:tr w:rsidR="00342094" w:rsidRPr="00342094" w:rsidTr="00342094">
        <w:trPr>
          <w:trHeight w:val="240"/>
        </w:trPr>
        <w:tc>
          <w:tcPr>
            <w:tcW w:w="4320" w:type="dxa"/>
            <w:gridSpan w:val="3"/>
            <w:vMerge/>
            <w:tcBorders>
              <w:top w:val="single" w:sz="8" w:space="0" w:color="auto"/>
              <w:left w:val="single" w:sz="8" w:space="0" w:color="auto"/>
              <w:bottom w:val="single" w:sz="8" w:space="0" w:color="000000"/>
              <w:right w:val="single" w:sz="8" w:space="0" w:color="000000"/>
            </w:tcBorders>
            <w:vAlign w:val="center"/>
            <w:hideMark/>
          </w:tcPr>
          <w:p w:rsidR="00342094" w:rsidRPr="00342094" w:rsidRDefault="00342094" w:rsidP="00342094">
            <w:pPr>
              <w:rPr>
                <w:rFonts w:ascii="Lucida Bright" w:hAnsi="Lucida Bright" w:cs="Calibri"/>
                <w:b/>
                <w:bCs/>
                <w:color w:val="000000"/>
                <w:sz w:val="16"/>
                <w:szCs w:val="16"/>
                <w:lang w:val="es-ES"/>
              </w:rPr>
            </w:pPr>
          </w:p>
        </w:tc>
        <w:tc>
          <w:tcPr>
            <w:tcW w:w="1200" w:type="dxa"/>
            <w:tcBorders>
              <w:top w:val="nil"/>
              <w:left w:val="nil"/>
              <w:bottom w:val="single" w:sz="8" w:space="0" w:color="auto"/>
              <w:right w:val="nil"/>
            </w:tcBorders>
            <w:shd w:val="clear" w:color="000000" w:fill="CCFFCC"/>
            <w:noWrap/>
            <w:vAlign w:val="bottom"/>
            <w:hideMark/>
          </w:tcPr>
          <w:p w:rsidR="00342094" w:rsidRPr="00342094" w:rsidRDefault="00342094" w:rsidP="00342094">
            <w:pPr>
              <w:jc w:val="center"/>
              <w:rPr>
                <w:rFonts w:ascii="Lucida Bright" w:hAnsi="Lucida Bright" w:cs="Calibri"/>
                <w:b/>
                <w:bCs/>
                <w:color w:val="000000"/>
                <w:sz w:val="14"/>
                <w:szCs w:val="14"/>
                <w:lang w:val="es-ES"/>
              </w:rPr>
            </w:pPr>
            <w:r w:rsidRPr="00342094">
              <w:rPr>
                <w:rFonts w:ascii="Lucida Bright" w:hAnsi="Lucida Bright" w:cs="Calibri"/>
                <w:b/>
                <w:bCs/>
                <w:color w:val="000000"/>
                <w:sz w:val="14"/>
                <w:szCs w:val="14"/>
                <w:lang w:val="es-ES"/>
              </w:rPr>
              <w:t>2024</w:t>
            </w:r>
          </w:p>
        </w:tc>
        <w:tc>
          <w:tcPr>
            <w:tcW w:w="1200" w:type="dxa"/>
            <w:tcBorders>
              <w:top w:val="nil"/>
              <w:left w:val="single" w:sz="8" w:space="0" w:color="auto"/>
              <w:bottom w:val="single" w:sz="8" w:space="0" w:color="auto"/>
              <w:right w:val="single" w:sz="8" w:space="0" w:color="auto"/>
            </w:tcBorders>
            <w:shd w:val="clear" w:color="000000" w:fill="CCFFCC"/>
            <w:noWrap/>
            <w:vAlign w:val="bottom"/>
            <w:hideMark/>
          </w:tcPr>
          <w:p w:rsidR="00342094" w:rsidRPr="00342094" w:rsidRDefault="00342094" w:rsidP="00342094">
            <w:pPr>
              <w:jc w:val="center"/>
              <w:rPr>
                <w:rFonts w:ascii="Lucida Bright" w:hAnsi="Lucida Bright" w:cs="Calibri"/>
                <w:b/>
                <w:bCs/>
                <w:color w:val="000000"/>
                <w:sz w:val="14"/>
                <w:szCs w:val="14"/>
                <w:lang w:val="es-ES"/>
              </w:rPr>
            </w:pPr>
            <w:r w:rsidRPr="00342094">
              <w:rPr>
                <w:rFonts w:ascii="Lucida Bright" w:hAnsi="Lucida Bright" w:cs="Calibri"/>
                <w:b/>
                <w:bCs/>
                <w:color w:val="000000"/>
                <w:sz w:val="14"/>
                <w:szCs w:val="14"/>
                <w:lang w:val="es-ES"/>
              </w:rPr>
              <w:t>2023</w:t>
            </w:r>
          </w:p>
        </w:tc>
      </w:tr>
      <w:tr w:rsidR="00342094" w:rsidRPr="00342094" w:rsidTr="00342094">
        <w:trPr>
          <w:trHeight w:val="225"/>
        </w:trPr>
        <w:tc>
          <w:tcPr>
            <w:tcW w:w="4320" w:type="dxa"/>
            <w:gridSpan w:val="3"/>
            <w:tcBorders>
              <w:top w:val="nil"/>
              <w:left w:val="single" w:sz="8" w:space="0" w:color="auto"/>
              <w:bottom w:val="nil"/>
              <w:right w:val="nil"/>
            </w:tcBorders>
            <w:shd w:val="clear" w:color="auto" w:fill="auto"/>
            <w:noWrap/>
            <w:vAlign w:val="bottom"/>
            <w:hideMark/>
          </w:tcPr>
          <w:p w:rsidR="00342094" w:rsidRPr="00342094" w:rsidRDefault="00342094" w:rsidP="00342094">
            <w:pPr>
              <w:rPr>
                <w:rFonts w:ascii="Lucida Bright" w:hAnsi="Lucida Bright" w:cs="Calibri"/>
                <w:color w:val="000000"/>
                <w:sz w:val="14"/>
                <w:szCs w:val="14"/>
                <w:lang w:val="es-ES"/>
              </w:rPr>
            </w:pPr>
            <w:r w:rsidRPr="00342094">
              <w:rPr>
                <w:rFonts w:ascii="Lucida Bright" w:hAnsi="Lucida Bright" w:cs="Calibri"/>
                <w:color w:val="000000"/>
                <w:sz w:val="14"/>
                <w:szCs w:val="14"/>
                <w:lang w:val="es-ES"/>
              </w:rPr>
              <w:t>Hacienda Pública deudora por Impto s/Sociedades</w:t>
            </w:r>
          </w:p>
        </w:tc>
        <w:tc>
          <w:tcPr>
            <w:tcW w:w="1200" w:type="dxa"/>
            <w:tcBorders>
              <w:top w:val="nil"/>
              <w:left w:val="single" w:sz="8" w:space="0" w:color="auto"/>
              <w:bottom w:val="nil"/>
              <w:right w:val="single" w:sz="8" w:space="0" w:color="auto"/>
            </w:tcBorders>
            <w:shd w:val="clear" w:color="auto" w:fill="auto"/>
            <w:noWrap/>
            <w:vAlign w:val="bottom"/>
            <w:hideMark/>
          </w:tcPr>
          <w:p w:rsidR="00342094" w:rsidRPr="00342094" w:rsidRDefault="00342094" w:rsidP="00342094">
            <w:pPr>
              <w:jc w:val="right"/>
              <w:rPr>
                <w:rFonts w:ascii="Lucida Bright" w:hAnsi="Lucida Bright" w:cs="Calibri"/>
                <w:color w:val="000000"/>
                <w:sz w:val="14"/>
                <w:szCs w:val="14"/>
                <w:lang w:val="es-ES"/>
              </w:rPr>
            </w:pPr>
            <w:r w:rsidRPr="00342094">
              <w:rPr>
                <w:rFonts w:ascii="Lucida Bright" w:hAnsi="Lucida Bright" w:cs="Calibri"/>
                <w:color w:val="000000"/>
                <w:sz w:val="14"/>
                <w:szCs w:val="14"/>
                <w:lang w:val="es-ES"/>
              </w:rPr>
              <w:t>15.795.209,57</w:t>
            </w:r>
          </w:p>
        </w:tc>
        <w:tc>
          <w:tcPr>
            <w:tcW w:w="1200" w:type="dxa"/>
            <w:tcBorders>
              <w:top w:val="nil"/>
              <w:left w:val="nil"/>
              <w:bottom w:val="nil"/>
              <w:right w:val="single" w:sz="8" w:space="0" w:color="auto"/>
            </w:tcBorders>
            <w:shd w:val="clear" w:color="auto" w:fill="auto"/>
            <w:noWrap/>
            <w:vAlign w:val="bottom"/>
            <w:hideMark/>
          </w:tcPr>
          <w:p w:rsidR="00342094" w:rsidRPr="00342094" w:rsidRDefault="00342094" w:rsidP="00342094">
            <w:pPr>
              <w:jc w:val="right"/>
              <w:rPr>
                <w:rFonts w:ascii="Lucida Bright" w:hAnsi="Lucida Bright" w:cs="Calibri"/>
                <w:color w:val="000000"/>
                <w:sz w:val="14"/>
                <w:szCs w:val="14"/>
                <w:lang w:val="es-ES"/>
              </w:rPr>
            </w:pPr>
            <w:r w:rsidRPr="00342094">
              <w:rPr>
                <w:rFonts w:ascii="Lucida Bright" w:hAnsi="Lucida Bright" w:cs="Calibri"/>
                <w:color w:val="000000"/>
                <w:sz w:val="14"/>
                <w:szCs w:val="14"/>
                <w:lang w:val="es-ES"/>
              </w:rPr>
              <w:t>11.989.504,47</w:t>
            </w:r>
          </w:p>
        </w:tc>
      </w:tr>
      <w:tr w:rsidR="00342094" w:rsidRPr="00342094" w:rsidTr="00342094">
        <w:trPr>
          <w:trHeight w:val="225"/>
        </w:trPr>
        <w:tc>
          <w:tcPr>
            <w:tcW w:w="4320" w:type="dxa"/>
            <w:gridSpan w:val="3"/>
            <w:tcBorders>
              <w:top w:val="nil"/>
              <w:left w:val="single" w:sz="8" w:space="0" w:color="auto"/>
              <w:bottom w:val="nil"/>
              <w:right w:val="nil"/>
            </w:tcBorders>
            <w:shd w:val="clear" w:color="auto" w:fill="auto"/>
            <w:noWrap/>
            <w:vAlign w:val="bottom"/>
            <w:hideMark/>
          </w:tcPr>
          <w:p w:rsidR="00342094" w:rsidRPr="00342094" w:rsidRDefault="00342094" w:rsidP="00342094">
            <w:pPr>
              <w:rPr>
                <w:rFonts w:ascii="Lucida Bright" w:hAnsi="Lucida Bright" w:cs="Calibri"/>
                <w:color w:val="000000"/>
                <w:sz w:val="14"/>
                <w:szCs w:val="14"/>
                <w:lang w:val="es-ES"/>
              </w:rPr>
            </w:pPr>
            <w:r w:rsidRPr="00342094">
              <w:rPr>
                <w:rFonts w:ascii="Lucida Bright" w:hAnsi="Lucida Bright" w:cs="Calibri"/>
                <w:color w:val="000000"/>
                <w:sz w:val="14"/>
                <w:szCs w:val="14"/>
                <w:lang w:val="es-ES"/>
              </w:rPr>
              <w:t>Organismos de la Seguridad Social deudor</w:t>
            </w:r>
          </w:p>
        </w:tc>
        <w:tc>
          <w:tcPr>
            <w:tcW w:w="1200" w:type="dxa"/>
            <w:tcBorders>
              <w:top w:val="nil"/>
              <w:left w:val="single" w:sz="8" w:space="0" w:color="auto"/>
              <w:bottom w:val="nil"/>
              <w:right w:val="single" w:sz="8" w:space="0" w:color="auto"/>
            </w:tcBorders>
            <w:shd w:val="clear" w:color="auto" w:fill="auto"/>
            <w:noWrap/>
            <w:vAlign w:val="bottom"/>
            <w:hideMark/>
          </w:tcPr>
          <w:p w:rsidR="00342094" w:rsidRPr="00342094" w:rsidRDefault="00342094" w:rsidP="00342094">
            <w:pPr>
              <w:jc w:val="right"/>
              <w:rPr>
                <w:rFonts w:ascii="Lucida Bright" w:hAnsi="Lucida Bright" w:cs="Calibri"/>
                <w:color w:val="000000"/>
                <w:sz w:val="14"/>
                <w:szCs w:val="14"/>
                <w:lang w:val="es-ES"/>
              </w:rPr>
            </w:pPr>
            <w:r w:rsidRPr="00342094">
              <w:rPr>
                <w:rFonts w:ascii="Lucida Bright" w:hAnsi="Lucida Bright" w:cs="Calibri"/>
                <w:color w:val="000000"/>
                <w:sz w:val="14"/>
                <w:szCs w:val="14"/>
                <w:lang w:val="es-ES"/>
              </w:rPr>
              <w:t>49.540,51</w:t>
            </w:r>
          </w:p>
        </w:tc>
        <w:tc>
          <w:tcPr>
            <w:tcW w:w="1200" w:type="dxa"/>
            <w:tcBorders>
              <w:top w:val="nil"/>
              <w:left w:val="nil"/>
              <w:bottom w:val="nil"/>
              <w:right w:val="single" w:sz="8" w:space="0" w:color="auto"/>
            </w:tcBorders>
            <w:shd w:val="clear" w:color="auto" w:fill="auto"/>
            <w:noWrap/>
            <w:vAlign w:val="bottom"/>
            <w:hideMark/>
          </w:tcPr>
          <w:p w:rsidR="00342094" w:rsidRPr="00342094" w:rsidRDefault="00342094" w:rsidP="00342094">
            <w:pPr>
              <w:jc w:val="right"/>
              <w:rPr>
                <w:rFonts w:ascii="Lucida Bright" w:hAnsi="Lucida Bright" w:cs="Calibri"/>
                <w:color w:val="000000"/>
                <w:sz w:val="14"/>
                <w:szCs w:val="14"/>
                <w:lang w:val="es-ES"/>
              </w:rPr>
            </w:pPr>
            <w:r w:rsidRPr="00342094">
              <w:rPr>
                <w:rFonts w:ascii="Lucida Bright" w:hAnsi="Lucida Bright" w:cs="Calibri"/>
                <w:color w:val="000000"/>
                <w:sz w:val="14"/>
                <w:szCs w:val="14"/>
                <w:lang w:val="es-ES"/>
              </w:rPr>
              <w:t>48.662,04</w:t>
            </w:r>
          </w:p>
        </w:tc>
      </w:tr>
      <w:tr w:rsidR="00342094" w:rsidRPr="00342094" w:rsidTr="00342094">
        <w:trPr>
          <w:trHeight w:val="225"/>
        </w:trPr>
        <w:tc>
          <w:tcPr>
            <w:tcW w:w="4320" w:type="dxa"/>
            <w:gridSpan w:val="3"/>
            <w:tcBorders>
              <w:top w:val="nil"/>
              <w:left w:val="single" w:sz="8" w:space="0" w:color="auto"/>
              <w:bottom w:val="nil"/>
              <w:right w:val="nil"/>
            </w:tcBorders>
            <w:shd w:val="clear" w:color="auto" w:fill="auto"/>
            <w:noWrap/>
            <w:vAlign w:val="bottom"/>
            <w:hideMark/>
          </w:tcPr>
          <w:p w:rsidR="00342094" w:rsidRPr="00342094" w:rsidRDefault="00342094" w:rsidP="00342094">
            <w:pPr>
              <w:rPr>
                <w:rFonts w:ascii="Lucida Bright" w:hAnsi="Lucida Bright" w:cs="Calibri"/>
                <w:color w:val="000000"/>
                <w:sz w:val="14"/>
                <w:szCs w:val="14"/>
                <w:lang w:val="es-ES"/>
              </w:rPr>
            </w:pPr>
            <w:r w:rsidRPr="00342094">
              <w:rPr>
                <w:rFonts w:ascii="Lucida Bright" w:hAnsi="Lucida Bright" w:cs="Calibri"/>
                <w:color w:val="000000"/>
                <w:sz w:val="14"/>
                <w:szCs w:val="14"/>
                <w:lang w:val="es-ES"/>
              </w:rPr>
              <w:t>Subvenciones oficiales pendientes de cobro</w:t>
            </w:r>
          </w:p>
        </w:tc>
        <w:tc>
          <w:tcPr>
            <w:tcW w:w="1200" w:type="dxa"/>
            <w:tcBorders>
              <w:top w:val="nil"/>
              <w:left w:val="single" w:sz="8" w:space="0" w:color="auto"/>
              <w:bottom w:val="nil"/>
              <w:right w:val="single" w:sz="8" w:space="0" w:color="auto"/>
            </w:tcBorders>
            <w:shd w:val="clear" w:color="auto" w:fill="auto"/>
            <w:noWrap/>
            <w:vAlign w:val="bottom"/>
            <w:hideMark/>
          </w:tcPr>
          <w:p w:rsidR="00342094" w:rsidRPr="00342094" w:rsidRDefault="00342094" w:rsidP="00342094">
            <w:pPr>
              <w:jc w:val="right"/>
              <w:rPr>
                <w:rFonts w:ascii="Lucida Bright" w:hAnsi="Lucida Bright" w:cs="Calibri"/>
                <w:color w:val="000000"/>
                <w:sz w:val="14"/>
                <w:szCs w:val="14"/>
                <w:lang w:val="es-ES"/>
              </w:rPr>
            </w:pPr>
            <w:r w:rsidRPr="00342094">
              <w:rPr>
                <w:rFonts w:ascii="Lucida Bright" w:hAnsi="Lucida Bright" w:cs="Calibri"/>
                <w:color w:val="000000"/>
                <w:sz w:val="14"/>
                <w:szCs w:val="14"/>
                <w:lang w:val="es-ES"/>
              </w:rPr>
              <w:t>577.663,40</w:t>
            </w:r>
          </w:p>
        </w:tc>
        <w:tc>
          <w:tcPr>
            <w:tcW w:w="1200" w:type="dxa"/>
            <w:tcBorders>
              <w:top w:val="nil"/>
              <w:left w:val="nil"/>
              <w:bottom w:val="nil"/>
              <w:right w:val="single" w:sz="8" w:space="0" w:color="auto"/>
            </w:tcBorders>
            <w:shd w:val="clear" w:color="auto" w:fill="auto"/>
            <w:noWrap/>
            <w:vAlign w:val="bottom"/>
            <w:hideMark/>
          </w:tcPr>
          <w:p w:rsidR="00342094" w:rsidRPr="00342094" w:rsidRDefault="00342094" w:rsidP="00342094">
            <w:pPr>
              <w:jc w:val="right"/>
              <w:rPr>
                <w:rFonts w:ascii="Lucida Bright" w:hAnsi="Lucida Bright" w:cs="Calibri"/>
                <w:color w:val="000000"/>
                <w:sz w:val="14"/>
                <w:szCs w:val="14"/>
                <w:lang w:val="es-ES"/>
              </w:rPr>
            </w:pPr>
            <w:r w:rsidRPr="00342094">
              <w:rPr>
                <w:rFonts w:ascii="Lucida Bright" w:hAnsi="Lucida Bright" w:cs="Calibri"/>
                <w:color w:val="000000"/>
                <w:sz w:val="14"/>
                <w:szCs w:val="14"/>
                <w:lang w:val="es-ES"/>
              </w:rPr>
              <w:t>145.968,98</w:t>
            </w:r>
          </w:p>
        </w:tc>
      </w:tr>
      <w:tr w:rsidR="00342094" w:rsidRPr="00342094" w:rsidTr="00342094">
        <w:trPr>
          <w:trHeight w:val="225"/>
        </w:trPr>
        <w:tc>
          <w:tcPr>
            <w:tcW w:w="2881" w:type="dxa"/>
            <w:gridSpan w:val="2"/>
            <w:tcBorders>
              <w:top w:val="nil"/>
              <w:left w:val="single" w:sz="8" w:space="0" w:color="auto"/>
              <w:bottom w:val="nil"/>
              <w:right w:val="nil"/>
            </w:tcBorders>
            <w:shd w:val="clear" w:color="auto" w:fill="auto"/>
            <w:noWrap/>
            <w:vAlign w:val="bottom"/>
            <w:hideMark/>
          </w:tcPr>
          <w:p w:rsidR="00342094" w:rsidRPr="00342094" w:rsidRDefault="00342094" w:rsidP="00342094">
            <w:pPr>
              <w:rPr>
                <w:rFonts w:ascii="Lucida Bright" w:hAnsi="Lucida Bright" w:cs="Calibri"/>
                <w:color w:val="000000"/>
                <w:sz w:val="14"/>
                <w:szCs w:val="14"/>
                <w:lang w:val="es-ES"/>
              </w:rPr>
            </w:pPr>
            <w:r w:rsidRPr="00342094">
              <w:rPr>
                <w:rFonts w:ascii="Lucida Bright" w:hAnsi="Lucida Bright" w:cs="Calibri"/>
                <w:color w:val="000000"/>
                <w:sz w:val="14"/>
                <w:szCs w:val="14"/>
                <w:lang w:val="es-ES"/>
              </w:rPr>
              <w:t>Hacienda Pública deudora por I.V.A.</w:t>
            </w:r>
          </w:p>
        </w:tc>
        <w:tc>
          <w:tcPr>
            <w:tcW w:w="1439" w:type="dxa"/>
            <w:tcBorders>
              <w:top w:val="nil"/>
              <w:left w:val="nil"/>
              <w:bottom w:val="nil"/>
              <w:right w:val="nil"/>
            </w:tcBorders>
            <w:shd w:val="clear" w:color="auto" w:fill="auto"/>
            <w:noWrap/>
            <w:vAlign w:val="bottom"/>
            <w:hideMark/>
          </w:tcPr>
          <w:p w:rsidR="00342094" w:rsidRPr="00342094" w:rsidRDefault="00342094" w:rsidP="00342094">
            <w:pPr>
              <w:rPr>
                <w:rFonts w:ascii="Lucida Bright" w:hAnsi="Lucida Bright" w:cs="Calibri"/>
                <w:color w:val="000000"/>
                <w:sz w:val="16"/>
                <w:szCs w:val="16"/>
                <w:lang w:val="es-ES"/>
              </w:rPr>
            </w:pPr>
          </w:p>
        </w:tc>
        <w:tc>
          <w:tcPr>
            <w:tcW w:w="1200" w:type="dxa"/>
            <w:tcBorders>
              <w:top w:val="nil"/>
              <w:left w:val="single" w:sz="8" w:space="0" w:color="auto"/>
              <w:bottom w:val="nil"/>
              <w:right w:val="single" w:sz="8" w:space="0" w:color="auto"/>
            </w:tcBorders>
            <w:shd w:val="clear" w:color="auto" w:fill="auto"/>
            <w:noWrap/>
            <w:vAlign w:val="bottom"/>
            <w:hideMark/>
          </w:tcPr>
          <w:p w:rsidR="00342094" w:rsidRPr="00342094" w:rsidRDefault="00342094" w:rsidP="00342094">
            <w:pPr>
              <w:jc w:val="right"/>
              <w:rPr>
                <w:rFonts w:ascii="Lucida Bright" w:hAnsi="Lucida Bright" w:cs="Calibri"/>
                <w:color w:val="000000"/>
                <w:sz w:val="14"/>
                <w:szCs w:val="14"/>
                <w:lang w:val="es-ES"/>
              </w:rPr>
            </w:pPr>
            <w:r w:rsidRPr="00342094">
              <w:rPr>
                <w:rFonts w:ascii="Lucida Bright" w:hAnsi="Lucida Bright" w:cs="Calibri"/>
                <w:color w:val="000000"/>
                <w:sz w:val="14"/>
                <w:szCs w:val="14"/>
                <w:lang w:val="es-ES"/>
              </w:rPr>
              <w:t>0,00</w:t>
            </w:r>
          </w:p>
        </w:tc>
        <w:tc>
          <w:tcPr>
            <w:tcW w:w="1200" w:type="dxa"/>
            <w:tcBorders>
              <w:top w:val="nil"/>
              <w:left w:val="nil"/>
              <w:bottom w:val="nil"/>
              <w:right w:val="single" w:sz="8" w:space="0" w:color="auto"/>
            </w:tcBorders>
            <w:shd w:val="clear" w:color="auto" w:fill="auto"/>
            <w:noWrap/>
            <w:vAlign w:val="bottom"/>
            <w:hideMark/>
          </w:tcPr>
          <w:p w:rsidR="00342094" w:rsidRPr="00342094" w:rsidRDefault="00342094" w:rsidP="00342094">
            <w:pPr>
              <w:jc w:val="right"/>
              <w:rPr>
                <w:rFonts w:ascii="Lucida Bright" w:hAnsi="Lucida Bright" w:cs="Calibri"/>
                <w:color w:val="000000"/>
                <w:sz w:val="14"/>
                <w:szCs w:val="14"/>
                <w:lang w:val="es-ES"/>
              </w:rPr>
            </w:pPr>
            <w:r w:rsidRPr="00342094">
              <w:rPr>
                <w:rFonts w:ascii="Lucida Bright" w:hAnsi="Lucida Bright" w:cs="Calibri"/>
                <w:color w:val="000000"/>
                <w:sz w:val="14"/>
                <w:szCs w:val="14"/>
                <w:lang w:val="es-ES"/>
              </w:rPr>
              <w:t>7.425,93</w:t>
            </w:r>
          </w:p>
        </w:tc>
      </w:tr>
      <w:tr w:rsidR="00342094" w:rsidRPr="00342094" w:rsidTr="00342094">
        <w:trPr>
          <w:trHeight w:val="240"/>
        </w:trPr>
        <w:tc>
          <w:tcPr>
            <w:tcW w:w="4320" w:type="dxa"/>
            <w:gridSpan w:val="3"/>
            <w:tcBorders>
              <w:top w:val="nil"/>
              <w:left w:val="single" w:sz="8" w:space="0" w:color="auto"/>
              <w:bottom w:val="nil"/>
              <w:right w:val="nil"/>
            </w:tcBorders>
            <w:shd w:val="clear" w:color="auto" w:fill="auto"/>
            <w:noWrap/>
            <w:vAlign w:val="bottom"/>
            <w:hideMark/>
          </w:tcPr>
          <w:p w:rsidR="00342094" w:rsidRPr="00342094" w:rsidRDefault="00342094" w:rsidP="00342094">
            <w:pPr>
              <w:rPr>
                <w:rFonts w:ascii="Lucida Bright" w:hAnsi="Lucida Bright" w:cs="Calibri"/>
                <w:color w:val="000000"/>
                <w:sz w:val="14"/>
                <w:szCs w:val="14"/>
                <w:lang w:val="es-ES"/>
              </w:rPr>
            </w:pPr>
            <w:r w:rsidRPr="00342094">
              <w:rPr>
                <w:rFonts w:ascii="Lucida Bright" w:hAnsi="Lucida Bright" w:cs="Calibri"/>
                <w:color w:val="000000"/>
                <w:sz w:val="14"/>
                <w:szCs w:val="14"/>
                <w:lang w:val="es-ES"/>
              </w:rPr>
              <w:t>Tesoro Público 2% cultural a compensar</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342094" w:rsidRPr="00342094" w:rsidRDefault="00342094" w:rsidP="00342094">
            <w:pPr>
              <w:jc w:val="right"/>
              <w:rPr>
                <w:rFonts w:ascii="Lucida Bright" w:hAnsi="Lucida Bright" w:cs="Calibri"/>
                <w:color w:val="000000"/>
                <w:sz w:val="14"/>
                <w:szCs w:val="14"/>
                <w:lang w:val="es-ES"/>
              </w:rPr>
            </w:pPr>
            <w:r w:rsidRPr="00342094">
              <w:rPr>
                <w:rFonts w:ascii="Lucida Bright" w:hAnsi="Lucida Bright" w:cs="Calibri"/>
                <w:color w:val="000000"/>
                <w:sz w:val="14"/>
                <w:szCs w:val="14"/>
                <w:lang w:val="es-ES"/>
              </w:rPr>
              <w:t>277.396,50</w:t>
            </w:r>
          </w:p>
        </w:tc>
        <w:tc>
          <w:tcPr>
            <w:tcW w:w="1200" w:type="dxa"/>
            <w:tcBorders>
              <w:top w:val="nil"/>
              <w:left w:val="nil"/>
              <w:bottom w:val="single" w:sz="8" w:space="0" w:color="auto"/>
              <w:right w:val="single" w:sz="8" w:space="0" w:color="auto"/>
            </w:tcBorders>
            <w:shd w:val="clear" w:color="auto" w:fill="auto"/>
            <w:noWrap/>
            <w:vAlign w:val="bottom"/>
            <w:hideMark/>
          </w:tcPr>
          <w:p w:rsidR="00342094" w:rsidRPr="00342094" w:rsidRDefault="00342094" w:rsidP="00342094">
            <w:pPr>
              <w:jc w:val="right"/>
              <w:rPr>
                <w:rFonts w:ascii="Lucida Bright" w:hAnsi="Lucida Bright" w:cs="Calibri"/>
                <w:color w:val="000000"/>
                <w:sz w:val="14"/>
                <w:szCs w:val="14"/>
                <w:lang w:val="es-ES"/>
              </w:rPr>
            </w:pPr>
            <w:r w:rsidRPr="00342094">
              <w:rPr>
                <w:rFonts w:ascii="Lucida Bright" w:hAnsi="Lucida Bright" w:cs="Calibri"/>
                <w:color w:val="000000"/>
                <w:sz w:val="14"/>
                <w:szCs w:val="14"/>
                <w:lang w:val="es-ES"/>
              </w:rPr>
              <w:t>0,00</w:t>
            </w:r>
          </w:p>
        </w:tc>
      </w:tr>
      <w:tr w:rsidR="00342094" w:rsidRPr="00342094" w:rsidTr="00342094">
        <w:trPr>
          <w:trHeight w:val="240"/>
        </w:trPr>
        <w:tc>
          <w:tcPr>
            <w:tcW w:w="1442" w:type="dxa"/>
            <w:tcBorders>
              <w:top w:val="nil"/>
              <w:left w:val="single" w:sz="8" w:space="0" w:color="auto"/>
              <w:bottom w:val="single" w:sz="8" w:space="0" w:color="auto"/>
              <w:right w:val="nil"/>
            </w:tcBorders>
            <w:shd w:val="clear" w:color="auto" w:fill="auto"/>
            <w:noWrap/>
            <w:vAlign w:val="bottom"/>
            <w:hideMark/>
          </w:tcPr>
          <w:p w:rsidR="00342094" w:rsidRPr="00342094" w:rsidRDefault="00342094" w:rsidP="00342094">
            <w:pPr>
              <w:rPr>
                <w:rFonts w:ascii="Lucida Bright" w:hAnsi="Lucida Bright" w:cs="Calibri"/>
                <w:color w:val="000000"/>
                <w:sz w:val="16"/>
                <w:szCs w:val="16"/>
                <w:lang w:val="es-ES"/>
              </w:rPr>
            </w:pPr>
            <w:r w:rsidRPr="00342094">
              <w:rPr>
                <w:rFonts w:ascii="Lucida Bright" w:hAnsi="Lucida Bright" w:cs="Calibri"/>
                <w:color w:val="000000"/>
                <w:sz w:val="16"/>
                <w:szCs w:val="16"/>
                <w:lang w:val="es-ES"/>
              </w:rPr>
              <w:t> </w:t>
            </w:r>
          </w:p>
        </w:tc>
        <w:tc>
          <w:tcPr>
            <w:tcW w:w="1439" w:type="dxa"/>
            <w:tcBorders>
              <w:top w:val="nil"/>
              <w:left w:val="nil"/>
              <w:bottom w:val="single" w:sz="8" w:space="0" w:color="auto"/>
              <w:right w:val="nil"/>
            </w:tcBorders>
            <w:shd w:val="clear" w:color="auto" w:fill="auto"/>
            <w:noWrap/>
            <w:vAlign w:val="bottom"/>
            <w:hideMark/>
          </w:tcPr>
          <w:p w:rsidR="00342094" w:rsidRPr="00342094" w:rsidRDefault="00342094" w:rsidP="00342094">
            <w:pPr>
              <w:rPr>
                <w:rFonts w:ascii="Lucida Bright" w:hAnsi="Lucida Bright" w:cs="Calibri"/>
                <w:color w:val="000000"/>
                <w:sz w:val="16"/>
                <w:szCs w:val="16"/>
                <w:lang w:val="es-ES"/>
              </w:rPr>
            </w:pPr>
            <w:r w:rsidRPr="00342094">
              <w:rPr>
                <w:rFonts w:ascii="Lucida Bright" w:hAnsi="Lucida Bright" w:cs="Calibri"/>
                <w:color w:val="000000"/>
                <w:sz w:val="16"/>
                <w:szCs w:val="16"/>
                <w:lang w:val="es-ES"/>
              </w:rPr>
              <w:t> </w:t>
            </w:r>
          </w:p>
        </w:tc>
        <w:tc>
          <w:tcPr>
            <w:tcW w:w="1439" w:type="dxa"/>
            <w:tcBorders>
              <w:top w:val="nil"/>
              <w:left w:val="nil"/>
              <w:bottom w:val="single" w:sz="8" w:space="0" w:color="auto"/>
              <w:right w:val="nil"/>
            </w:tcBorders>
            <w:shd w:val="clear" w:color="auto" w:fill="auto"/>
            <w:noWrap/>
            <w:vAlign w:val="bottom"/>
            <w:hideMark/>
          </w:tcPr>
          <w:p w:rsidR="00342094" w:rsidRPr="00342094" w:rsidRDefault="00342094" w:rsidP="00342094">
            <w:pPr>
              <w:rPr>
                <w:rFonts w:ascii="Lucida Bright" w:hAnsi="Lucida Bright" w:cs="Calibri"/>
                <w:color w:val="000000"/>
                <w:sz w:val="16"/>
                <w:szCs w:val="16"/>
                <w:lang w:val="es-ES"/>
              </w:rPr>
            </w:pPr>
            <w:r w:rsidRPr="00342094">
              <w:rPr>
                <w:rFonts w:ascii="Lucida Bright" w:hAnsi="Lucida Bright" w:cs="Calibri"/>
                <w:color w:val="000000"/>
                <w:sz w:val="16"/>
                <w:szCs w:val="16"/>
                <w:lang w:val="es-ES"/>
              </w:rPr>
              <w:t>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342094" w:rsidRPr="00342094" w:rsidRDefault="00342094" w:rsidP="00342094">
            <w:pPr>
              <w:jc w:val="right"/>
              <w:rPr>
                <w:rFonts w:ascii="Lucida Bright" w:hAnsi="Lucida Bright" w:cs="Calibri"/>
                <w:b/>
                <w:bCs/>
                <w:color w:val="000000"/>
                <w:sz w:val="14"/>
                <w:szCs w:val="14"/>
                <w:lang w:val="es-ES"/>
              </w:rPr>
            </w:pPr>
            <w:r w:rsidRPr="00342094">
              <w:rPr>
                <w:rFonts w:ascii="Lucida Bright" w:hAnsi="Lucida Bright" w:cs="Calibri"/>
                <w:b/>
                <w:bCs/>
                <w:color w:val="000000"/>
                <w:sz w:val="14"/>
                <w:szCs w:val="14"/>
                <w:lang w:val="es-ES"/>
              </w:rPr>
              <w:t>16.699.809,98</w:t>
            </w:r>
          </w:p>
        </w:tc>
        <w:tc>
          <w:tcPr>
            <w:tcW w:w="1200" w:type="dxa"/>
            <w:tcBorders>
              <w:top w:val="nil"/>
              <w:left w:val="nil"/>
              <w:bottom w:val="single" w:sz="8" w:space="0" w:color="auto"/>
              <w:right w:val="single" w:sz="8" w:space="0" w:color="auto"/>
            </w:tcBorders>
            <w:shd w:val="clear" w:color="auto" w:fill="auto"/>
            <w:noWrap/>
            <w:vAlign w:val="bottom"/>
            <w:hideMark/>
          </w:tcPr>
          <w:p w:rsidR="00342094" w:rsidRPr="00342094" w:rsidRDefault="00342094" w:rsidP="00342094">
            <w:pPr>
              <w:jc w:val="right"/>
              <w:rPr>
                <w:rFonts w:ascii="Lucida Bright" w:hAnsi="Lucida Bright" w:cs="Calibri"/>
                <w:b/>
                <w:bCs/>
                <w:color w:val="000000"/>
                <w:sz w:val="14"/>
                <w:szCs w:val="14"/>
                <w:lang w:val="es-ES"/>
              </w:rPr>
            </w:pPr>
            <w:r w:rsidRPr="00342094">
              <w:rPr>
                <w:rFonts w:ascii="Lucida Bright" w:hAnsi="Lucida Bright" w:cs="Calibri"/>
                <w:b/>
                <w:bCs/>
                <w:color w:val="000000"/>
                <w:sz w:val="14"/>
                <w:szCs w:val="14"/>
                <w:lang w:val="es-ES"/>
              </w:rPr>
              <w:t>12.191.561,42</w:t>
            </w:r>
          </w:p>
        </w:tc>
      </w:tr>
    </w:tbl>
    <w:p w:rsidR="00F963DD" w:rsidRDefault="00F963DD">
      <w:pPr>
        <w:tabs>
          <w:tab w:val="right" w:pos="8364"/>
        </w:tabs>
        <w:ind w:firstLine="540"/>
        <w:jc w:val="both"/>
        <w:rPr>
          <w:bCs/>
        </w:rPr>
      </w:pPr>
    </w:p>
    <w:tbl>
      <w:tblPr>
        <w:tblW w:w="6720" w:type="dxa"/>
        <w:tblInd w:w="55" w:type="dxa"/>
        <w:tblCellMar>
          <w:left w:w="70" w:type="dxa"/>
          <w:right w:w="70" w:type="dxa"/>
        </w:tblCellMar>
        <w:tblLook w:val="04A0" w:firstRow="1" w:lastRow="0" w:firstColumn="1" w:lastColumn="0" w:noHBand="0" w:noVBand="1"/>
      </w:tblPr>
      <w:tblGrid>
        <w:gridCol w:w="1442"/>
        <w:gridCol w:w="1439"/>
        <w:gridCol w:w="1439"/>
        <w:gridCol w:w="1200"/>
        <w:gridCol w:w="1200"/>
      </w:tblGrid>
      <w:tr w:rsidR="00267A65" w:rsidRPr="00267A65" w:rsidTr="00267A65">
        <w:trPr>
          <w:trHeight w:val="225"/>
        </w:trPr>
        <w:tc>
          <w:tcPr>
            <w:tcW w:w="4320" w:type="dxa"/>
            <w:gridSpan w:val="3"/>
            <w:vMerge w:val="restart"/>
            <w:tcBorders>
              <w:top w:val="single" w:sz="8" w:space="0" w:color="auto"/>
              <w:left w:val="single" w:sz="8" w:space="0" w:color="auto"/>
              <w:bottom w:val="single" w:sz="8" w:space="0" w:color="000000"/>
              <w:right w:val="single" w:sz="8" w:space="0" w:color="000000"/>
            </w:tcBorders>
            <w:shd w:val="clear" w:color="000000" w:fill="CCFFCC"/>
            <w:vAlign w:val="center"/>
            <w:hideMark/>
          </w:tcPr>
          <w:p w:rsidR="00267A65" w:rsidRPr="00267A65" w:rsidRDefault="00267A65" w:rsidP="00267A65">
            <w:pPr>
              <w:jc w:val="center"/>
              <w:rPr>
                <w:rFonts w:ascii="Lucida Bright" w:hAnsi="Lucida Bright" w:cs="Calibri"/>
                <w:b/>
                <w:bCs/>
                <w:color w:val="000000"/>
                <w:sz w:val="16"/>
                <w:szCs w:val="16"/>
                <w:lang w:val="es-ES"/>
              </w:rPr>
            </w:pPr>
            <w:r w:rsidRPr="00267A65">
              <w:rPr>
                <w:rFonts w:ascii="Lucida Bright" w:hAnsi="Lucida Bright" w:cs="Calibri"/>
                <w:b/>
                <w:bCs/>
                <w:color w:val="000000"/>
                <w:sz w:val="16"/>
                <w:szCs w:val="16"/>
                <w:lang w:val="es-ES"/>
              </w:rPr>
              <w:t>Saldos corrientes acreedores con las Administraciones Públicas</w:t>
            </w:r>
          </w:p>
        </w:tc>
        <w:tc>
          <w:tcPr>
            <w:tcW w:w="2400" w:type="dxa"/>
            <w:gridSpan w:val="2"/>
            <w:tcBorders>
              <w:top w:val="single" w:sz="8" w:space="0" w:color="auto"/>
              <w:left w:val="nil"/>
              <w:bottom w:val="nil"/>
              <w:right w:val="single" w:sz="8" w:space="0" w:color="000000"/>
            </w:tcBorders>
            <w:shd w:val="clear" w:color="000000" w:fill="CCFFCC"/>
            <w:noWrap/>
            <w:vAlign w:val="bottom"/>
            <w:hideMark/>
          </w:tcPr>
          <w:p w:rsidR="00267A65" w:rsidRPr="00267A65" w:rsidRDefault="00267A65" w:rsidP="00267A65">
            <w:pPr>
              <w:jc w:val="center"/>
              <w:rPr>
                <w:rFonts w:ascii="Lucida Bright" w:hAnsi="Lucida Bright" w:cs="Calibri"/>
                <w:b/>
                <w:bCs/>
                <w:color w:val="000000"/>
                <w:sz w:val="14"/>
                <w:szCs w:val="14"/>
                <w:lang w:val="es-ES"/>
              </w:rPr>
            </w:pPr>
            <w:r w:rsidRPr="00267A65">
              <w:rPr>
                <w:rFonts w:ascii="Lucida Bright" w:hAnsi="Lucida Bright" w:cs="Calibri"/>
                <w:b/>
                <w:bCs/>
                <w:color w:val="000000"/>
                <w:sz w:val="14"/>
                <w:szCs w:val="14"/>
                <w:lang w:val="es-ES"/>
              </w:rPr>
              <w:t>Euros</w:t>
            </w:r>
          </w:p>
        </w:tc>
      </w:tr>
      <w:tr w:rsidR="00267A65" w:rsidRPr="00267A65" w:rsidTr="00267A65">
        <w:trPr>
          <w:trHeight w:val="240"/>
        </w:trPr>
        <w:tc>
          <w:tcPr>
            <w:tcW w:w="4320" w:type="dxa"/>
            <w:gridSpan w:val="3"/>
            <w:vMerge/>
            <w:tcBorders>
              <w:top w:val="single" w:sz="8" w:space="0" w:color="auto"/>
              <w:left w:val="single" w:sz="8" w:space="0" w:color="auto"/>
              <w:bottom w:val="single" w:sz="8" w:space="0" w:color="000000"/>
              <w:right w:val="single" w:sz="8" w:space="0" w:color="000000"/>
            </w:tcBorders>
            <w:vAlign w:val="center"/>
            <w:hideMark/>
          </w:tcPr>
          <w:p w:rsidR="00267A65" w:rsidRPr="00267A65" w:rsidRDefault="00267A65" w:rsidP="00267A65">
            <w:pPr>
              <w:rPr>
                <w:rFonts w:ascii="Lucida Bright" w:hAnsi="Lucida Bright" w:cs="Calibri"/>
                <w:b/>
                <w:bCs/>
                <w:color w:val="000000"/>
                <w:sz w:val="16"/>
                <w:szCs w:val="16"/>
                <w:lang w:val="es-ES"/>
              </w:rPr>
            </w:pPr>
          </w:p>
        </w:tc>
        <w:tc>
          <w:tcPr>
            <w:tcW w:w="1200" w:type="dxa"/>
            <w:tcBorders>
              <w:top w:val="nil"/>
              <w:left w:val="nil"/>
              <w:bottom w:val="single" w:sz="8" w:space="0" w:color="auto"/>
              <w:right w:val="single" w:sz="8" w:space="0" w:color="auto"/>
            </w:tcBorders>
            <w:shd w:val="clear" w:color="000000" w:fill="CCFFCC"/>
            <w:noWrap/>
            <w:vAlign w:val="bottom"/>
            <w:hideMark/>
          </w:tcPr>
          <w:p w:rsidR="00267A65" w:rsidRPr="00267A65" w:rsidRDefault="00267A65" w:rsidP="00267A65">
            <w:pPr>
              <w:jc w:val="center"/>
              <w:rPr>
                <w:rFonts w:ascii="Lucida Bright" w:hAnsi="Lucida Bright" w:cs="Calibri"/>
                <w:b/>
                <w:bCs/>
                <w:color w:val="000000"/>
                <w:sz w:val="14"/>
                <w:szCs w:val="14"/>
                <w:lang w:val="es-ES"/>
              </w:rPr>
            </w:pPr>
            <w:r w:rsidRPr="00267A65">
              <w:rPr>
                <w:rFonts w:ascii="Lucida Bright" w:hAnsi="Lucida Bright" w:cs="Calibri"/>
                <w:b/>
                <w:bCs/>
                <w:color w:val="000000"/>
                <w:sz w:val="14"/>
                <w:szCs w:val="14"/>
                <w:lang w:val="es-ES"/>
              </w:rPr>
              <w:t>2024</w:t>
            </w:r>
          </w:p>
        </w:tc>
        <w:tc>
          <w:tcPr>
            <w:tcW w:w="1200" w:type="dxa"/>
            <w:tcBorders>
              <w:top w:val="nil"/>
              <w:left w:val="nil"/>
              <w:bottom w:val="single" w:sz="8" w:space="0" w:color="auto"/>
              <w:right w:val="single" w:sz="8" w:space="0" w:color="auto"/>
            </w:tcBorders>
            <w:shd w:val="clear" w:color="000000" w:fill="CCFFCC"/>
            <w:noWrap/>
            <w:vAlign w:val="bottom"/>
            <w:hideMark/>
          </w:tcPr>
          <w:p w:rsidR="00267A65" w:rsidRPr="00267A65" w:rsidRDefault="00267A65" w:rsidP="00267A65">
            <w:pPr>
              <w:jc w:val="center"/>
              <w:rPr>
                <w:rFonts w:ascii="Lucida Bright" w:hAnsi="Lucida Bright" w:cs="Calibri"/>
                <w:b/>
                <w:bCs/>
                <w:color w:val="000000"/>
                <w:sz w:val="14"/>
                <w:szCs w:val="14"/>
                <w:lang w:val="es-ES"/>
              </w:rPr>
            </w:pPr>
            <w:r w:rsidRPr="00267A65">
              <w:rPr>
                <w:rFonts w:ascii="Lucida Bright" w:hAnsi="Lucida Bright" w:cs="Calibri"/>
                <w:b/>
                <w:bCs/>
                <w:color w:val="000000"/>
                <w:sz w:val="14"/>
                <w:szCs w:val="14"/>
                <w:lang w:val="es-ES"/>
              </w:rPr>
              <w:t>2023</w:t>
            </w:r>
          </w:p>
        </w:tc>
      </w:tr>
      <w:tr w:rsidR="00267A65" w:rsidRPr="00267A65" w:rsidTr="00267A65">
        <w:trPr>
          <w:trHeight w:val="225"/>
        </w:trPr>
        <w:tc>
          <w:tcPr>
            <w:tcW w:w="2881" w:type="dxa"/>
            <w:gridSpan w:val="2"/>
            <w:tcBorders>
              <w:top w:val="nil"/>
              <w:left w:val="single" w:sz="8" w:space="0" w:color="auto"/>
              <w:bottom w:val="nil"/>
              <w:right w:val="nil"/>
            </w:tcBorders>
            <w:shd w:val="clear" w:color="auto" w:fill="auto"/>
            <w:noWrap/>
            <w:vAlign w:val="bottom"/>
            <w:hideMark/>
          </w:tcPr>
          <w:p w:rsidR="00267A65" w:rsidRPr="00267A65" w:rsidRDefault="00267A65" w:rsidP="00267A65">
            <w:pPr>
              <w:rPr>
                <w:rFonts w:ascii="Lucida Bright" w:hAnsi="Lucida Bright" w:cs="Calibri"/>
                <w:color w:val="000000"/>
                <w:sz w:val="14"/>
                <w:szCs w:val="14"/>
                <w:lang w:val="es-ES"/>
              </w:rPr>
            </w:pPr>
            <w:r w:rsidRPr="00267A65">
              <w:rPr>
                <w:rFonts w:ascii="Lucida Bright" w:hAnsi="Lucida Bright" w:cs="Calibri"/>
                <w:color w:val="000000"/>
                <w:sz w:val="14"/>
                <w:szCs w:val="14"/>
                <w:lang w:val="es-ES"/>
              </w:rPr>
              <w:t>Hacienda Pública acreedora por I.V.A.</w:t>
            </w:r>
          </w:p>
        </w:tc>
        <w:tc>
          <w:tcPr>
            <w:tcW w:w="1439" w:type="dxa"/>
            <w:tcBorders>
              <w:top w:val="nil"/>
              <w:left w:val="nil"/>
              <w:bottom w:val="nil"/>
              <w:right w:val="nil"/>
            </w:tcBorders>
            <w:shd w:val="clear" w:color="auto" w:fill="auto"/>
            <w:noWrap/>
            <w:vAlign w:val="bottom"/>
            <w:hideMark/>
          </w:tcPr>
          <w:p w:rsidR="00267A65" w:rsidRPr="00267A65" w:rsidRDefault="00267A65" w:rsidP="00267A65">
            <w:pPr>
              <w:rPr>
                <w:rFonts w:ascii="Lucida Bright" w:hAnsi="Lucida Bright" w:cs="Calibri"/>
                <w:color w:val="000000"/>
                <w:sz w:val="14"/>
                <w:szCs w:val="14"/>
                <w:lang w:val="es-ES"/>
              </w:rPr>
            </w:pPr>
          </w:p>
        </w:tc>
        <w:tc>
          <w:tcPr>
            <w:tcW w:w="1200" w:type="dxa"/>
            <w:tcBorders>
              <w:top w:val="nil"/>
              <w:left w:val="single" w:sz="8" w:space="0" w:color="auto"/>
              <w:bottom w:val="nil"/>
              <w:right w:val="single" w:sz="8" w:space="0" w:color="auto"/>
            </w:tcBorders>
            <w:shd w:val="clear" w:color="auto" w:fill="auto"/>
            <w:noWrap/>
            <w:vAlign w:val="bottom"/>
            <w:hideMark/>
          </w:tcPr>
          <w:p w:rsidR="00267A65" w:rsidRPr="00267A65" w:rsidRDefault="00267A65" w:rsidP="00267A65">
            <w:pPr>
              <w:jc w:val="right"/>
              <w:rPr>
                <w:rFonts w:ascii="Lucida Bright" w:hAnsi="Lucida Bright" w:cs="Calibri"/>
                <w:color w:val="000000"/>
                <w:sz w:val="14"/>
                <w:szCs w:val="14"/>
                <w:lang w:val="es-ES"/>
              </w:rPr>
            </w:pPr>
            <w:r w:rsidRPr="00267A65">
              <w:rPr>
                <w:rFonts w:ascii="Lucida Bright" w:hAnsi="Lucida Bright" w:cs="Calibri"/>
                <w:color w:val="000000"/>
                <w:sz w:val="14"/>
                <w:szCs w:val="14"/>
                <w:lang w:val="es-ES"/>
              </w:rPr>
              <w:t>983.928,81</w:t>
            </w:r>
          </w:p>
        </w:tc>
        <w:tc>
          <w:tcPr>
            <w:tcW w:w="1200" w:type="dxa"/>
            <w:tcBorders>
              <w:top w:val="nil"/>
              <w:left w:val="nil"/>
              <w:bottom w:val="nil"/>
              <w:right w:val="single" w:sz="8" w:space="0" w:color="auto"/>
            </w:tcBorders>
            <w:shd w:val="clear" w:color="auto" w:fill="auto"/>
            <w:noWrap/>
            <w:vAlign w:val="bottom"/>
            <w:hideMark/>
          </w:tcPr>
          <w:p w:rsidR="00267A65" w:rsidRPr="00267A65" w:rsidRDefault="00267A65" w:rsidP="00267A65">
            <w:pPr>
              <w:jc w:val="right"/>
              <w:rPr>
                <w:rFonts w:ascii="Lucida Bright" w:hAnsi="Lucida Bright" w:cs="Calibri"/>
                <w:color w:val="000000"/>
                <w:sz w:val="14"/>
                <w:szCs w:val="14"/>
                <w:lang w:val="es-ES"/>
              </w:rPr>
            </w:pPr>
            <w:r w:rsidRPr="00267A65">
              <w:rPr>
                <w:rFonts w:ascii="Lucida Bright" w:hAnsi="Lucida Bright" w:cs="Calibri"/>
                <w:color w:val="000000"/>
                <w:sz w:val="14"/>
                <w:szCs w:val="14"/>
                <w:lang w:val="es-ES"/>
              </w:rPr>
              <w:t>2.032.595,09</w:t>
            </w:r>
          </w:p>
        </w:tc>
      </w:tr>
      <w:tr w:rsidR="00267A65" w:rsidRPr="00267A65" w:rsidTr="00267A65">
        <w:trPr>
          <w:trHeight w:val="225"/>
        </w:trPr>
        <w:tc>
          <w:tcPr>
            <w:tcW w:w="4320" w:type="dxa"/>
            <w:gridSpan w:val="3"/>
            <w:tcBorders>
              <w:top w:val="nil"/>
              <w:left w:val="single" w:sz="8" w:space="0" w:color="auto"/>
              <w:bottom w:val="nil"/>
              <w:right w:val="nil"/>
            </w:tcBorders>
            <w:shd w:val="clear" w:color="auto" w:fill="auto"/>
            <w:noWrap/>
            <w:vAlign w:val="bottom"/>
            <w:hideMark/>
          </w:tcPr>
          <w:p w:rsidR="00267A65" w:rsidRPr="00267A65" w:rsidRDefault="00267A65" w:rsidP="00267A65">
            <w:pPr>
              <w:rPr>
                <w:rFonts w:ascii="Lucida Bright" w:hAnsi="Lucida Bright" w:cs="Calibri"/>
                <w:color w:val="000000"/>
                <w:sz w:val="14"/>
                <w:szCs w:val="14"/>
                <w:lang w:val="es-ES"/>
              </w:rPr>
            </w:pPr>
            <w:r w:rsidRPr="00267A65">
              <w:rPr>
                <w:rFonts w:ascii="Lucida Bright" w:hAnsi="Lucida Bright" w:cs="Calibri"/>
                <w:color w:val="000000"/>
                <w:sz w:val="14"/>
                <w:szCs w:val="14"/>
                <w:lang w:val="es-ES"/>
              </w:rPr>
              <w:t>Hacienda Pública acreedora por retenciones IRPF/IS</w:t>
            </w:r>
          </w:p>
        </w:tc>
        <w:tc>
          <w:tcPr>
            <w:tcW w:w="1200" w:type="dxa"/>
            <w:tcBorders>
              <w:top w:val="nil"/>
              <w:left w:val="single" w:sz="8" w:space="0" w:color="auto"/>
              <w:bottom w:val="nil"/>
              <w:right w:val="single" w:sz="8" w:space="0" w:color="auto"/>
            </w:tcBorders>
            <w:shd w:val="clear" w:color="auto" w:fill="auto"/>
            <w:noWrap/>
            <w:vAlign w:val="bottom"/>
            <w:hideMark/>
          </w:tcPr>
          <w:p w:rsidR="00267A65" w:rsidRPr="00267A65" w:rsidRDefault="00267A65" w:rsidP="00267A65">
            <w:pPr>
              <w:jc w:val="right"/>
              <w:rPr>
                <w:rFonts w:ascii="Lucida Bright" w:hAnsi="Lucida Bright" w:cs="Calibri"/>
                <w:color w:val="000000"/>
                <w:sz w:val="14"/>
                <w:szCs w:val="14"/>
                <w:lang w:val="es-ES"/>
              </w:rPr>
            </w:pPr>
            <w:r w:rsidRPr="00267A65">
              <w:rPr>
                <w:rFonts w:ascii="Lucida Bright" w:hAnsi="Lucida Bright" w:cs="Calibri"/>
                <w:color w:val="000000"/>
                <w:sz w:val="14"/>
                <w:szCs w:val="14"/>
                <w:lang w:val="es-ES"/>
              </w:rPr>
              <w:t>384.747,57</w:t>
            </w:r>
          </w:p>
        </w:tc>
        <w:tc>
          <w:tcPr>
            <w:tcW w:w="1200" w:type="dxa"/>
            <w:tcBorders>
              <w:top w:val="nil"/>
              <w:left w:val="nil"/>
              <w:bottom w:val="nil"/>
              <w:right w:val="single" w:sz="8" w:space="0" w:color="auto"/>
            </w:tcBorders>
            <w:shd w:val="clear" w:color="auto" w:fill="auto"/>
            <w:noWrap/>
            <w:vAlign w:val="bottom"/>
            <w:hideMark/>
          </w:tcPr>
          <w:p w:rsidR="00267A65" w:rsidRPr="00267A65" w:rsidRDefault="00267A65" w:rsidP="00267A65">
            <w:pPr>
              <w:jc w:val="right"/>
              <w:rPr>
                <w:rFonts w:ascii="Lucida Bright" w:hAnsi="Lucida Bright" w:cs="Calibri"/>
                <w:color w:val="000000"/>
                <w:sz w:val="14"/>
                <w:szCs w:val="14"/>
                <w:lang w:val="es-ES"/>
              </w:rPr>
            </w:pPr>
            <w:r w:rsidRPr="00267A65">
              <w:rPr>
                <w:rFonts w:ascii="Lucida Bright" w:hAnsi="Lucida Bright" w:cs="Calibri"/>
                <w:color w:val="000000"/>
                <w:sz w:val="14"/>
                <w:szCs w:val="14"/>
                <w:lang w:val="es-ES"/>
              </w:rPr>
              <w:t>401.440,81</w:t>
            </w:r>
          </w:p>
        </w:tc>
      </w:tr>
      <w:tr w:rsidR="00267A65" w:rsidRPr="00267A65" w:rsidTr="00267A65">
        <w:trPr>
          <w:trHeight w:val="225"/>
        </w:trPr>
        <w:tc>
          <w:tcPr>
            <w:tcW w:w="4320" w:type="dxa"/>
            <w:gridSpan w:val="3"/>
            <w:tcBorders>
              <w:top w:val="nil"/>
              <w:left w:val="single" w:sz="8" w:space="0" w:color="auto"/>
              <w:bottom w:val="nil"/>
              <w:right w:val="nil"/>
            </w:tcBorders>
            <w:shd w:val="clear" w:color="auto" w:fill="auto"/>
            <w:noWrap/>
            <w:vAlign w:val="bottom"/>
            <w:hideMark/>
          </w:tcPr>
          <w:p w:rsidR="00267A65" w:rsidRPr="00267A65" w:rsidRDefault="00267A65" w:rsidP="00267A65">
            <w:pPr>
              <w:rPr>
                <w:rFonts w:ascii="Lucida Bright" w:hAnsi="Lucida Bright" w:cs="Calibri"/>
                <w:color w:val="000000"/>
                <w:sz w:val="14"/>
                <w:szCs w:val="14"/>
                <w:lang w:val="es-ES"/>
              </w:rPr>
            </w:pPr>
            <w:r w:rsidRPr="00267A65">
              <w:rPr>
                <w:rFonts w:ascii="Lucida Bright" w:hAnsi="Lucida Bright" w:cs="Calibri"/>
                <w:color w:val="000000"/>
                <w:sz w:val="14"/>
                <w:szCs w:val="14"/>
                <w:lang w:val="es-ES"/>
              </w:rPr>
              <w:t>Organismos de la Seguridad Social acreedor</w:t>
            </w:r>
          </w:p>
        </w:tc>
        <w:tc>
          <w:tcPr>
            <w:tcW w:w="1200" w:type="dxa"/>
            <w:tcBorders>
              <w:top w:val="nil"/>
              <w:left w:val="single" w:sz="8" w:space="0" w:color="auto"/>
              <w:bottom w:val="nil"/>
              <w:right w:val="single" w:sz="8" w:space="0" w:color="auto"/>
            </w:tcBorders>
            <w:shd w:val="clear" w:color="auto" w:fill="auto"/>
            <w:noWrap/>
            <w:vAlign w:val="bottom"/>
            <w:hideMark/>
          </w:tcPr>
          <w:p w:rsidR="00267A65" w:rsidRPr="00267A65" w:rsidRDefault="00267A65" w:rsidP="00267A65">
            <w:pPr>
              <w:jc w:val="right"/>
              <w:rPr>
                <w:rFonts w:ascii="Lucida Bright" w:hAnsi="Lucida Bright" w:cs="Calibri"/>
                <w:color w:val="000000"/>
                <w:sz w:val="14"/>
                <w:szCs w:val="14"/>
                <w:lang w:val="es-ES"/>
              </w:rPr>
            </w:pPr>
            <w:r w:rsidRPr="00267A65">
              <w:rPr>
                <w:rFonts w:ascii="Lucida Bright" w:hAnsi="Lucida Bright" w:cs="Calibri"/>
                <w:color w:val="000000"/>
                <w:sz w:val="14"/>
                <w:szCs w:val="14"/>
                <w:lang w:val="es-ES"/>
              </w:rPr>
              <w:t>565.693,37</w:t>
            </w:r>
          </w:p>
        </w:tc>
        <w:tc>
          <w:tcPr>
            <w:tcW w:w="1200" w:type="dxa"/>
            <w:tcBorders>
              <w:top w:val="nil"/>
              <w:left w:val="nil"/>
              <w:bottom w:val="nil"/>
              <w:right w:val="single" w:sz="8" w:space="0" w:color="auto"/>
            </w:tcBorders>
            <w:shd w:val="clear" w:color="auto" w:fill="auto"/>
            <w:noWrap/>
            <w:vAlign w:val="bottom"/>
            <w:hideMark/>
          </w:tcPr>
          <w:p w:rsidR="00267A65" w:rsidRPr="00267A65" w:rsidRDefault="00267A65" w:rsidP="00267A65">
            <w:pPr>
              <w:jc w:val="right"/>
              <w:rPr>
                <w:rFonts w:ascii="Lucida Bright" w:hAnsi="Lucida Bright" w:cs="Calibri"/>
                <w:color w:val="000000"/>
                <w:sz w:val="14"/>
                <w:szCs w:val="14"/>
                <w:lang w:val="es-ES"/>
              </w:rPr>
            </w:pPr>
            <w:r w:rsidRPr="00267A65">
              <w:rPr>
                <w:rFonts w:ascii="Lucida Bright" w:hAnsi="Lucida Bright" w:cs="Calibri"/>
                <w:color w:val="000000"/>
                <w:sz w:val="14"/>
                <w:szCs w:val="14"/>
                <w:lang w:val="es-ES"/>
              </w:rPr>
              <w:t>522.448,82</w:t>
            </w:r>
          </w:p>
        </w:tc>
      </w:tr>
      <w:tr w:rsidR="00267A65" w:rsidRPr="00267A65" w:rsidTr="00267A65">
        <w:trPr>
          <w:trHeight w:val="240"/>
        </w:trPr>
        <w:tc>
          <w:tcPr>
            <w:tcW w:w="2881" w:type="dxa"/>
            <w:gridSpan w:val="2"/>
            <w:tcBorders>
              <w:top w:val="nil"/>
              <w:left w:val="single" w:sz="8" w:space="0" w:color="auto"/>
              <w:bottom w:val="nil"/>
              <w:right w:val="nil"/>
            </w:tcBorders>
            <w:shd w:val="clear" w:color="auto" w:fill="auto"/>
            <w:noWrap/>
            <w:vAlign w:val="bottom"/>
            <w:hideMark/>
          </w:tcPr>
          <w:p w:rsidR="00267A65" w:rsidRPr="00267A65" w:rsidRDefault="00267A65" w:rsidP="00267A65">
            <w:pPr>
              <w:rPr>
                <w:rFonts w:ascii="Lucida Bright" w:hAnsi="Lucida Bright" w:cs="Calibri"/>
                <w:color w:val="000000"/>
                <w:sz w:val="14"/>
                <w:szCs w:val="14"/>
                <w:lang w:val="es-ES"/>
              </w:rPr>
            </w:pPr>
            <w:r w:rsidRPr="00267A65">
              <w:rPr>
                <w:rFonts w:ascii="Lucida Bright" w:hAnsi="Lucida Bright" w:cs="Calibri"/>
                <w:color w:val="000000"/>
                <w:sz w:val="14"/>
                <w:szCs w:val="14"/>
                <w:lang w:val="es-ES"/>
              </w:rPr>
              <w:t>Subvenciones oficiales, anticipos</w:t>
            </w:r>
          </w:p>
        </w:tc>
        <w:tc>
          <w:tcPr>
            <w:tcW w:w="1439" w:type="dxa"/>
            <w:tcBorders>
              <w:top w:val="nil"/>
              <w:left w:val="nil"/>
              <w:bottom w:val="nil"/>
              <w:right w:val="nil"/>
            </w:tcBorders>
            <w:shd w:val="clear" w:color="auto" w:fill="auto"/>
            <w:noWrap/>
            <w:vAlign w:val="bottom"/>
            <w:hideMark/>
          </w:tcPr>
          <w:p w:rsidR="00267A65" w:rsidRPr="00267A65" w:rsidRDefault="00267A65" w:rsidP="00267A65">
            <w:pPr>
              <w:rPr>
                <w:rFonts w:ascii="Lucida Bright" w:hAnsi="Lucida Bright" w:cs="Calibri"/>
                <w:color w:val="000000"/>
                <w:sz w:val="14"/>
                <w:szCs w:val="14"/>
                <w:lang w:val="es-ES"/>
              </w:rPr>
            </w:pP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267A65" w:rsidRPr="00267A65" w:rsidRDefault="00267A65" w:rsidP="00267A65">
            <w:pPr>
              <w:jc w:val="right"/>
              <w:rPr>
                <w:rFonts w:ascii="Lucida Bright" w:hAnsi="Lucida Bright" w:cs="Calibri"/>
                <w:color w:val="000000"/>
                <w:sz w:val="14"/>
                <w:szCs w:val="14"/>
                <w:lang w:val="es-ES"/>
              </w:rPr>
            </w:pPr>
            <w:r w:rsidRPr="00267A65">
              <w:rPr>
                <w:rFonts w:ascii="Lucida Bright" w:hAnsi="Lucida Bright" w:cs="Calibri"/>
                <w:color w:val="000000"/>
                <w:sz w:val="14"/>
                <w:szCs w:val="14"/>
                <w:lang w:val="es-ES"/>
              </w:rPr>
              <w:t>432.319,42</w:t>
            </w:r>
          </w:p>
        </w:tc>
        <w:tc>
          <w:tcPr>
            <w:tcW w:w="1200" w:type="dxa"/>
            <w:tcBorders>
              <w:top w:val="nil"/>
              <w:left w:val="nil"/>
              <w:bottom w:val="single" w:sz="8" w:space="0" w:color="auto"/>
              <w:right w:val="single" w:sz="8" w:space="0" w:color="auto"/>
            </w:tcBorders>
            <w:shd w:val="clear" w:color="auto" w:fill="auto"/>
            <w:noWrap/>
            <w:vAlign w:val="bottom"/>
            <w:hideMark/>
          </w:tcPr>
          <w:p w:rsidR="00267A65" w:rsidRPr="00267A65" w:rsidRDefault="00267A65" w:rsidP="00267A65">
            <w:pPr>
              <w:jc w:val="right"/>
              <w:rPr>
                <w:rFonts w:ascii="Lucida Bright" w:hAnsi="Lucida Bright" w:cs="Calibri"/>
                <w:color w:val="000000"/>
                <w:sz w:val="14"/>
                <w:szCs w:val="14"/>
                <w:lang w:val="es-ES"/>
              </w:rPr>
            </w:pPr>
            <w:r w:rsidRPr="00267A65">
              <w:rPr>
                <w:rFonts w:ascii="Lucida Bright" w:hAnsi="Lucida Bright" w:cs="Calibri"/>
                <w:color w:val="000000"/>
                <w:sz w:val="14"/>
                <w:szCs w:val="14"/>
                <w:lang w:val="es-ES"/>
              </w:rPr>
              <w:t>481.115,62</w:t>
            </w:r>
          </w:p>
        </w:tc>
      </w:tr>
      <w:tr w:rsidR="00267A65" w:rsidRPr="00267A65" w:rsidTr="00267A65">
        <w:trPr>
          <w:trHeight w:val="240"/>
        </w:trPr>
        <w:tc>
          <w:tcPr>
            <w:tcW w:w="1442" w:type="dxa"/>
            <w:tcBorders>
              <w:top w:val="nil"/>
              <w:left w:val="single" w:sz="8" w:space="0" w:color="auto"/>
              <w:bottom w:val="single" w:sz="8" w:space="0" w:color="auto"/>
              <w:right w:val="nil"/>
            </w:tcBorders>
            <w:shd w:val="clear" w:color="auto" w:fill="auto"/>
            <w:noWrap/>
            <w:vAlign w:val="bottom"/>
            <w:hideMark/>
          </w:tcPr>
          <w:p w:rsidR="00267A65" w:rsidRPr="00267A65" w:rsidRDefault="00267A65" w:rsidP="00267A65">
            <w:pPr>
              <w:rPr>
                <w:rFonts w:ascii="Lucida Bright" w:hAnsi="Lucida Bright" w:cs="Calibri"/>
                <w:color w:val="000000"/>
                <w:sz w:val="16"/>
                <w:szCs w:val="16"/>
                <w:lang w:val="es-ES"/>
              </w:rPr>
            </w:pPr>
            <w:r w:rsidRPr="00267A65">
              <w:rPr>
                <w:rFonts w:ascii="Lucida Bright" w:hAnsi="Lucida Bright" w:cs="Calibri"/>
                <w:color w:val="000000"/>
                <w:sz w:val="16"/>
                <w:szCs w:val="16"/>
                <w:lang w:val="es-ES"/>
              </w:rPr>
              <w:t> </w:t>
            </w:r>
          </w:p>
        </w:tc>
        <w:tc>
          <w:tcPr>
            <w:tcW w:w="1439" w:type="dxa"/>
            <w:tcBorders>
              <w:top w:val="nil"/>
              <w:left w:val="nil"/>
              <w:bottom w:val="single" w:sz="8" w:space="0" w:color="auto"/>
              <w:right w:val="nil"/>
            </w:tcBorders>
            <w:shd w:val="clear" w:color="auto" w:fill="auto"/>
            <w:noWrap/>
            <w:vAlign w:val="bottom"/>
            <w:hideMark/>
          </w:tcPr>
          <w:p w:rsidR="00267A65" w:rsidRPr="00267A65" w:rsidRDefault="00267A65" w:rsidP="00267A65">
            <w:pPr>
              <w:rPr>
                <w:rFonts w:ascii="Lucida Bright" w:hAnsi="Lucida Bright" w:cs="Calibri"/>
                <w:color w:val="000000"/>
                <w:sz w:val="16"/>
                <w:szCs w:val="16"/>
                <w:lang w:val="es-ES"/>
              </w:rPr>
            </w:pPr>
            <w:r w:rsidRPr="00267A65">
              <w:rPr>
                <w:rFonts w:ascii="Lucida Bright" w:hAnsi="Lucida Bright" w:cs="Calibri"/>
                <w:color w:val="000000"/>
                <w:sz w:val="16"/>
                <w:szCs w:val="16"/>
                <w:lang w:val="es-ES"/>
              </w:rPr>
              <w:t> </w:t>
            </w:r>
          </w:p>
        </w:tc>
        <w:tc>
          <w:tcPr>
            <w:tcW w:w="1439" w:type="dxa"/>
            <w:tcBorders>
              <w:top w:val="nil"/>
              <w:left w:val="nil"/>
              <w:bottom w:val="single" w:sz="8" w:space="0" w:color="auto"/>
              <w:right w:val="nil"/>
            </w:tcBorders>
            <w:shd w:val="clear" w:color="auto" w:fill="auto"/>
            <w:noWrap/>
            <w:vAlign w:val="bottom"/>
            <w:hideMark/>
          </w:tcPr>
          <w:p w:rsidR="00267A65" w:rsidRPr="00267A65" w:rsidRDefault="00267A65" w:rsidP="00267A65">
            <w:pPr>
              <w:rPr>
                <w:rFonts w:ascii="Lucida Bright" w:hAnsi="Lucida Bright" w:cs="Calibri"/>
                <w:color w:val="000000"/>
                <w:sz w:val="16"/>
                <w:szCs w:val="16"/>
                <w:lang w:val="es-ES"/>
              </w:rPr>
            </w:pPr>
            <w:r w:rsidRPr="00267A65">
              <w:rPr>
                <w:rFonts w:ascii="Lucida Bright" w:hAnsi="Lucida Bright" w:cs="Calibri"/>
                <w:color w:val="000000"/>
                <w:sz w:val="16"/>
                <w:szCs w:val="16"/>
                <w:lang w:val="es-ES"/>
              </w:rPr>
              <w:t>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267A65" w:rsidRPr="00267A65" w:rsidRDefault="00267A65" w:rsidP="00267A65">
            <w:pPr>
              <w:jc w:val="right"/>
              <w:rPr>
                <w:rFonts w:ascii="Lucida Bright" w:hAnsi="Lucida Bright" w:cs="Calibri"/>
                <w:b/>
                <w:bCs/>
                <w:color w:val="000000"/>
                <w:sz w:val="14"/>
                <w:szCs w:val="14"/>
                <w:lang w:val="es-ES"/>
              </w:rPr>
            </w:pPr>
            <w:r w:rsidRPr="00267A65">
              <w:rPr>
                <w:rFonts w:ascii="Lucida Bright" w:hAnsi="Lucida Bright" w:cs="Calibri"/>
                <w:b/>
                <w:bCs/>
                <w:color w:val="000000"/>
                <w:sz w:val="14"/>
                <w:szCs w:val="14"/>
                <w:lang w:val="es-ES"/>
              </w:rPr>
              <w:t>2.366.689,17</w:t>
            </w:r>
          </w:p>
        </w:tc>
        <w:tc>
          <w:tcPr>
            <w:tcW w:w="1200" w:type="dxa"/>
            <w:tcBorders>
              <w:top w:val="nil"/>
              <w:left w:val="nil"/>
              <w:bottom w:val="single" w:sz="8" w:space="0" w:color="auto"/>
              <w:right w:val="single" w:sz="8" w:space="0" w:color="auto"/>
            </w:tcBorders>
            <w:shd w:val="clear" w:color="auto" w:fill="auto"/>
            <w:noWrap/>
            <w:vAlign w:val="bottom"/>
            <w:hideMark/>
          </w:tcPr>
          <w:p w:rsidR="00267A65" w:rsidRPr="00267A65" w:rsidRDefault="00267A65" w:rsidP="00267A65">
            <w:pPr>
              <w:jc w:val="right"/>
              <w:rPr>
                <w:rFonts w:ascii="Lucida Bright" w:hAnsi="Lucida Bright" w:cs="Calibri"/>
                <w:b/>
                <w:bCs/>
                <w:color w:val="000000"/>
                <w:sz w:val="14"/>
                <w:szCs w:val="14"/>
                <w:lang w:val="es-ES"/>
              </w:rPr>
            </w:pPr>
            <w:r w:rsidRPr="00267A65">
              <w:rPr>
                <w:rFonts w:ascii="Lucida Bright" w:hAnsi="Lucida Bright" w:cs="Calibri"/>
                <w:b/>
                <w:bCs/>
                <w:color w:val="000000"/>
                <w:sz w:val="14"/>
                <w:szCs w:val="14"/>
                <w:lang w:val="es-ES"/>
              </w:rPr>
              <w:t>3.437.600,34</w:t>
            </w:r>
          </w:p>
        </w:tc>
      </w:tr>
    </w:tbl>
    <w:p w:rsidR="00EE1C6F" w:rsidRDefault="00EE1C6F">
      <w:pPr>
        <w:tabs>
          <w:tab w:val="right" w:pos="8364"/>
        </w:tabs>
        <w:ind w:firstLine="540"/>
        <w:jc w:val="both"/>
        <w:rPr>
          <w:bCs/>
        </w:rPr>
      </w:pPr>
    </w:p>
    <w:p w:rsidR="00F963DD" w:rsidRDefault="00F963DD">
      <w:pPr>
        <w:tabs>
          <w:tab w:val="right" w:pos="8364"/>
        </w:tabs>
        <w:ind w:firstLine="540"/>
        <w:jc w:val="both"/>
        <w:rPr>
          <w:rFonts w:ascii="NewBaskerville" w:hAnsi="NewBaskerville"/>
          <w:bCs/>
          <w:u w:val="single"/>
        </w:rPr>
      </w:pPr>
    </w:p>
    <w:p w:rsidR="00F963DD" w:rsidRDefault="00F963DD">
      <w:pPr>
        <w:tabs>
          <w:tab w:val="right" w:pos="8364"/>
        </w:tabs>
        <w:ind w:firstLine="540"/>
        <w:jc w:val="both"/>
        <w:rPr>
          <w:rFonts w:ascii="NewBaskerville" w:hAnsi="NewBaskerville"/>
          <w:bCs/>
          <w:u w:val="single"/>
        </w:rPr>
      </w:pPr>
    </w:p>
    <w:p w:rsidR="00F963DD" w:rsidRDefault="00F963DD">
      <w:pPr>
        <w:tabs>
          <w:tab w:val="right" w:pos="8364"/>
        </w:tabs>
        <w:ind w:firstLine="540"/>
        <w:jc w:val="both"/>
        <w:rPr>
          <w:rFonts w:ascii="NewBaskerville" w:hAnsi="NewBaskerville"/>
          <w:bCs/>
          <w:u w:val="single"/>
        </w:rPr>
        <w:sectPr w:rsidR="00F963DD" w:rsidSect="00304E6C">
          <w:pgSz w:w="11907" w:h="16840" w:code="9"/>
          <w:pgMar w:top="1701" w:right="1418" w:bottom="1701" w:left="1276" w:header="567" w:footer="720" w:gutter="0"/>
          <w:cols w:space="720"/>
          <w:docGrid w:linePitch="272"/>
        </w:sectPr>
      </w:pPr>
    </w:p>
    <w:p w:rsidR="00F963DD" w:rsidRDefault="00F963DD">
      <w:pPr>
        <w:tabs>
          <w:tab w:val="right" w:pos="8364"/>
        </w:tabs>
        <w:ind w:firstLine="540"/>
        <w:jc w:val="both"/>
        <w:rPr>
          <w:rFonts w:ascii="NewBaskerville" w:hAnsi="NewBaskerville"/>
          <w:bCs/>
          <w:u w:val="single"/>
        </w:rPr>
      </w:pPr>
    </w:p>
    <w:p w:rsidR="00F86C94" w:rsidRDefault="00F86C94">
      <w:pPr>
        <w:tabs>
          <w:tab w:val="right" w:pos="8364"/>
        </w:tabs>
        <w:ind w:firstLine="540"/>
        <w:jc w:val="both"/>
        <w:rPr>
          <w:rFonts w:ascii="NewBaskerville" w:hAnsi="NewBaskerville"/>
          <w:bCs/>
          <w:u w:val="single"/>
        </w:rPr>
      </w:pPr>
      <w:r w:rsidRPr="00C7435A">
        <w:rPr>
          <w:rFonts w:ascii="NewBaskerville" w:hAnsi="NewBaskerville"/>
          <w:bCs/>
          <w:u w:val="single"/>
        </w:rPr>
        <w:t>Conciliación resultado contable y base imponible fiscal.</w:t>
      </w:r>
    </w:p>
    <w:p w:rsidR="00CA21B8" w:rsidRPr="00C7435A" w:rsidRDefault="00CA21B8">
      <w:pPr>
        <w:tabs>
          <w:tab w:val="right" w:pos="8364"/>
        </w:tabs>
        <w:ind w:firstLine="540"/>
        <w:jc w:val="both"/>
        <w:rPr>
          <w:rFonts w:ascii="NewBaskerville" w:hAnsi="NewBaskerville"/>
          <w:bCs/>
        </w:rPr>
      </w:pPr>
    </w:p>
    <w:p w:rsidR="00C7435A" w:rsidRDefault="0010198F" w:rsidP="00C7435A">
      <w:pPr>
        <w:tabs>
          <w:tab w:val="right" w:pos="8364"/>
        </w:tabs>
        <w:ind w:firstLine="540"/>
        <w:jc w:val="both"/>
        <w:rPr>
          <w:rFonts w:ascii="NewBaskerville" w:hAnsi="NewBaskerville"/>
          <w:bCs/>
        </w:rPr>
      </w:pPr>
      <w:r w:rsidRPr="00C7435A">
        <w:rPr>
          <w:rFonts w:ascii="NewBaskerville" w:hAnsi="NewBaskerville"/>
          <w:bCs/>
        </w:rPr>
        <w:t>La conciliación entre los ingresos y gastos del ejercicio y la base imponible del Impuesto sobre Sociedades es la siguiente:</w:t>
      </w:r>
    </w:p>
    <w:p w:rsidR="00F963DD" w:rsidRDefault="00F963DD" w:rsidP="00E0015A">
      <w:pPr>
        <w:tabs>
          <w:tab w:val="right" w:pos="8364"/>
        </w:tabs>
        <w:jc w:val="both"/>
        <w:rPr>
          <w:bCs/>
          <w:sz w:val="16"/>
          <w:szCs w:val="16"/>
        </w:rPr>
      </w:pPr>
    </w:p>
    <w:tbl>
      <w:tblPr>
        <w:tblW w:w="13323" w:type="dxa"/>
        <w:tblInd w:w="55" w:type="dxa"/>
        <w:tblCellMar>
          <w:left w:w="70" w:type="dxa"/>
          <w:right w:w="70" w:type="dxa"/>
        </w:tblCellMar>
        <w:tblLook w:val="04A0" w:firstRow="1" w:lastRow="0" w:firstColumn="1" w:lastColumn="0" w:noHBand="0" w:noVBand="1"/>
      </w:tblPr>
      <w:tblGrid>
        <w:gridCol w:w="1226"/>
        <w:gridCol w:w="1212"/>
        <w:gridCol w:w="832"/>
        <w:gridCol w:w="1640"/>
        <w:gridCol w:w="1710"/>
        <w:gridCol w:w="1475"/>
        <w:gridCol w:w="1437"/>
        <w:gridCol w:w="1398"/>
        <w:gridCol w:w="100"/>
        <w:gridCol w:w="1166"/>
        <w:gridCol w:w="1127"/>
      </w:tblGrid>
      <w:tr w:rsidR="00875E51" w:rsidRPr="00875E51" w:rsidTr="00875E51">
        <w:trPr>
          <w:trHeight w:val="182"/>
        </w:trPr>
        <w:tc>
          <w:tcPr>
            <w:tcW w:w="11030" w:type="dxa"/>
            <w:gridSpan w:val="9"/>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b/>
                <w:bCs/>
                <w:color w:val="000000"/>
                <w:sz w:val="18"/>
                <w:szCs w:val="18"/>
                <w:lang w:val="es-ES"/>
              </w:rPr>
            </w:pPr>
            <w:r w:rsidRPr="00875E51">
              <w:rPr>
                <w:rFonts w:ascii="Lucida Bright" w:hAnsi="Lucida Bright" w:cs="Calibri"/>
                <w:b/>
                <w:bCs/>
                <w:color w:val="000000"/>
                <w:sz w:val="18"/>
                <w:szCs w:val="18"/>
                <w:lang w:val="es-ES"/>
              </w:rPr>
              <w:t>Ejercicio 2024. Conciliación resultado contable y base imponible fiscal.</w:t>
            </w:r>
          </w:p>
        </w:tc>
        <w:tc>
          <w:tcPr>
            <w:tcW w:w="1166" w:type="dxa"/>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6"/>
                <w:szCs w:val="16"/>
                <w:lang w:val="es-ES"/>
              </w:rPr>
            </w:pPr>
          </w:p>
        </w:tc>
        <w:tc>
          <w:tcPr>
            <w:tcW w:w="1127" w:type="dxa"/>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6"/>
                <w:szCs w:val="16"/>
                <w:lang w:val="es-ES"/>
              </w:rPr>
            </w:pPr>
          </w:p>
        </w:tc>
      </w:tr>
      <w:tr w:rsidR="00875E51" w:rsidRPr="00875E51" w:rsidTr="00875E51">
        <w:trPr>
          <w:trHeight w:val="172"/>
        </w:trPr>
        <w:tc>
          <w:tcPr>
            <w:tcW w:w="1226" w:type="dxa"/>
            <w:tcBorders>
              <w:top w:val="single" w:sz="8" w:space="0" w:color="auto"/>
              <w:left w:val="single" w:sz="8" w:space="0" w:color="auto"/>
              <w:bottom w:val="nil"/>
              <w:right w:val="nil"/>
            </w:tcBorders>
            <w:shd w:val="clear" w:color="000000" w:fill="CCFFCC"/>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12" w:type="dxa"/>
            <w:tcBorders>
              <w:top w:val="single" w:sz="8" w:space="0" w:color="auto"/>
              <w:left w:val="nil"/>
              <w:bottom w:val="nil"/>
              <w:right w:val="nil"/>
            </w:tcBorders>
            <w:shd w:val="clear" w:color="000000" w:fill="CCFFCC"/>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832" w:type="dxa"/>
            <w:tcBorders>
              <w:top w:val="single" w:sz="8" w:space="0" w:color="auto"/>
              <w:left w:val="nil"/>
              <w:bottom w:val="nil"/>
              <w:right w:val="single" w:sz="8" w:space="0" w:color="auto"/>
            </w:tcBorders>
            <w:shd w:val="clear" w:color="000000" w:fill="CCFFCC"/>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0053" w:type="dxa"/>
            <w:gridSpan w:val="8"/>
            <w:tcBorders>
              <w:top w:val="single" w:sz="8" w:space="0" w:color="auto"/>
              <w:left w:val="nil"/>
              <w:bottom w:val="single" w:sz="8" w:space="0" w:color="auto"/>
              <w:right w:val="single" w:sz="8" w:space="0" w:color="000000"/>
            </w:tcBorders>
            <w:shd w:val="clear" w:color="000000" w:fill="CCFFCC"/>
            <w:vAlign w:val="bottom"/>
            <w:hideMark/>
          </w:tcPr>
          <w:p w:rsidR="00875E51" w:rsidRPr="00875E51" w:rsidRDefault="00875E51" w:rsidP="00875E51">
            <w:pPr>
              <w:jc w:val="cente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Euros</w:t>
            </w:r>
          </w:p>
        </w:tc>
      </w:tr>
      <w:tr w:rsidR="00875E51" w:rsidRPr="00875E51" w:rsidTr="00875E51">
        <w:trPr>
          <w:trHeight w:val="568"/>
        </w:trPr>
        <w:tc>
          <w:tcPr>
            <w:tcW w:w="1226" w:type="dxa"/>
            <w:tcBorders>
              <w:top w:val="nil"/>
              <w:left w:val="single" w:sz="8" w:space="0" w:color="auto"/>
              <w:bottom w:val="single" w:sz="8" w:space="0" w:color="auto"/>
              <w:right w:val="nil"/>
            </w:tcBorders>
            <w:shd w:val="clear" w:color="000000" w:fill="CCFFCC"/>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12" w:type="dxa"/>
            <w:tcBorders>
              <w:top w:val="nil"/>
              <w:left w:val="nil"/>
              <w:bottom w:val="single" w:sz="8" w:space="0" w:color="auto"/>
              <w:right w:val="nil"/>
            </w:tcBorders>
            <w:shd w:val="clear" w:color="000000" w:fill="CCFFCC"/>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832" w:type="dxa"/>
            <w:tcBorders>
              <w:top w:val="nil"/>
              <w:left w:val="nil"/>
              <w:bottom w:val="single" w:sz="8" w:space="0" w:color="auto"/>
              <w:right w:val="single" w:sz="8" w:space="0" w:color="auto"/>
            </w:tcBorders>
            <w:shd w:val="clear" w:color="000000" w:fill="CCFFCC"/>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3350" w:type="dxa"/>
            <w:gridSpan w:val="2"/>
            <w:tcBorders>
              <w:top w:val="single" w:sz="8" w:space="0" w:color="auto"/>
              <w:left w:val="nil"/>
              <w:bottom w:val="single" w:sz="8" w:space="0" w:color="auto"/>
              <w:right w:val="single" w:sz="8" w:space="0" w:color="auto"/>
            </w:tcBorders>
            <w:shd w:val="clear" w:color="000000" w:fill="CCFFCC"/>
            <w:vAlign w:val="bottom"/>
            <w:hideMark/>
          </w:tcPr>
          <w:p w:rsidR="00875E51" w:rsidRPr="00875E51" w:rsidRDefault="00875E51" w:rsidP="00875E51">
            <w:pPr>
              <w:jc w:val="cente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Cuenta de Pérdidas y Ganancias</w:t>
            </w:r>
          </w:p>
        </w:tc>
        <w:tc>
          <w:tcPr>
            <w:tcW w:w="2912" w:type="dxa"/>
            <w:gridSpan w:val="2"/>
            <w:tcBorders>
              <w:top w:val="single" w:sz="8" w:space="0" w:color="auto"/>
              <w:left w:val="nil"/>
              <w:bottom w:val="single" w:sz="8" w:space="0" w:color="auto"/>
              <w:right w:val="single" w:sz="8" w:space="0" w:color="auto"/>
            </w:tcBorders>
            <w:shd w:val="clear" w:color="000000" w:fill="CCFFCC"/>
            <w:vAlign w:val="bottom"/>
            <w:hideMark/>
          </w:tcPr>
          <w:p w:rsidR="00875E51" w:rsidRPr="00875E51" w:rsidRDefault="00875E51" w:rsidP="00875E51">
            <w:pPr>
              <w:jc w:val="cente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Ingresos y Gastos Directamente Imputados al Patrimonio</w:t>
            </w:r>
          </w:p>
        </w:tc>
        <w:tc>
          <w:tcPr>
            <w:tcW w:w="2664" w:type="dxa"/>
            <w:gridSpan w:val="3"/>
            <w:tcBorders>
              <w:top w:val="single" w:sz="8" w:space="0" w:color="auto"/>
              <w:left w:val="nil"/>
              <w:bottom w:val="single" w:sz="8" w:space="0" w:color="auto"/>
              <w:right w:val="single" w:sz="8" w:space="0" w:color="auto"/>
            </w:tcBorders>
            <w:shd w:val="clear" w:color="000000" w:fill="CCFFCC"/>
            <w:vAlign w:val="bottom"/>
            <w:hideMark/>
          </w:tcPr>
          <w:p w:rsidR="00875E51" w:rsidRPr="00875E51" w:rsidRDefault="00875E51" w:rsidP="00875E51">
            <w:pPr>
              <w:jc w:val="cente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Reservas</w:t>
            </w:r>
          </w:p>
        </w:tc>
        <w:tc>
          <w:tcPr>
            <w:tcW w:w="1127" w:type="dxa"/>
            <w:tcBorders>
              <w:top w:val="nil"/>
              <w:left w:val="nil"/>
              <w:bottom w:val="single" w:sz="8" w:space="0" w:color="auto"/>
              <w:right w:val="single" w:sz="8" w:space="0" w:color="auto"/>
            </w:tcBorders>
            <w:shd w:val="clear" w:color="000000" w:fill="CCFFCC"/>
            <w:noWrap/>
            <w:vAlign w:val="bottom"/>
            <w:hideMark/>
          </w:tcPr>
          <w:p w:rsidR="00875E51" w:rsidRPr="00875E51" w:rsidRDefault="00875E51" w:rsidP="00875E51">
            <w:pPr>
              <w:jc w:val="cente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Total</w:t>
            </w:r>
          </w:p>
        </w:tc>
      </w:tr>
      <w:tr w:rsidR="00875E51" w:rsidRPr="00875E51" w:rsidTr="00875E51">
        <w:trPr>
          <w:trHeight w:val="165"/>
        </w:trPr>
        <w:tc>
          <w:tcPr>
            <w:tcW w:w="327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75E51" w:rsidRPr="00875E51" w:rsidRDefault="00875E51" w:rsidP="00875E51">
            <w:pPr>
              <w:jc w:val="cente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Resultado contable antes del Impuesto sobre Sociedades</w:t>
            </w:r>
          </w:p>
        </w:tc>
        <w:tc>
          <w:tcPr>
            <w:tcW w:w="335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75E51" w:rsidRPr="00875E51" w:rsidRDefault="00875E51" w:rsidP="00875E51">
            <w:pPr>
              <w:jc w:val="cente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45.329.044,96</w:t>
            </w:r>
          </w:p>
        </w:tc>
        <w:tc>
          <w:tcPr>
            <w:tcW w:w="29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75E51" w:rsidRPr="00875E51" w:rsidRDefault="00875E51" w:rsidP="00875E51">
            <w:pPr>
              <w:jc w:val="cente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14.600.949,65</w:t>
            </w:r>
          </w:p>
        </w:tc>
        <w:tc>
          <w:tcPr>
            <w:tcW w:w="266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75E51" w:rsidRPr="00875E51" w:rsidRDefault="00875E51" w:rsidP="00875E51">
            <w:pPr>
              <w:jc w:val="cente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-7.305.296,29</w:t>
            </w:r>
          </w:p>
        </w:tc>
        <w:tc>
          <w:tcPr>
            <w:tcW w:w="1127" w:type="dxa"/>
            <w:vMerge w:val="restart"/>
            <w:tcBorders>
              <w:top w:val="nil"/>
              <w:left w:val="single" w:sz="8" w:space="0" w:color="auto"/>
              <w:bottom w:val="single" w:sz="8" w:space="0" w:color="000000"/>
              <w:right w:val="single" w:sz="8" w:space="0" w:color="auto"/>
            </w:tcBorders>
            <w:shd w:val="clear" w:color="auto" w:fill="auto"/>
            <w:vAlign w:val="center"/>
            <w:hideMark/>
          </w:tcPr>
          <w:p w:rsidR="00875E51" w:rsidRPr="00875E51" w:rsidRDefault="00875E51" w:rsidP="00875E51">
            <w:pPr>
              <w:jc w:val="cente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52.624.698,32</w:t>
            </w:r>
          </w:p>
        </w:tc>
      </w:tr>
      <w:tr w:rsidR="00875E51" w:rsidRPr="00875E51" w:rsidTr="00875E51">
        <w:trPr>
          <w:trHeight w:val="172"/>
        </w:trPr>
        <w:tc>
          <w:tcPr>
            <w:tcW w:w="3270" w:type="dxa"/>
            <w:gridSpan w:val="3"/>
            <w:vMerge/>
            <w:tcBorders>
              <w:top w:val="single" w:sz="8" w:space="0" w:color="auto"/>
              <w:left w:val="single" w:sz="8" w:space="0" w:color="auto"/>
              <w:bottom w:val="single" w:sz="8" w:space="0" w:color="000000"/>
              <w:right w:val="single" w:sz="8" w:space="0" w:color="000000"/>
            </w:tcBorders>
            <w:vAlign w:val="center"/>
            <w:hideMark/>
          </w:tcPr>
          <w:p w:rsidR="00875E51" w:rsidRPr="00875E51" w:rsidRDefault="00875E51" w:rsidP="00875E51">
            <w:pPr>
              <w:rPr>
                <w:rFonts w:ascii="Lucida Bright" w:hAnsi="Lucida Bright" w:cs="Calibri"/>
                <w:color w:val="000000"/>
                <w:sz w:val="14"/>
                <w:szCs w:val="14"/>
                <w:lang w:val="es-ES"/>
              </w:rPr>
            </w:pPr>
          </w:p>
        </w:tc>
        <w:tc>
          <w:tcPr>
            <w:tcW w:w="3350" w:type="dxa"/>
            <w:gridSpan w:val="2"/>
            <w:vMerge/>
            <w:tcBorders>
              <w:top w:val="single" w:sz="8" w:space="0" w:color="auto"/>
              <w:left w:val="single" w:sz="8" w:space="0" w:color="auto"/>
              <w:bottom w:val="single" w:sz="8" w:space="0" w:color="000000"/>
              <w:right w:val="single" w:sz="8" w:space="0" w:color="000000"/>
            </w:tcBorders>
            <w:vAlign w:val="center"/>
            <w:hideMark/>
          </w:tcPr>
          <w:p w:rsidR="00875E51" w:rsidRPr="00875E51" w:rsidRDefault="00875E51" w:rsidP="00875E51">
            <w:pPr>
              <w:rPr>
                <w:rFonts w:ascii="Lucida Bright" w:hAnsi="Lucida Bright" w:cs="Calibri"/>
                <w:color w:val="000000"/>
                <w:sz w:val="14"/>
                <w:szCs w:val="14"/>
                <w:lang w:val="es-ES"/>
              </w:rPr>
            </w:pPr>
          </w:p>
        </w:tc>
        <w:tc>
          <w:tcPr>
            <w:tcW w:w="2912" w:type="dxa"/>
            <w:gridSpan w:val="2"/>
            <w:vMerge/>
            <w:tcBorders>
              <w:top w:val="single" w:sz="8" w:space="0" w:color="auto"/>
              <w:left w:val="single" w:sz="8" w:space="0" w:color="auto"/>
              <w:bottom w:val="single" w:sz="8" w:space="0" w:color="000000"/>
              <w:right w:val="single" w:sz="8" w:space="0" w:color="000000"/>
            </w:tcBorders>
            <w:vAlign w:val="center"/>
            <w:hideMark/>
          </w:tcPr>
          <w:p w:rsidR="00875E51" w:rsidRPr="00875E51" w:rsidRDefault="00875E51" w:rsidP="00875E51">
            <w:pPr>
              <w:rPr>
                <w:rFonts w:ascii="Lucida Bright" w:hAnsi="Lucida Bright" w:cs="Calibri"/>
                <w:color w:val="000000"/>
                <w:sz w:val="14"/>
                <w:szCs w:val="14"/>
                <w:lang w:val="es-ES"/>
              </w:rPr>
            </w:pPr>
          </w:p>
        </w:tc>
        <w:tc>
          <w:tcPr>
            <w:tcW w:w="2664" w:type="dxa"/>
            <w:gridSpan w:val="3"/>
            <w:vMerge/>
            <w:tcBorders>
              <w:top w:val="single" w:sz="8" w:space="0" w:color="auto"/>
              <w:left w:val="single" w:sz="8" w:space="0" w:color="auto"/>
              <w:bottom w:val="single" w:sz="8" w:space="0" w:color="000000"/>
              <w:right w:val="single" w:sz="8" w:space="0" w:color="000000"/>
            </w:tcBorders>
            <w:vAlign w:val="center"/>
            <w:hideMark/>
          </w:tcPr>
          <w:p w:rsidR="00875E51" w:rsidRPr="00875E51" w:rsidRDefault="00875E51" w:rsidP="00875E51">
            <w:pPr>
              <w:rPr>
                <w:rFonts w:ascii="Lucida Bright" w:hAnsi="Lucida Bright" w:cs="Calibri"/>
                <w:color w:val="000000"/>
                <w:sz w:val="14"/>
                <w:szCs w:val="14"/>
                <w:lang w:val="es-ES"/>
              </w:rPr>
            </w:pPr>
          </w:p>
        </w:tc>
        <w:tc>
          <w:tcPr>
            <w:tcW w:w="1127" w:type="dxa"/>
            <w:vMerge/>
            <w:tcBorders>
              <w:top w:val="nil"/>
              <w:left w:val="single" w:sz="8" w:space="0" w:color="auto"/>
              <w:bottom w:val="single" w:sz="8" w:space="0" w:color="000000"/>
              <w:right w:val="single" w:sz="8" w:space="0" w:color="auto"/>
            </w:tcBorders>
            <w:vAlign w:val="center"/>
            <w:hideMark/>
          </w:tcPr>
          <w:p w:rsidR="00875E51" w:rsidRPr="00875E51" w:rsidRDefault="00875E51" w:rsidP="00875E51">
            <w:pPr>
              <w:rPr>
                <w:rFonts w:ascii="Lucida Bright" w:hAnsi="Lucida Bright" w:cs="Calibri"/>
                <w:color w:val="000000"/>
                <w:sz w:val="14"/>
                <w:szCs w:val="14"/>
                <w:lang w:val="es-ES"/>
              </w:rPr>
            </w:pPr>
          </w:p>
        </w:tc>
      </w:tr>
      <w:tr w:rsidR="00875E51" w:rsidRPr="00875E51" w:rsidTr="00875E51">
        <w:trPr>
          <w:trHeight w:val="172"/>
        </w:trPr>
        <w:tc>
          <w:tcPr>
            <w:tcW w:w="3270" w:type="dxa"/>
            <w:gridSpan w:val="3"/>
            <w:vMerge/>
            <w:tcBorders>
              <w:top w:val="single" w:sz="8" w:space="0" w:color="auto"/>
              <w:left w:val="single" w:sz="8" w:space="0" w:color="auto"/>
              <w:bottom w:val="single" w:sz="8" w:space="0" w:color="000000"/>
              <w:right w:val="single" w:sz="8" w:space="0" w:color="000000"/>
            </w:tcBorders>
            <w:vAlign w:val="center"/>
            <w:hideMark/>
          </w:tcPr>
          <w:p w:rsidR="00875E51" w:rsidRPr="00875E51" w:rsidRDefault="00875E51" w:rsidP="00875E51">
            <w:pPr>
              <w:rPr>
                <w:rFonts w:ascii="Lucida Bright" w:hAnsi="Lucida Bright" w:cs="Calibri"/>
                <w:color w:val="000000"/>
                <w:sz w:val="14"/>
                <w:szCs w:val="14"/>
                <w:lang w:val="es-ES"/>
              </w:rPr>
            </w:pPr>
          </w:p>
        </w:tc>
        <w:tc>
          <w:tcPr>
            <w:tcW w:w="1640"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xml:space="preserve">Aumentos </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Disminuciones</w:t>
            </w:r>
          </w:p>
        </w:tc>
        <w:tc>
          <w:tcPr>
            <w:tcW w:w="1475"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xml:space="preserve">Aumentos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Disminuciones</w:t>
            </w:r>
          </w:p>
        </w:tc>
        <w:tc>
          <w:tcPr>
            <w:tcW w:w="1398" w:type="dxa"/>
            <w:tcBorders>
              <w:top w:val="nil"/>
              <w:left w:val="nil"/>
              <w:bottom w:val="single" w:sz="4" w:space="0" w:color="auto"/>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xml:space="preserve">Aumentos </w:t>
            </w:r>
          </w:p>
        </w:tc>
        <w:tc>
          <w:tcPr>
            <w:tcW w:w="1266" w:type="dxa"/>
            <w:gridSpan w:val="2"/>
            <w:tcBorders>
              <w:top w:val="nil"/>
              <w:left w:val="nil"/>
              <w:bottom w:val="single" w:sz="4" w:space="0" w:color="auto"/>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Disminuciones</w:t>
            </w:r>
          </w:p>
        </w:tc>
        <w:tc>
          <w:tcPr>
            <w:tcW w:w="112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r>
      <w:tr w:rsidR="00875E51" w:rsidRPr="00875E51" w:rsidTr="00875E51">
        <w:trPr>
          <w:trHeight w:val="161"/>
        </w:trPr>
        <w:tc>
          <w:tcPr>
            <w:tcW w:w="1226" w:type="dxa"/>
            <w:tcBorders>
              <w:top w:val="nil"/>
              <w:left w:val="single" w:sz="8" w:space="0" w:color="auto"/>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12" w:type="dxa"/>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832"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640" w:type="dxa"/>
            <w:tcBorders>
              <w:top w:val="single" w:sz="8" w:space="0" w:color="auto"/>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710" w:type="dxa"/>
            <w:tcBorders>
              <w:top w:val="single" w:sz="8" w:space="0" w:color="auto"/>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75" w:type="dxa"/>
            <w:tcBorders>
              <w:top w:val="single" w:sz="8" w:space="0" w:color="auto"/>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single" w:sz="8" w:space="0" w:color="auto"/>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single" w:sz="8" w:space="0" w:color="auto"/>
              <w:left w:val="single" w:sz="8" w:space="0" w:color="auto"/>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r>
      <w:tr w:rsidR="00875E51" w:rsidRPr="00875E51" w:rsidTr="00875E51">
        <w:trPr>
          <w:trHeight w:val="161"/>
        </w:trPr>
        <w:tc>
          <w:tcPr>
            <w:tcW w:w="2438" w:type="dxa"/>
            <w:gridSpan w:val="2"/>
            <w:tcBorders>
              <w:top w:val="nil"/>
              <w:left w:val="single" w:sz="8" w:space="0" w:color="auto"/>
              <w:bottom w:val="nil"/>
              <w:right w:val="nil"/>
            </w:tcBorders>
            <w:shd w:val="clear" w:color="auto" w:fill="auto"/>
            <w:noWrap/>
            <w:vAlign w:val="center"/>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Diferencias permanentes:</w:t>
            </w:r>
          </w:p>
        </w:tc>
        <w:tc>
          <w:tcPr>
            <w:tcW w:w="832"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r>
      <w:tr w:rsidR="00875E51" w:rsidRPr="00875E51" w:rsidTr="00875E51">
        <w:trPr>
          <w:trHeight w:val="161"/>
        </w:trPr>
        <w:tc>
          <w:tcPr>
            <w:tcW w:w="3270" w:type="dxa"/>
            <w:gridSpan w:val="3"/>
            <w:tcBorders>
              <w:top w:val="nil"/>
              <w:left w:val="single" w:sz="8" w:space="0" w:color="auto"/>
              <w:bottom w:val="nil"/>
              <w:right w:val="single" w:sz="8" w:space="0" w:color="000000"/>
            </w:tcBorders>
            <w:shd w:val="clear" w:color="auto" w:fill="auto"/>
            <w:noWrap/>
            <w:vAlign w:val="center"/>
            <w:hideMark/>
          </w:tcPr>
          <w:p w:rsidR="00875E51" w:rsidRPr="00875E51" w:rsidRDefault="00875E51" w:rsidP="00875E51">
            <w:pPr>
              <w:rPr>
                <w:rFonts w:ascii="Lucida Bright" w:hAnsi="Lucida Bright" w:cs="Calibri"/>
                <w:i/>
                <w:iCs/>
                <w:color w:val="000000"/>
                <w:sz w:val="14"/>
                <w:szCs w:val="14"/>
                <w:lang w:val="es-ES"/>
              </w:rPr>
            </w:pPr>
            <w:r w:rsidRPr="00875E51">
              <w:rPr>
                <w:rFonts w:ascii="Lucida Bright" w:hAnsi="Lucida Bright" w:cs="Calibri"/>
                <w:i/>
                <w:iCs/>
                <w:color w:val="000000"/>
                <w:sz w:val="14"/>
                <w:szCs w:val="14"/>
                <w:lang w:val="es-ES"/>
              </w:rPr>
              <w:t>Dotación amort superior Plan Especial</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105.533,27</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105.533,27</w:t>
            </w:r>
          </w:p>
        </w:tc>
      </w:tr>
      <w:tr w:rsidR="00875E51" w:rsidRPr="00875E51" w:rsidTr="00875E51">
        <w:trPr>
          <w:trHeight w:val="161"/>
        </w:trPr>
        <w:tc>
          <w:tcPr>
            <w:tcW w:w="3270" w:type="dxa"/>
            <w:gridSpan w:val="3"/>
            <w:tcBorders>
              <w:top w:val="nil"/>
              <w:left w:val="single" w:sz="8" w:space="0" w:color="auto"/>
              <w:bottom w:val="nil"/>
              <w:right w:val="single" w:sz="8" w:space="0" w:color="000000"/>
            </w:tcBorders>
            <w:shd w:val="clear" w:color="auto" w:fill="auto"/>
            <w:noWrap/>
            <w:vAlign w:val="center"/>
            <w:hideMark/>
          </w:tcPr>
          <w:p w:rsidR="00875E51" w:rsidRPr="00875E51" w:rsidRDefault="00875E51" w:rsidP="00875E51">
            <w:pPr>
              <w:rPr>
                <w:rFonts w:ascii="Lucida Bright" w:hAnsi="Lucida Bright" w:cs="Calibri"/>
                <w:i/>
                <w:iCs/>
                <w:color w:val="000000"/>
                <w:sz w:val="14"/>
                <w:szCs w:val="14"/>
                <w:lang w:val="es-ES"/>
              </w:rPr>
            </w:pPr>
            <w:r w:rsidRPr="00875E51">
              <w:rPr>
                <w:rFonts w:ascii="Lucida Bright" w:hAnsi="Lucida Bright" w:cs="Calibri"/>
                <w:i/>
                <w:iCs/>
                <w:color w:val="000000"/>
                <w:sz w:val="14"/>
                <w:szCs w:val="14"/>
                <w:lang w:val="es-ES"/>
              </w:rPr>
              <w:t>Ing trasp rdo reversiones conc ej ante 2020</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617.460,23</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2.351.370,77</w:t>
            </w: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(2.968.831,00)</w:t>
            </w:r>
          </w:p>
        </w:tc>
      </w:tr>
      <w:tr w:rsidR="00875E51" w:rsidRPr="00875E51" w:rsidTr="00875E51">
        <w:trPr>
          <w:trHeight w:val="161"/>
        </w:trPr>
        <w:tc>
          <w:tcPr>
            <w:tcW w:w="2438" w:type="dxa"/>
            <w:gridSpan w:val="2"/>
            <w:tcBorders>
              <w:top w:val="nil"/>
              <w:left w:val="single" w:sz="8" w:space="0" w:color="auto"/>
              <w:bottom w:val="nil"/>
              <w:right w:val="nil"/>
            </w:tcBorders>
            <w:shd w:val="clear" w:color="auto" w:fill="auto"/>
            <w:noWrap/>
            <w:vAlign w:val="center"/>
            <w:hideMark/>
          </w:tcPr>
          <w:p w:rsidR="00875E51" w:rsidRPr="00875E51" w:rsidRDefault="00875E51" w:rsidP="00875E51">
            <w:pPr>
              <w:rPr>
                <w:rFonts w:ascii="Lucida Bright" w:hAnsi="Lucida Bright" w:cs="Calibri"/>
                <w:i/>
                <w:iCs/>
                <w:color w:val="000000"/>
                <w:sz w:val="14"/>
                <w:szCs w:val="14"/>
                <w:lang w:val="es-ES"/>
              </w:rPr>
            </w:pPr>
            <w:r w:rsidRPr="00875E51">
              <w:rPr>
                <w:rFonts w:ascii="Lucida Bright" w:hAnsi="Lucida Bright" w:cs="Calibri"/>
                <w:i/>
                <w:iCs/>
                <w:color w:val="000000"/>
                <w:sz w:val="14"/>
                <w:szCs w:val="14"/>
                <w:lang w:val="es-ES"/>
              </w:rPr>
              <w:t>Gastos no económicos del ejercicio</w:t>
            </w:r>
          </w:p>
        </w:tc>
        <w:tc>
          <w:tcPr>
            <w:tcW w:w="832"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5.131.652,60</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5.131.652,60</w:t>
            </w:r>
          </w:p>
        </w:tc>
      </w:tr>
      <w:tr w:rsidR="00875E51" w:rsidRPr="00875E51" w:rsidTr="00875E51">
        <w:trPr>
          <w:trHeight w:val="161"/>
        </w:trPr>
        <w:tc>
          <w:tcPr>
            <w:tcW w:w="2438" w:type="dxa"/>
            <w:gridSpan w:val="2"/>
            <w:tcBorders>
              <w:top w:val="nil"/>
              <w:left w:val="single" w:sz="8" w:space="0" w:color="auto"/>
              <w:bottom w:val="nil"/>
              <w:right w:val="nil"/>
            </w:tcBorders>
            <w:shd w:val="clear" w:color="auto" w:fill="auto"/>
            <w:noWrap/>
            <w:vAlign w:val="center"/>
            <w:hideMark/>
          </w:tcPr>
          <w:p w:rsidR="00875E51" w:rsidRPr="00875E51" w:rsidRDefault="00875E51" w:rsidP="00875E51">
            <w:pPr>
              <w:rPr>
                <w:rFonts w:ascii="Lucida Bright" w:hAnsi="Lucida Bright" w:cs="Calibri"/>
                <w:i/>
                <w:iCs/>
                <w:color w:val="000000"/>
                <w:sz w:val="14"/>
                <w:szCs w:val="14"/>
                <w:lang w:val="es-ES"/>
              </w:rPr>
            </w:pPr>
            <w:r w:rsidRPr="00875E51">
              <w:rPr>
                <w:rFonts w:ascii="Lucida Bright" w:hAnsi="Lucida Bright" w:cs="Calibri"/>
                <w:i/>
                <w:iCs/>
                <w:color w:val="000000"/>
                <w:sz w:val="14"/>
                <w:szCs w:val="14"/>
                <w:lang w:val="es-ES"/>
              </w:rPr>
              <w:t>Gastos no deducibles</w:t>
            </w:r>
          </w:p>
        </w:tc>
        <w:tc>
          <w:tcPr>
            <w:tcW w:w="832"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106.035,00</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9.744.319,56</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9.850.354,56</w:t>
            </w:r>
          </w:p>
        </w:tc>
      </w:tr>
      <w:tr w:rsidR="00875E51" w:rsidRPr="00875E51" w:rsidTr="00875E51">
        <w:trPr>
          <w:trHeight w:val="161"/>
        </w:trPr>
        <w:tc>
          <w:tcPr>
            <w:tcW w:w="3270" w:type="dxa"/>
            <w:gridSpan w:val="3"/>
            <w:tcBorders>
              <w:top w:val="nil"/>
              <w:left w:val="single" w:sz="8" w:space="0" w:color="auto"/>
              <w:bottom w:val="nil"/>
              <w:right w:val="single" w:sz="8" w:space="0" w:color="000000"/>
            </w:tcBorders>
            <w:shd w:val="clear" w:color="auto" w:fill="auto"/>
            <w:noWrap/>
            <w:vAlign w:val="center"/>
            <w:hideMark/>
          </w:tcPr>
          <w:p w:rsidR="00875E51" w:rsidRPr="00875E51" w:rsidRDefault="00875E51" w:rsidP="00875E51">
            <w:pPr>
              <w:rPr>
                <w:rFonts w:ascii="Lucida Bright" w:hAnsi="Lucida Bright" w:cs="Calibri"/>
                <w:i/>
                <w:iCs/>
                <w:color w:val="000000"/>
                <w:sz w:val="14"/>
                <w:szCs w:val="14"/>
                <w:lang w:val="es-ES"/>
              </w:rPr>
            </w:pPr>
            <w:r w:rsidRPr="00875E51">
              <w:rPr>
                <w:rFonts w:ascii="Lucida Bright" w:hAnsi="Lucida Bright" w:cs="Calibri"/>
                <w:i/>
                <w:iCs/>
                <w:color w:val="000000"/>
                <w:sz w:val="14"/>
                <w:szCs w:val="14"/>
                <w:lang w:val="es-ES"/>
              </w:rPr>
              <w:t>Cambios de criterio y errores contables</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87.652,50</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87.652,50</w:t>
            </w: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w:t>
            </w:r>
          </w:p>
        </w:tc>
      </w:tr>
      <w:tr w:rsidR="00875E51" w:rsidRPr="00875E51" w:rsidTr="00875E51">
        <w:trPr>
          <w:trHeight w:val="161"/>
        </w:trPr>
        <w:tc>
          <w:tcPr>
            <w:tcW w:w="3270" w:type="dxa"/>
            <w:gridSpan w:val="3"/>
            <w:tcBorders>
              <w:top w:val="nil"/>
              <w:left w:val="single" w:sz="8" w:space="0" w:color="auto"/>
              <w:bottom w:val="nil"/>
              <w:right w:val="single" w:sz="8" w:space="0" w:color="000000"/>
            </w:tcBorders>
            <w:shd w:val="clear" w:color="auto" w:fill="auto"/>
            <w:noWrap/>
            <w:vAlign w:val="center"/>
            <w:hideMark/>
          </w:tcPr>
          <w:p w:rsidR="00875E51" w:rsidRPr="00875E51" w:rsidRDefault="00875E51" w:rsidP="00875E51">
            <w:pPr>
              <w:rPr>
                <w:rFonts w:ascii="Lucida Bright" w:hAnsi="Lucida Bright" w:cs="Calibri"/>
                <w:i/>
                <w:iCs/>
                <w:color w:val="000000"/>
                <w:sz w:val="14"/>
                <w:szCs w:val="14"/>
                <w:lang w:val="es-ES"/>
              </w:rPr>
            </w:pPr>
            <w:r w:rsidRPr="00875E51">
              <w:rPr>
                <w:rFonts w:ascii="Lucida Bright" w:hAnsi="Lucida Bright" w:cs="Calibri"/>
                <w:i/>
                <w:iCs/>
                <w:color w:val="000000"/>
                <w:sz w:val="14"/>
                <w:szCs w:val="14"/>
                <w:lang w:val="es-ES"/>
              </w:rPr>
              <w:t>Imputación renta FFATP (modelo 184)</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384,53</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(384,53)</w:t>
            </w:r>
          </w:p>
        </w:tc>
      </w:tr>
      <w:tr w:rsidR="00875E51" w:rsidRPr="00875E51" w:rsidTr="00875E51">
        <w:trPr>
          <w:trHeight w:val="161"/>
        </w:trPr>
        <w:tc>
          <w:tcPr>
            <w:tcW w:w="2438" w:type="dxa"/>
            <w:gridSpan w:val="2"/>
            <w:tcBorders>
              <w:top w:val="nil"/>
              <w:left w:val="single" w:sz="8" w:space="0" w:color="auto"/>
              <w:bottom w:val="nil"/>
              <w:right w:val="nil"/>
            </w:tcBorders>
            <w:shd w:val="clear" w:color="auto" w:fill="auto"/>
            <w:noWrap/>
            <w:vAlign w:val="center"/>
            <w:hideMark/>
          </w:tcPr>
          <w:p w:rsidR="00875E51" w:rsidRPr="00875E51" w:rsidRDefault="00875E51" w:rsidP="00875E51">
            <w:pPr>
              <w:rPr>
                <w:rFonts w:ascii="Lucida Bright" w:hAnsi="Lucida Bright" w:cs="Calibri"/>
                <w:i/>
                <w:iCs/>
                <w:color w:val="000000"/>
                <w:sz w:val="14"/>
                <w:szCs w:val="14"/>
                <w:lang w:val="es-ES"/>
              </w:rPr>
            </w:pPr>
            <w:r w:rsidRPr="00875E51">
              <w:rPr>
                <w:rFonts w:ascii="Lucida Bright" w:hAnsi="Lucida Bright" w:cs="Calibri"/>
                <w:i/>
                <w:iCs/>
                <w:color w:val="000000"/>
                <w:sz w:val="14"/>
                <w:szCs w:val="14"/>
                <w:lang w:val="es-ES"/>
              </w:rPr>
              <w:t>Reserva de capitalización 2023</w:t>
            </w:r>
          </w:p>
        </w:tc>
        <w:tc>
          <w:tcPr>
            <w:tcW w:w="832"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5.956.021,61</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(5.956.021,61)</w:t>
            </w:r>
          </w:p>
        </w:tc>
      </w:tr>
      <w:tr w:rsidR="00875E51" w:rsidRPr="00875E51" w:rsidTr="00875E51">
        <w:trPr>
          <w:trHeight w:val="161"/>
        </w:trPr>
        <w:tc>
          <w:tcPr>
            <w:tcW w:w="2438" w:type="dxa"/>
            <w:gridSpan w:val="2"/>
            <w:tcBorders>
              <w:top w:val="nil"/>
              <w:left w:val="single" w:sz="8" w:space="0" w:color="auto"/>
              <w:bottom w:val="nil"/>
              <w:right w:val="nil"/>
            </w:tcBorders>
            <w:shd w:val="clear" w:color="auto" w:fill="auto"/>
            <w:noWrap/>
            <w:vAlign w:val="bottom"/>
            <w:hideMark/>
          </w:tcPr>
          <w:p w:rsidR="00875E51" w:rsidRPr="00875E51" w:rsidRDefault="00875E51" w:rsidP="00875E51">
            <w:pPr>
              <w:rPr>
                <w:rFonts w:ascii="Lucida Bright" w:hAnsi="Lucida Bright" w:cs="Calibri"/>
                <w:i/>
                <w:iCs/>
                <w:color w:val="000000"/>
                <w:sz w:val="14"/>
                <w:szCs w:val="14"/>
                <w:lang w:val="es-ES"/>
              </w:rPr>
            </w:pPr>
            <w:r w:rsidRPr="00875E51">
              <w:rPr>
                <w:rFonts w:ascii="Lucida Bright" w:hAnsi="Lucida Bright" w:cs="Calibri"/>
                <w:i/>
                <w:iCs/>
                <w:color w:val="000000"/>
                <w:sz w:val="14"/>
                <w:szCs w:val="14"/>
                <w:lang w:val="es-ES"/>
              </w:rPr>
              <w:t>Adquisiciones lucrativas</w:t>
            </w:r>
          </w:p>
        </w:tc>
        <w:tc>
          <w:tcPr>
            <w:tcW w:w="832"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w:t>
            </w:r>
          </w:p>
        </w:tc>
      </w:tr>
      <w:tr w:rsidR="00875E51" w:rsidRPr="00875E51" w:rsidTr="00875E51">
        <w:trPr>
          <w:trHeight w:val="161"/>
        </w:trPr>
        <w:tc>
          <w:tcPr>
            <w:tcW w:w="1226" w:type="dxa"/>
            <w:tcBorders>
              <w:top w:val="nil"/>
              <w:left w:val="single" w:sz="8" w:space="0" w:color="auto"/>
              <w:bottom w:val="nil"/>
              <w:right w:val="nil"/>
            </w:tcBorders>
            <w:shd w:val="clear" w:color="auto" w:fill="auto"/>
            <w:noWrap/>
            <w:vAlign w:val="bottom"/>
            <w:hideMark/>
          </w:tcPr>
          <w:p w:rsidR="00875E51" w:rsidRPr="00875E51" w:rsidRDefault="00875E51" w:rsidP="00875E51">
            <w:pPr>
              <w:rPr>
                <w:rFonts w:ascii="Lucida Bright" w:hAnsi="Lucida Bright" w:cs="Calibri"/>
                <w:i/>
                <w:iCs/>
                <w:color w:val="000000"/>
                <w:sz w:val="14"/>
                <w:szCs w:val="14"/>
                <w:lang w:val="es-ES"/>
              </w:rPr>
            </w:pPr>
            <w:r w:rsidRPr="00875E51">
              <w:rPr>
                <w:rFonts w:ascii="Lucida Bright" w:hAnsi="Lucida Bright" w:cs="Calibri"/>
                <w:i/>
                <w:iCs/>
                <w:color w:val="000000"/>
                <w:sz w:val="14"/>
                <w:szCs w:val="14"/>
                <w:lang w:val="es-ES"/>
              </w:rPr>
              <w:t> </w:t>
            </w:r>
          </w:p>
        </w:tc>
        <w:tc>
          <w:tcPr>
            <w:tcW w:w="1212" w:type="dxa"/>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832"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r>
      <w:tr w:rsidR="00875E51" w:rsidRPr="00875E51" w:rsidTr="00875E51">
        <w:trPr>
          <w:trHeight w:val="161"/>
        </w:trPr>
        <w:tc>
          <w:tcPr>
            <w:tcW w:w="2438" w:type="dxa"/>
            <w:gridSpan w:val="2"/>
            <w:tcBorders>
              <w:top w:val="nil"/>
              <w:left w:val="single" w:sz="8" w:space="0" w:color="auto"/>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Diferencias temporales:</w:t>
            </w:r>
          </w:p>
        </w:tc>
        <w:tc>
          <w:tcPr>
            <w:tcW w:w="832"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r>
      <w:tr w:rsidR="00875E51" w:rsidRPr="00875E51" w:rsidTr="00875E51">
        <w:trPr>
          <w:trHeight w:val="161"/>
        </w:trPr>
        <w:tc>
          <w:tcPr>
            <w:tcW w:w="2438" w:type="dxa"/>
            <w:gridSpan w:val="2"/>
            <w:tcBorders>
              <w:top w:val="nil"/>
              <w:left w:val="single" w:sz="8" w:space="0" w:color="auto"/>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Con origen en el ejercicio</w:t>
            </w:r>
          </w:p>
        </w:tc>
        <w:tc>
          <w:tcPr>
            <w:tcW w:w="832"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r>
      <w:tr w:rsidR="00875E51" w:rsidRPr="00875E51" w:rsidTr="00875E51">
        <w:trPr>
          <w:trHeight w:val="161"/>
        </w:trPr>
        <w:tc>
          <w:tcPr>
            <w:tcW w:w="3270" w:type="dxa"/>
            <w:gridSpan w:val="3"/>
            <w:tcBorders>
              <w:top w:val="nil"/>
              <w:left w:val="single" w:sz="8" w:space="0" w:color="auto"/>
              <w:bottom w:val="nil"/>
              <w:right w:val="single" w:sz="8" w:space="0" w:color="000000"/>
            </w:tcBorders>
            <w:shd w:val="clear" w:color="auto" w:fill="auto"/>
            <w:noWrap/>
            <w:vAlign w:val="bottom"/>
            <w:hideMark/>
          </w:tcPr>
          <w:p w:rsidR="00875E51" w:rsidRPr="00875E51" w:rsidRDefault="00875E51" w:rsidP="00875E51">
            <w:pPr>
              <w:rPr>
                <w:rFonts w:ascii="Lucida Bright" w:hAnsi="Lucida Bright" w:cs="Calibri"/>
                <w:i/>
                <w:iCs/>
                <w:color w:val="000000"/>
                <w:sz w:val="14"/>
                <w:szCs w:val="14"/>
                <w:lang w:val="es-ES"/>
              </w:rPr>
            </w:pPr>
            <w:r w:rsidRPr="00875E51">
              <w:rPr>
                <w:rFonts w:ascii="Lucida Bright" w:hAnsi="Lucida Bright" w:cs="Calibri"/>
                <w:i/>
                <w:iCs/>
                <w:color w:val="000000"/>
                <w:sz w:val="14"/>
                <w:szCs w:val="14"/>
                <w:lang w:val="es-ES"/>
              </w:rPr>
              <w:t xml:space="preserve">Diferencias </w:t>
            </w:r>
            <w:r w:rsidR="0031200E" w:rsidRPr="00875E51">
              <w:rPr>
                <w:rFonts w:ascii="Lucida Bright" w:hAnsi="Lucida Bright" w:cs="Calibri"/>
                <w:i/>
                <w:iCs/>
                <w:color w:val="000000"/>
                <w:sz w:val="14"/>
                <w:szCs w:val="14"/>
                <w:lang w:val="es-ES"/>
              </w:rPr>
              <w:t>amortización</w:t>
            </w:r>
            <w:r w:rsidRPr="00875E51">
              <w:rPr>
                <w:rFonts w:ascii="Lucida Bright" w:hAnsi="Lucida Bright" w:cs="Calibri"/>
                <w:i/>
                <w:iCs/>
                <w:color w:val="000000"/>
                <w:sz w:val="14"/>
                <w:szCs w:val="14"/>
                <w:lang w:val="es-ES"/>
              </w:rPr>
              <w:t xml:space="preserve"> contable y fiscal</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w:t>
            </w:r>
          </w:p>
        </w:tc>
      </w:tr>
      <w:tr w:rsidR="00875E51" w:rsidRPr="00875E51" w:rsidTr="00875E51">
        <w:trPr>
          <w:trHeight w:val="161"/>
        </w:trPr>
        <w:tc>
          <w:tcPr>
            <w:tcW w:w="3270" w:type="dxa"/>
            <w:gridSpan w:val="3"/>
            <w:tcBorders>
              <w:top w:val="nil"/>
              <w:left w:val="single" w:sz="8" w:space="0" w:color="auto"/>
              <w:bottom w:val="nil"/>
              <w:right w:val="single" w:sz="8" w:space="0" w:color="000000"/>
            </w:tcBorders>
            <w:shd w:val="clear" w:color="auto" w:fill="auto"/>
            <w:noWrap/>
            <w:vAlign w:val="bottom"/>
            <w:hideMark/>
          </w:tcPr>
          <w:p w:rsidR="00875E51" w:rsidRPr="00875E51" w:rsidRDefault="00875E51" w:rsidP="00875E51">
            <w:pPr>
              <w:rPr>
                <w:rFonts w:ascii="Lucida Bright" w:hAnsi="Lucida Bright" w:cs="Calibri"/>
                <w:i/>
                <w:iCs/>
                <w:color w:val="000000"/>
                <w:sz w:val="14"/>
                <w:szCs w:val="14"/>
                <w:lang w:val="es-ES"/>
              </w:rPr>
            </w:pPr>
            <w:r w:rsidRPr="00875E51">
              <w:rPr>
                <w:rFonts w:ascii="Lucida Bright" w:hAnsi="Lucida Bright" w:cs="Calibri"/>
                <w:i/>
                <w:iCs/>
                <w:color w:val="000000"/>
                <w:sz w:val="14"/>
                <w:szCs w:val="14"/>
                <w:lang w:val="es-ES"/>
              </w:rPr>
              <w:t>Actualización finan provisiones no deduc</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25.510,92</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25.510,92</w:t>
            </w:r>
          </w:p>
        </w:tc>
      </w:tr>
      <w:tr w:rsidR="00875E51" w:rsidRPr="00875E51" w:rsidTr="00875E51">
        <w:trPr>
          <w:trHeight w:val="161"/>
        </w:trPr>
        <w:tc>
          <w:tcPr>
            <w:tcW w:w="2438" w:type="dxa"/>
            <w:gridSpan w:val="2"/>
            <w:tcBorders>
              <w:top w:val="nil"/>
              <w:left w:val="single" w:sz="8" w:space="0" w:color="auto"/>
              <w:bottom w:val="nil"/>
              <w:right w:val="nil"/>
            </w:tcBorders>
            <w:shd w:val="clear" w:color="auto" w:fill="auto"/>
            <w:noWrap/>
            <w:vAlign w:val="bottom"/>
            <w:hideMark/>
          </w:tcPr>
          <w:p w:rsidR="00875E51" w:rsidRPr="00875E51" w:rsidRDefault="00875E51" w:rsidP="00875E51">
            <w:pPr>
              <w:rPr>
                <w:rFonts w:ascii="Lucida Bright" w:hAnsi="Lucida Bright" w:cs="Calibri"/>
                <w:i/>
                <w:iCs/>
                <w:color w:val="000000"/>
                <w:sz w:val="14"/>
                <w:szCs w:val="14"/>
                <w:lang w:val="es-ES"/>
              </w:rPr>
            </w:pPr>
            <w:r w:rsidRPr="00875E51">
              <w:rPr>
                <w:rFonts w:ascii="Lucida Bright" w:hAnsi="Lucida Bright" w:cs="Calibri"/>
                <w:i/>
                <w:iCs/>
                <w:color w:val="000000"/>
                <w:sz w:val="14"/>
                <w:szCs w:val="14"/>
                <w:lang w:val="es-ES"/>
              </w:rPr>
              <w:t>Subvenciones recibidas</w:t>
            </w:r>
          </w:p>
        </w:tc>
        <w:tc>
          <w:tcPr>
            <w:tcW w:w="832"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2.674.934,59</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(2.674.934,59)</w:t>
            </w:r>
          </w:p>
        </w:tc>
      </w:tr>
      <w:tr w:rsidR="00875E51" w:rsidRPr="00875E51" w:rsidTr="00875E51">
        <w:trPr>
          <w:trHeight w:val="161"/>
        </w:trPr>
        <w:tc>
          <w:tcPr>
            <w:tcW w:w="2438" w:type="dxa"/>
            <w:gridSpan w:val="2"/>
            <w:tcBorders>
              <w:top w:val="nil"/>
              <w:left w:val="single" w:sz="8" w:space="0" w:color="auto"/>
              <w:bottom w:val="nil"/>
              <w:right w:val="nil"/>
            </w:tcBorders>
            <w:shd w:val="clear" w:color="auto" w:fill="auto"/>
            <w:noWrap/>
            <w:vAlign w:val="bottom"/>
            <w:hideMark/>
          </w:tcPr>
          <w:p w:rsidR="00875E51" w:rsidRPr="00875E51" w:rsidRDefault="00875E51" w:rsidP="00875E51">
            <w:pPr>
              <w:rPr>
                <w:rFonts w:ascii="Lucida Bright" w:hAnsi="Lucida Bright" w:cs="Calibri"/>
                <w:i/>
                <w:iCs/>
                <w:color w:val="000000"/>
                <w:sz w:val="14"/>
                <w:szCs w:val="14"/>
                <w:lang w:val="es-ES"/>
              </w:rPr>
            </w:pPr>
            <w:r w:rsidRPr="00875E51">
              <w:rPr>
                <w:rFonts w:ascii="Lucida Bright" w:hAnsi="Lucida Bright" w:cs="Calibri"/>
                <w:i/>
                <w:iCs/>
                <w:color w:val="000000"/>
                <w:sz w:val="14"/>
                <w:szCs w:val="14"/>
                <w:lang w:val="es-ES"/>
              </w:rPr>
              <w:t>Adquisiciones lucrativas</w:t>
            </w:r>
          </w:p>
        </w:tc>
        <w:tc>
          <w:tcPr>
            <w:tcW w:w="832"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12.802.540,06</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631.581,65</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11.926.015,06</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244.943,35</w:t>
            </w:r>
          </w:p>
        </w:tc>
      </w:tr>
      <w:tr w:rsidR="00875E51" w:rsidRPr="00875E51" w:rsidTr="00875E51">
        <w:trPr>
          <w:trHeight w:val="161"/>
        </w:trPr>
        <w:tc>
          <w:tcPr>
            <w:tcW w:w="1226" w:type="dxa"/>
            <w:tcBorders>
              <w:top w:val="nil"/>
              <w:left w:val="single" w:sz="8" w:space="0" w:color="auto"/>
              <w:bottom w:val="nil"/>
              <w:right w:val="nil"/>
            </w:tcBorders>
            <w:shd w:val="clear" w:color="auto" w:fill="auto"/>
            <w:noWrap/>
            <w:vAlign w:val="bottom"/>
            <w:hideMark/>
          </w:tcPr>
          <w:p w:rsidR="00875E51" w:rsidRPr="00875E51" w:rsidRDefault="00875E51" w:rsidP="00875E51">
            <w:pPr>
              <w:rPr>
                <w:rFonts w:ascii="Lucida Bright" w:hAnsi="Lucida Bright" w:cs="Calibri"/>
                <w:i/>
                <w:iCs/>
                <w:color w:val="000000"/>
                <w:sz w:val="14"/>
                <w:szCs w:val="14"/>
                <w:lang w:val="es-ES"/>
              </w:rPr>
            </w:pPr>
            <w:r w:rsidRPr="00875E51">
              <w:rPr>
                <w:rFonts w:ascii="Lucida Bright" w:hAnsi="Lucida Bright" w:cs="Calibri"/>
                <w:i/>
                <w:iCs/>
                <w:color w:val="000000"/>
                <w:sz w:val="14"/>
                <w:szCs w:val="14"/>
                <w:lang w:val="es-ES"/>
              </w:rPr>
              <w:t> </w:t>
            </w:r>
          </w:p>
        </w:tc>
        <w:tc>
          <w:tcPr>
            <w:tcW w:w="1212" w:type="dxa"/>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832"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r>
      <w:tr w:rsidR="00875E51" w:rsidRPr="00875E51" w:rsidTr="00875E51">
        <w:trPr>
          <w:trHeight w:val="161"/>
        </w:trPr>
        <w:tc>
          <w:tcPr>
            <w:tcW w:w="2438" w:type="dxa"/>
            <w:gridSpan w:val="2"/>
            <w:tcBorders>
              <w:top w:val="nil"/>
              <w:left w:val="single" w:sz="8" w:space="0" w:color="auto"/>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Con origen en ejercicios anteriores</w:t>
            </w:r>
          </w:p>
        </w:tc>
        <w:tc>
          <w:tcPr>
            <w:tcW w:w="832"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r>
      <w:tr w:rsidR="00875E51" w:rsidRPr="00875E51" w:rsidTr="00875E51">
        <w:trPr>
          <w:trHeight w:val="161"/>
        </w:trPr>
        <w:tc>
          <w:tcPr>
            <w:tcW w:w="3270" w:type="dxa"/>
            <w:gridSpan w:val="3"/>
            <w:tcBorders>
              <w:top w:val="nil"/>
              <w:left w:val="single" w:sz="8" w:space="0" w:color="auto"/>
              <w:bottom w:val="nil"/>
              <w:right w:val="single" w:sz="8" w:space="0" w:color="000000"/>
            </w:tcBorders>
            <w:shd w:val="clear" w:color="auto" w:fill="auto"/>
            <w:noWrap/>
            <w:vAlign w:val="bottom"/>
            <w:hideMark/>
          </w:tcPr>
          <w:p w:rsidR="00875E51" w:rsidRPr="00875E51" w:rsidRDefault="00875E51" w:rsidP="00875E51">
            <w:pPr>
              <w:rPr>
                <w:rFonts w:ascii="Lucida Bright" w:hAnsi="Lucida Bright" w:cs="Calibri"/>
                <w:i/>
                <w:iCs/>
                <w:color w:val="000000"/>
                <w:sz w:val="14"/>
                <w:szCs w:val="14"/>
                <w:lang w:val="es-ES"/>
              </w:rPr>
            </w:pPr>
            <w:r w:rsidRPr="00875E51">
              <w:rPr>
                <w:rFonts w:ascii="Lucida Bright" w:hAnsi="Lucida Bright" w:cs="Calibri"/>
                <w:i/>
                <w:iCs/>
                <w:color w:val="000000"/>
                <w:sz w:val="14"/>
                <w:szCs w:val="14"/>
                <w:lang w:val="es-ES"/>
              </w:rPr>
              <w:t>Deducc 30% gastos amortiz Art 7 L16/2012</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44.452,53</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(44.452,53)</w:t>
            </w:r>
          </w:p>
        </w:tc>
      </w:tr>
      <w:tr w:rsidR="00875E51" w:rsidRPr="00875E51" w:rsidTr="00875E51">
        <w:trPr>
          <w:trHeight w:val="161"/>
        </w:trPr>
        <w:tc>
          <w:tcPr>
            <w:tcW w:w="3270" w:type="dxa"/>
            <w:gridSpan w:val="3"/>
            <w:tcBorders>
              <w:top w:val="nil"/>
              <w:left w:val="single" w:sz="8" w:space="0" w:color="auto"/>
              <w:bottom w:val="nil"/>
              <w:right w:val="single" w:sz="8" w:space="0" w:color="000000"/>
            </w:tcBorders>
            <w:shd w:val="clear" w:color="auto" w:fill="auto"/>
            <w:noWrap/>
            <w:vAlign w:val="bottom"/>
            <w:hideMark/>
          </w:tcPr>
          <w:p w:rsidR="00875E51" w:rsidRPr="00875E51" w:rsidRDefault="00875E51" w:rsidP="00875E51">
            <w:pPr>
              <w:rPr>
                <w:rFonts w:ascii="Lucida Bright" w:hAnsi="Lucida Bright" w:cs="Calibri"/>
                <w:i/>
                <w:iCs/>
                <w:color w:val="000000"/>
                <w:sz w:val="14"/>
                <w:szCs w:val="14"/>
                <w:lang w:val="es-ES"/>
              </w:rPr>
            </w:pPr>
            <w:r w:rsidRPr="00875E51">
              <w:rPr>
                <w:rFonts w:ascii="Lucida Bright" w:hAnsi="Lucida Bright" w:cs="Calibri"/>
                <w:i/>
                <w:iCs/>
                <w:color w:val="000000"/>
                <w:sz w:val="14"/>
                <w:szCs w:val="14"/>
                <w:lang w:val="es-ES"/>
              </w:rPr>
              <w:t>Actualización finan provisiones no deduc</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130.879,73</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(130.879,73)</w:t>
            </w:r>
          </w:p>
        </w:tc>
      </w:tr>
      <w:tr w:rsidR="00875E51" w:rsidRPr="00875E51" w:rsidTr="00875E51">
        <w:trPr>
          <w:trHeight w:val="161"/>
        </w:trPr>
        <w:tc>
          <w:tcPr>
            <w:tcW w:w="3270" w:type="dxa"/>
            <w:gridSpan w:val="3"/>
            <w:tcBorders>
              <w:top w:val="nil"/>
              <w:left w:val="single" w:sz="8" w:space="0" w:color="auto"/>
              <w:bottom w:val="nil"/>
              <w:right w:val="single" w:sz="8" w:space="0" w:color="000000"/>
            </w:tcBorders>
            <w:shd w:val="clear" w:color="auto" w:fill="auto"/>
            <w:noWrap/>
            <w:vAlign w:val="bottom"/>
            <w:hideMark/>
          </w:tcPr>
          <w:p w:rsidR="00875E51" w:rsidRPr="00875E51" w:rsidRDefault="00875E51" w:rsidP="00875E51">
            <w:pPr>
              <w:rPr>
                <w:rFonts w:ascii="Lucida Bright" w:hAnsi="Lucida Bright" w:cs="Calibri"/>
                <w:i/>
                <w:iCs/>
                <w:color w:val="000000"/>
                <w:sz w:val="14"/>
                <w:szCs w:val="14"/>
                <w:lang w:val="es-ES"/>
              </w:rPr>
            </w:pPr>
            <w:r w:rsidRPr="00875E51">
              <w:rPr>
                <w:rFonts w:ascii="Lucida Bright" w:hAnsi="Lucida Bright" w:cs="Calibri"/>
                <w:i/>
                <w:iCs/>
                <w:color w:val="000000"/>
                <w:sz w:val="14"/>
                <w:szCs w:val="14"/>
                <w:lang w:val="es-ES"/>
              </w:rPr>
              <w:t xml:space="preserve">Diferencias </w:t>
            </w:r>
            <w:r w:rsidR="0031200E" w:rsidRPr="00875E51">
              <w:rPr>
                <w:rFonts w:ascii="Lucida Bright" w:hAnsi="Lucida Bright" w:cs="Calibri"/>
                <w:i/>
                <w:iCs/>
                <w:color w:val="000000"/>
                <w:sz w:val="14"/>
                <w:szCs w:val="14"/>
                <w:lang w:val="es-ES"/>
              </w:rPr>
              <w:t>amortización</w:t>
            </w:r>
            <w:r w:rsidRPr="00875E51">
              <w:rPr>
                <w:rFonts w:ascii="Lucida Bright" w:hAnsi="Lucida Bright" w:cs="Calibri"/>
                <w:i/>
                <w:iCs/>
                <w:color w:val="000000"/>
                <w:sz w:val="14"/>
                <w:szCs w:val="14"/>
                <w:lang w:val="es-ES"/>
              </w:rPr>
              <w:t xml:space="preserve"> contable y fiscal</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666,71</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2.954,32</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(2.287,61)</w:t>
            </w:r>
          </w:p>
        </w:tc>
      </w:tr>
      <w:tr w:rsidR="00875E51" w:rsidRPr="00875E51" w:rsidTr="00875E51">
        <w:trPr>
          <w:trHeight w:val="161"/>
        </w:trPr>
        <w:tc>
          <w:tcPr>
            <w:tcW w:w="2438" w:type="dxa"/>
            <w:gridSpan w:val="2"/>
            <w:tcBorders>
              <w:top w:val="nil"/>
              <w:left w:val="single" w:sz="8" w:space="0" w:color="auto"/>
              <w:bottom w:val="nil"/>
              <w:right w:val="nil"/>
            </w:tcBorders>
            <w:shd w:val="clear" w:color="auto" w:fill="auto"/>
            <w:noWrap/>
            <w:vAlign w:val="bottom"/>
            <w:hideMark/>
          </w:tcPr>
          <w:p w:rsidR="00875E51" w:rsidRPr="00875E51" w:rsidRDefault="00875E51" w:rsidP="00875E51">
            <w:pPr>
              <w:rPr>
                <w:rFonts w:ascii="Lucida Bright" w:hAnsi="Lucida Bright" w:cs="Calibri"/>
                <w:i/>
                <w:iCs/>
                <w:color w:val="000000"/>
                <w:sz w:val="14"/>
                <w:szCs w:val="14"/>
                <w:lang w:val="es-ES"/>
              </w:rPr>
            </w:pPr>
            <w:r w:rsidRPr="00875E51">
              <w:rPr>
                <w:rFonts w:ascii="Lucida Bright" w:hAnsi="Lucida Bright" w:cs="Calibri"/>
                <w:i/>
                <w:iCs/>
                <w:color w:val="000000"/>
                <w:sz w:val="14"/>
                <w:szCs w:val="14"/>
                <w:lang w:val="es-ES"/>
              </w:rPr>
              <w:t>Adquisiciones lucrativas</w:t>
            </w:r>
          </w:p>
        </w:tc>
        <w:tc>
          <w:tcPr>
            <w:tcW w:w="832"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106.293,00</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jc w:val="right"/>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(106.293,00)</w:t>
            </w:r>
          </w:p>
        </w:tc>
      </w:tr>
      <w:tr w:rsidR="00875E51" w:rsidRPr="00875E51" w:rsidTr="00875E51">
        <w:trPr>
          <w:trHeight w:val="172"/>
        </w:trPr>
        <w:tc>
          <w:tcPr>
            <w:tcW w:w="1226" w:type="dxa"/>
            <w:tcBorders>
              <w:top w:val="nil"/>
              <w:left w:val="single" w:sz="8" w:space="0" w:color="auto"/>
              <w:bottom w:val="nil"/>
              <w:right w:val="nil"/>
            </w:tcBorders>
            <w:shd w:val="clear" w:color="auto" w:fill="auto"/>
            <w:noWrap/>
            <w:vAlign w:val="bottom"/>
            <w:hideMark/>
          </w:tcPr>
          <w:p w:rsidR="00875E51" w:rsidRPr="00875E51" w:rsidRDefault="00875E51" w:rsidP="00875E51">
            <w:pPr>
              <w:rPr>
                <w:rFonts w:ascii="Lucida Bright" w:hAnsi="Lucida Bright" w:cs="Calibri"/>
                <w:i/>
                <w:iCs/>
                <w:color w:val="000000"/>
                <w:sz w:val="14"/>
                <w:szCs w:val="14"/>
                <w:lang w:val="es-ES"/>
              </w:rPr>
            </w:pPr>
            <w:r w:rsidRPr="00875E51">
              <w:rPr>
                <w:rFonts w:ascii="Lucida Bright" w:hAnsi="Lucida Bright" w:cs="Calibri"/>
                <w:i/>
                <w:iCs/>
                <w:color w:val="000000"/>
                <w:sz w:val="14"/>
                <w:szCs w:val="14"/>
                <w:lang w:val="es-ES"/>
              </w:rPr>
              <w:t> </w:t>
            </w:r>
          </w:p>
        </w:tc>
        <w:tc>
          <w:tcPr>
            <w:tcW w:w="1212" w:type="dxa"/>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832"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640"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710"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75"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nil"/>
              <w:right w:val="single" w:sz="4"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p>
        </w:tc>
        <w:tc>
          <w:tcPr>
            <w:tcW w:w="1127" w:type="dxa"/>
            <w:tcBorders>
              <w:top w:val="nil"/>
              <w:left w:val="single" w:sz="8" w:space="0" w:color="auto"/>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r>
      <w:tr w:rsidR="00875E51" w:rsidRPr="00875E51" w:rsidTr="00875E51">
        <w:trPr>
          <w:trHeight w:val="161"/>
        </w:trPr>
        <w:tc>
          <w:tcPr>
            <w:tcW w:w="3270"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Compensación de bases imponibles negativas de ejercicios anteriores</w:t>
            </w:r>
          </w:p>
        </w:tc>
        <w:tc>
          <w:tcPr>
            <w:tcW w:w="1640" w:type="dxa"/>
            <w:tcBorders>
              <w:top w:val="single" w:sz="8" w:space="0" w:color="auto"/>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710" w:type="dxa"/>
            <w:tcBorders>
              <w:top w:val="single" w:sz="8" w:space="0" w:color="auto"/>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75" w:type="dxa"/>
            <w:tcBorders>
              <w:top w:val="single" w:sz="8" w:space="0" w:color="auto"/>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single" w:sz="8" w:space="0" w:color="auto"/>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single" w:sz="8" w:space="0" w:color="auto"/>
              <w:left w:val="nil"/>
              <w:bottom w:val="nil"/>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single" w:sz="8" w:space="0" w:color="auto"/>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127" w:type="dxa"/>
            <w:tcBorders>
              <w:top w:val="single" w:sz="8" w:space="0" w:color="auto"/>
              <w:left w:val="nil"/>
              <w:bottom w:val="nil"/>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r>
      <w:tr w:rsidR="00875E51" w:rsidRPr="00875E51" w:rsidTr="00875E51">
        <w:trPr>
          <w:trHeight w:val="172"/>
        </w:trPr>
        <w:tc>
          <w:tcPr>
            <w:tcW w:w="3270" w:type="dxa"/>
            <w:gridSpan w:val="3"/>
            <w:vMerge/>
            <w:tcBorders>
              <w:top w:val="nil"/>
              <w:left w:val="single" w:sz="8" w:space="0" w:color="auto"/>
              <w:bottom w:val="single" w:sz="8" w:space="0" w:color="000000"/>
              <w:right w:val="single" w:sz="8" w:space="0" w:color="000000"/>
            </w:tcBorders>
            <w:vAlign w:val="center"/>
            <w:hideMark/>
          </w:tcPr>
          <w:p w:rsidR="00875E51" w:rsidRPr="00875E51" w:rsidRDefault="00875E51" w:rsidP="00875E51">
            <w:pPr>
              <w:rPr>
                <w:rFonts w:ascii="Lucida Bright" w:hAnsi="Lucida Bright" w:cs="Calibri"/>
                <w:color w:val="000000"/>
                <w:sz w:val="14"/>
                <w:szCs w:val="14"/>
                <w:lang w:val="es-ES"/>
              </w:rPr>
            </w:pPr>
          </w:p>
        </w:tc>
        <w:tc>
          <w:tcPr>
            <w:tcW w:w="1640" w:type="dxa"/>
            <w:tcBorders>
              <w:top w:val="nil"/>
              <w:left w:val="nil"/>
              <w:bottom w:val="single" w:sz="8" w:space="0" w:color="auto"/>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710" w:type="dxa"/>
            <w:tcBorders>
              <w:top w:val="nil"/>
              <w:left w:val="nil"/>
              <w:bottom w:val="single" w:sz="8" w:space="0" w:color="auto"/>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75" w:type="dxa"/>
            <w:tcBorders>
              <w:top w:val="nil"/>
              <w:left w:val="nil"/>
              <w:bottom w:val="single" w:sz="8" w:space="0" w:color="auto"/>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437" w:type="dxa"/>
            <w:tcBorders>
              <w:top w:val="nil"/>
              <w:left w:val="nil"/>
              <w:bottom w:val="single" w:sz="8" w:space="0" w:color="auto"/>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398" w:type="dxa"/>
            <w:tcBorders>
              <w:top w:val="nil"/>
              <w:left w:val="nil"/>
              <w:bottom w:val="single" w:sz="8" w:space="0" w:color="auto"/>
              <w:right w:val="nil"/>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266" w:type="dxa"/>
            <w:gridSpan w:val="2"/>
            <w:tcBorders>
              <w:top w:val="nil"/>
              <w:left w:val="nil"/>
              <w:bottom w:val="single" w:sz="8" w:space="0" w:color="auto"/>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c>
          <w:tcPr>
            <w:tcW w:w="1127" w:type="dxa"/>
            <w:tcBorders>
              <w:top w:val="nil"/>
              <w:left w:val="nil"/>
              <w:bottom w:val="single" w:sz="8" w:space="0" w:color="auto"/>
              <w:right w:val="single" w:sz="8" w:space="0" w:color="auto"/>
            </w:tcBorders>
            <w:shd w:val="clear" w:color="auto" w:fill="auto"/>
            <w:noWrap/>
            <w:vAlign w:val="bottom"/>
            <w:hideMark/>
          </w:tcPr>
          <w:p w:rsidR="00875E51" w:rsidRPr="00875E51" w:rsidRDefault="00875E51" w:rsidP="00875E51">
            <w:pP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 </w:t>
            </w:r>
          </w:p>
        </w:tc>
      </w:tr>
      <w:tr w:rsidR="00875E51" w:rsidRPr="00875E51" w:rsidTr="00875E51">
        <w:trPr>
          <w:trHeight w:val="165"/>
        </w:trPr>
        <w:tc>
          <w:tcPr>
            <w:tcW w:w="327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75E51" w:rsidRPr="00875E51" w:rsidRDefault="00875E51" w:rsidP="00875E51">
            <w:pPr>
              <w:rPr>
                <w:rFonts w:ascii="Lucida Bright" w:hAnsi="Lucida Bright" w:cs="Calibri"/>
                <w:b/>
                <w:bCs/>
                <w:color w:val="000000"/>
                <w:sz w:val="14"/>
                <w:szCs w:val="14"/>
                <w:lang w:val="es-ES"/>
              </w:rPr>
            </w:pPr>
            <w:r w:rsidRPr="00875E51">
              <w:rPr>
                <w:rFonts w:ascii="Lucida Bright" w:hAnsi="Lucida Bright" w:cs="Calibri"/>
                <w:b/>
                <w:bCs/>
                <w:color w:val="000000"/>
                <w:sz w:val="14"/>
                <w:szCs w:val="14"/>
                <w:lang w:val="es-ES"/>
              </w:rPr>
              <w:t>Base Imponible fiscal</w:t>
            </w:r>
          </w:p>
        </w:tc>
        <w:tc>
          <w:tcPr>
            <w:tcW w:w="335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5E51" w:rsidRPr="00875E51" w:rsidRDefault="00875E51" w:rsidP="00875E51">
            <w:pPr>
              <w:jc w:val="cente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56.098.608,42</w:t>
            </w:r>
          </w:p>
        </w:tc>
        <w:tc>
          <w:tcPr>
            <w:tcW w:w="291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5E51" w:rsidRPr="00875E51" w:rsidRDefault="00875E51" w:rsidP="00875E51">
            <w:pPr>
              <w:jc w:val="cente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0,00</w:t>
            </w:r>
          </w:p>
        </w:tc>
        <w:tc>
          <w:tcPr>
            <w:tcW w:w="2664"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5E51" w:rsidRPr="00875E51" w:rsidRDefault="00875E51" w:rsidP="00875E51">
            <w:pPr>
              <w:jc w:val="cente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0,00</w:t>
            </w:r>
          </w:p>
        </w:tc>
        <w:tc>
          <w:tcPr>
            <w:tcW w:w="11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75E51" w:rsidRPr="00875E51" w:rsidRDefault="00875E51" w:rsidP="00875E51">
            <w:pPr>
              <w:jc w:val="center"/>
              <w:rPr>
                <w:rFonts w:ascii="Lucida Bright" w:hAnsi="Lucida Bright" w:cs="Calibri"/>
                <w:color w:val="000000"/>
                <w:sz w:val="14"/>
                <w:szCs w:val="14"/>
                <w:lang w:val="es-ES"/>
              </w:rPr>
            </w:pPr>
            <w:r w:rsidRPr="00875E51">
              <w:rPr>
                <w:rFonts w:ascii="Lucida Bright" w:hAnsi="Lucida Bright" w:cs="Calibri"/>
                <w:color w:val="000000"/>
                <w:sz w:val="14"/>
                <w:szCs w:val="14"/>
                <w:lang w:val="es-ES"/>
              </w:rPr>
              <w:t>56.098.608,42</w:t>
            </w:r>
          </w:p>
        </w:tc>
      </w:tr>
      <w:tr w:rsidR="00875E51" w:rsidRPr="00875E51" w:rsidTr="00875E51">
        <w:trPr>
          <w:trHeight w:val="172"/>
        </w:trPr>
        <w:tc>
          <w:tcPr>
            <w:tcW w:w="3270" w:type="dxa"/>
            <w:gridSpan w:val="3"/>
            <w:vMerge/>
            <w:tcBorders>
              <w:top w:val="single" w:sz="8" w:space="0" w:color="auto"/>
              <w:left w:val="single" w:sz="8" w:space="0" w:color="auto"/>
              <w:bottom w:val="single" w:sz="8" w:space="0" w:color="000000"/>
              <w:right w:val="single" w:sz="8" w:space="0" w:color="000000"/>
            </w:tcBorders>
            <w:vAlign w:val="center"/>
            <w:hideMark/>
          </w:tcPr>
          <w:p w:rsidR="00875E51" w:rsidRPr="00875E51" w:rsidRDefault="00875E51" w:rsidP="00875E51">
            <w:pPr>
              <w:rPr>
                <w:rFonts w:ascii="Lucida Bright" w:hAnsi="Lucida Bright" w:cs="Calibri"/>
                <w:b/>
                <w:bCs/>
                <w:color w:val="000000"/>
                <w:sz w:val="14"/>
                <w:szCs w:val="14"/>
                <w:lang w:val="es-ES"/>
              </w:rPr>
            </w:pPr>
          </w:p>
        </w:tc>
        <w:tc>
          <w:tcPr>
            <w:tcW w:w="3350" w:type="dxa"/>
            <w:gridSpan w:val="2"/>
            <w:vMerge/>
            <w:tcBorders>
              <w:top w:val="single" w:sz="8" w:space="0" w:color="auto"/>
              <w:left w:val="single" w:sz="8" w:space="0" w:color="auto"/>
              <w:bottom w:val="single" w:sz="8" w:space="0" w:color="000000"/>
              <w:right w:val="single" w:sz="8" w:space="0" w:color="auto"/>
            </w:tcBorders>
            <w:vAlign w:val="center"/>
            <w:hideMark/>
          </w:tcPr>
          <w:p w:rsidR="00875E51" w:rsidRPr="00875E51" w:rsidRDefault="00875E51" w:rsidP="00875E51">
            <w:pPr>
              <w:rPr>
                <w:rFonts w:ascii="Lucida Bright" w:hAnsi="Lucida Bright" w:cs="Calibri"/>
                <w:color w:val="000000"/>
                <w:sz w:val="14"/>
                <w:szCs w:val="14"/>
                <w:lang w:val="es-ES"/>
              </w:rPr>
            </w:pPr>
          </w:p>
        </w:tc>
        <w:tc>
          <w:tcPr>
            <w:tcW w:w="2912" w:type="dxa"/>
            <w:gridSpan w:val="2"/>
            <w:vMerge/>
            <w:tcBorders>
              <w:top w:val="single" w:sz="8" w:space="0" w:color="auto"/>
              <w:left w:val="single" w:sz="8" w:space="0" w:color="auto"/>
              <w:bottom w:val="single" w:sz="8" w:space="0" w:color="000000"/>
              <w:right w:val="single" w:sz="8" w:space="0" w:color="auto"/>
            </w:tcBorders>
            <w:vAlign w:val="center"/>
            <w:hideMark/>
          </w:tcPr>
          <w:p w:rsidR="00875E51" w:rsidRPr="00875E51" w:rsidRDefault="00875E51" w:rsidP="00875E51">
            <w:pPr>
              <w:rPr>
                <w:rFonts w:ascii="Lucida Bright" w:hAnsi="Lucida Bright" w:cs="Calibri"/>
                <w:color w:val="000000"/>
                <w:sz w:val="14"/>
                <w:szCs w:val="14"/>
                <w:lang w:val="es-ES"/>
              </w:rPr>
            </w:pPr>
          </w:p>
        </w:tc>
        <w:tc>
          <w:tcPr>
            <w:tcW w:w="2664" w:type="dxa"/>
            <w:gridSpan w:val="3"/>
            <w:vMerge/>
            <w:tcBorders>
              <w:top w:val="single" w:sz="8" w:space="0" w:color="auto"/>
              <w:left w:val="single" w:sz="8" w:space="0" w:color="auto"/>
              <w:bottom w:val="single" w:sz="8" w:space="0" w:color="000000"/>
              <w:right w:val="single" w:sz="8" w:space="0" w:color="auto"/>
            </w:tcBorders>
            <w:vAlign w:val="center"/>
            <w:hideMark/>
          </w:tcPr>
          <w:p w:rsidR="00875E51" w:rsidRPr="00875E51" w:rsidRDefault="00875E51" w:rsidP="00875E51">
            <w:pPr>
              <w:rPr>
                <w:rFonts w:ascii="Lucida Bright" w:hAnsi="Lucida Bright" w:cs="Calibri"/>
                <w:color w:val="000000"/>
                <w:sz w:val="14"/>
                <w:szCs w:val="14"/>
                <w:lang w:val="es-ES"/>
              </w:rPr>
            </w:pPr>
          </w:p>
        </w:tc>
        <w:tc>
          <w:tcPr>
            <w:tcW w:w="1127" w:type="dxa"/>
            <w:vMerge/>
            <w:tcBorders>
              <w:top w:val="nil"/>
              <w:left w:val="single" w:sz="8" w:space="0" w:color="auto"/>
              <w:bottom w:val="single" w:sz="8" w:space="0" w:color="000000"/>
              <w:right w:val="single" w:sz="8" w:space="0" w:color="auto"/>
            </w:tcBorders>
            <w:vAlign w:val="center"/>
            <w:hideMark/>
          </w:tcPr>
          <w:p w:rsidR="00875E51" w:rsidRPr="00875E51" w:rsidRDefault="00875E51" w:rsidP="00875E51">
            <w:pPr>
              <w:rPr>
                <w:rFonts w:ascii="Lucida Bright" w:hAnsi="Lucida Bright" w:cs="Calibri"/>
                <w:color w:val="000000"/>
                <w:sz w:val="14"/>
                <w:szCs w:val="14"/>
                <w:lang w:val="es-ES"/>
              </w:rPr>
            </w:pPr>
          </w:p>
        </w:tc>
      </w:tr>
    </w:tbl>
    <w:p w:rsidR="00875E51" w:rsidRDefault="00875E51" w:rsidP="00E0015A">
      <w:pPr>
        <w:tabs>
          <w:tab w:val="right" w:pos="8364"/>
        </w:tabs>
        <w:jc w:val="both"/>
        <w:rPr>
          <w:bCs/>
          <w:sz w:val="16"/>
          <w:szCs w:val="16"/>
        </w:rPr>
        <w:sectPr w:rsidR="00875E51" w:rsidSect="009B3D40">
          <w:pgSz w:w="16840" w:h="11907" w:orient="landscape" w:code="9"/>
          <w:pgMar w:top="1276" w:right="1701" w:bottom="1418" w:left="1701" w:header="567" w:footer="720" w:gutter="0"/>
          <w:cols w:space="720"/>
          <w:docGrid w:linePitch="272"/>
        </w:sectPr>
      </w:pPr>
    </w:p>
    <w:p w:rsidR="00BB70A9" w:rsidRDefault="00BB70A9">
      <w:pPr>
        <w:tabs>
          <w:tab w:val="right" w:pos="8364"/>
        </w:tabs>
        <w:ind w:firstLine="540"/>
        <w:jc w:val="both"/>
        <w:rPr>
          <w:rFonts w:ascii="NewBaskerville" w:hAnsi="NewBaskerville"/>
          <w:bCs/>
          <w:u w:val="single"/>
        </w:rPr>
      </w:pPr>
    </w:p>
    <w:tbl>
      <w:tblPr>
        <w:tblW w:w="13254" w:type="dxa"/>
        <w:tblInd w:w="55" w:type="dxa"/>
        <w:tblCellMar>
          <w:left w:w="70" w:type="dxa"/>
          <w:right w:w="70" w:type="dxa"/>
        </w:tblCellMar>
        <w:tblLook w:val="04A0" w:firstRow="1" w:lastRow="0" w:firstColumn="1" w:lastColumn="0" w:noHBand="0" w:noVBand="1"/>
      </w:tblPr>
      <w:tblGrid>
        <w:gridCol w:w="1214"/>
        <w:gridCol w:w="1214"/>
        <w:gridCol w:w="832"/>
        <w:gridCol w:w="1717"/>
        <w:gridCol w:w="1662"/>
        <w:gridCol w:w="1598"/>
        <w:gridCol w:w="1468"/>
        <w:gridCol w:w="1265"/>
        <w:gridCol w:w="1162"/>
        <w:gridCol w:w="1122"/>
      </w:tblGrid>
      <w:tr w:rsidR="00737679" w:rsidRPr="00737679" w:rsidTr="00737679">
        <w:trPr>
          <w:trHeight w:val="206"/>
        </w:trPr>
        <w:tc>
          <w:tcPr>
            <w:tcW w:w="10970" w:type="dxa"/>
            <w:gridSpan w:val="8"/>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b/>
                <w:bCs/>
                <w:color w:val="000000"/>
                <w:sz w:val="18"/>
                <w:szCs w:val="18"/>
                <w:lang w:val="es-ES"/>
              </w:rPr>
            </w:pPr>
            <w:r w:rsidRPr="00737679">
              <w:rPr>
                <w:rFonts w:ascii="Lucida Bright" w:hAnsi="Lucida Bright" w:cs="Calibri"/>
                <w:b/>
                <w:bCs/>
                <w:color w:val="000000"/>
                <w:sz w:val="18"/>
                <w:szCs w:val="18"/>
                <w:lang w:val="es-ES"/>
              </w:rPr>
              <w:t>Ejercicio 2023. Conciliación resultado contable y base imponible fiscal.</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6"/>
                <w:szCs w:val="16"/>
                <w:lang w:val="es-ES"/>
              </w:rPr>
            </w:pPr>
          </w:p>
        </w:tc>
        <w:tc>
          <w:tcPr>
            <w:tcW w:w="112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6"/>
                <w:szCs w:val="16"/>
                <w:lang w:val="es-ES"/>
              </w:rPr>
            </w:pPr>
          </w:p>
        </w:tc>
      </w:tr>
      <w:tr w:rsidR="00737679" w:rsidRPr="00737679" w:rsidTr="00737679">
        <w:trPr>
          <w:trHeight w:val="195"/>
        </w:trPr>
        <w:tc>
          <w:tcPr>
            <w:tcW w:w="1214" w:type="dxa"/>
            <w:tcBorders>
              <w:top w:val="single" w:sz="8" w:space="0" w:color="auto"/>
              <w:left w:val="single" w:sz="8" w:space="0" w:color="auto"/>
              <w:bottom w:val="nil"/>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14" w:type="dxa"/>
            <w:tcBorders>
              <w:top w:val="single" w:sz="8" w:space="0" w:color="auto"/>
              <w:left w:val="nil"/>
              <w:bottom w:val="nil"/>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832" w:type="dxa"/>
            <w:tcBorders>
              <w:top w:val="single" w:sz="8" w:space="0" w:color="auto"/>
              <w:left w:val="nil"/>
              <w:bottom w:val="nil"/>
              <w:right w:val="single" w:sz="8" w:space="0" w:color="auto"/>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9994" w:type="dxa"/>
            <w:gridSpan w:val="7"/>
            <w:tcBorders>
              <w:top w:val="single" w:sz="8" w:space="0" w:color="auto"/>
              <w:left w:val="nil"/>
              <w:bottom w:val="single" w:sz="8" w:space="0" w:color="auto"/>
              <w:right w:val="single" w:sz="8" w:space="0" w:color="000000"/>
            </w:tcBorders>
            <w:shd w:val="clear" w:color="000000" w:fill="CCFFCC"/>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Euros</w:t>
            </w:r>
          </w:p>
        </w:tc>
      </w:tr>
      <w:tr w:rsidR="00737679" w:rsidRPr="00737679" w:rsidTr="00737679">
        <w:trPr>
          <w:trHeight w:val="644"/>
        </w:trPr>
        <w:tc>
          <w:tcPr>
            <w:tcW w:w="1214" w:type="dxa"/>
            <w:tcBorders>
              <w:top w:val="nil"/>
              <w:left w:val="single" w:sz="8" w:space="0" w:color="auto"/>
              <w:bottom w:val="single" w:sz="8" w:space="0" w:color="auto"/>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14" w:type="dxa"/>
            <w:tcBorders>
              <w:top w:val="nil"/>
              <w:left w:val="nil"/>
              <w:bottom w:val="single" w:sz="8" w:space="0" w:color="auto"/>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832" w:type="dxa"/>
            <w:tcBorders>
              <w:top w:val="nil"/>
              <w:left w:val="nil"/>
              <w:bottom w:val="single" w:sz="8" w:space="0" w:color="auto"/>
              <w:right w:val="single" w:sz="8" w:space="0" w:color="auto"/>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3379" w:type="dxa"/>
            <w:gridSpan w:val="2"/>
            <w:tcBorders>
              <w:top w:val="single" w:sz="8" w:space="0" w:color="auto"/>
              <w:left w:val="nil"/>
              <w:bottom w:val="single" w:sz="8" w:space="0" w:color="auto"/>
              <w:right w:val="single" w:sz="8" w:space="0" w:color="auto"/>
            </w:tcBorders>
            <w:shd w:val="clear" w:color="000000" w:fill="CCFFCC"/>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Cuenta de Pérdidas y Ganancias</w:t>
            </w:r>
          </w:p>
        </w:tc>
        <w:tc>
          <w:tcPr>
            <w:tcW w:w="3066" w:type="dxa"/>
            <w:gridSpan w:val="2"/>
            <w:tcBorders>
              <w:top w:val="single" w:sz="8" w:space="0" w:color="auto"/>
              <w:left w:val="nil"/>
              <w:bottom w:val="single" w:sz="8" w:space="0" w:color="auto"/>
              <w:right w:val="single" w:sz="8" w:space="0" w:color="auto"/>
            </w:tcBorders>
            <w:shd w:val="clear" w:color="000000" w:fill="CCFFCC"/>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Ingresos y Gastos Directamente Imputados al Patrimonio</w:t>
            </w:r>
          </w:p>
        </w:tc>
        <w:tc>
          <w:tcPr>
            <w:tcW w:w="2427" w:type="dxa"/>
            <w:gridSpan w:val="2"/>
            <w:tcBorders>
              <w:top w:val="single" w:sz="8" w:space="0" w:color="auto"/>
              <w:left w:val="nil"/>
              <w:bottom w:val="single" w:sz="8" w:space="0" w:color="auto"/>
              <w:right w:val="single" w:sz="8" w:space="0" w:color="auto"/>
            </w:tcBorders>
            <w:shd w:val="clear" w:color="000000" w:fill="CCFFCC"/>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Reservas</w:t>
            </w:r>
          </w:p>
        </w:tc>
        <w:tc>
          <w:tcPr>
            <w:tcW w:w="1122" w:type="dxa"/>
            <w:tcBorders>
              <w:top w:val="nil"/>
              <w:left w:val="nil"/>
              <w:bottom w:val="single" w:sz="8" w:space="0" w:color="auto"/>
              <w:right w:val="single" w:sz="8" w:space="0" w:color="auto"/>
            </w:tcBorders>
            <w:shd w:val="clear" w:color="000000" w:fill="CCFFCC"/>
            <w:noWrap/>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Total</w:t>
            </w:r>
          </w:p>
        </w:tc>
      </w:tr>
      <w:tr w:rsidR="00737679" w:rsidRPr="00737679" w:rsidTr="00737679">
        <w:trPr>
          <w:trHeight w:val="183"/>
        </w:trPr>
        <w:tc>
          <w:tcPr>
            <w:tcW w:w="326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Resultado contable antes del Impuesto sobre Sociedades</w:t>
            </w:r>
          </w:p>
        </w:tc>
        <w:tc>
          <w:tcPr>
            <w:tcW w:w="337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47.050.375,18</w:t>
            </w:r>
          </w:p>
        </w:tc>
        <w:tc>
          <w:tcPr>
            <w:tcW w:w="30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1.196.160,57</w:t>
            </w:r>
          </w:p>
        </w:tc>
        <w:tc>
          <w:tcPr>
            <w:tcW w:w="242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-81.228,02</w:t>
            </w:r>
          </w:p>
        </w:tc>
        <w:tc>
          <w:tcPr>
            <w:tcW w:w="1122" w:type="dxa"/>
            <w:vMerge w:val="restart"/>
            <w:tcBorders>
              <w:top w:val="nil"/>
              <w:left w:val="single" w:sz="8" w:space="0" w:color="auto"/>
              <w:bottom w:val="single" w:sz="8" w:space="0" w:color="000000"/>
              <w:right w:val="single" w:sz="8" w:space="0" w:color="auto"/>
            </w:tcBorders>
            <w:shd w:val="clear" w:color="auto" w:fill="auto"/>
            <w:vAlign w:val="center"/>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48.165.307,73</w:t>
            </w:r>
          </w:p>
        </w:tc>
      </w:tr>
      <w:tr w:rsidR="00737679" w:rsidRPr="00737679" w:rsidTr="00737679">
        <w:trPr>
          <w:trHeight w:val="195"/>
        </w:trPr>
        <w:tc>
          <w:tcPr>
            <w:tcW w:w="3260" w:type="dxa"/>
            <w:gridSpan w:val="3"/>
            <w:vMerge/>
            <w:tcBorders>
              <w:top w:val="single" w:sz="8" w:space="0" w:color="auto"/>
              <w:left w:val="single" w:sz="8" w:space="0" w:color="auto"/>
              <w:bottom w:val="single" w:sz="8" w:space="0" w:color="000000"/>
              <w:right w:val="single" w:sz="8" w:space="0" w:color="000000"/>
            </w:tcBorders>
            <w:vAlign w:val="center"/>
            <w:hideMark/>
          </w:tcPr>
          <w:p w:rsidR="00737679" w:rsidRPr="00737679" w:rsidRDefault="00737679" w:rsidP="00737679">
            <w:pPr>
              <w:rPr>
                <w:rFonts w:ascii="Lucida Bright" w:hAnsi="Lucida Bright" w:cs="Calibri"/>
                <w:color w:val="000000"/>
                <w:sz w:val="14"/>
                <w:szCs w:val="14"/>
                <w:lang w:val="es-ES"/>
              </w:rPr>
            </w:pPr>
          </w:p>
        </w:tc>
        <w:tc>
          <w:tcPr>
            <w:tcW w:w="3379" w:type="dxa"/>
            <w:gridSpan w:val="2"/>
            <w:vMerge/>
            <w:tcBorders>
              <w:top w:val="single" w:sz="8" w:space="0" w:color="auto"/>
              <w:left w:val="single" w:sz="8" w:space="0" w:color="auto"/>
              <w:bottom w:val="single" w:sz="8" w:space="0" w:color="000000"/>
              <w:right w:val="single" w:sz="8" w:space="0" w:color="000000"/>
            </w:tcBorders>
            <w:vAlign w:val="center"/>
            <w:hideMark/>
          </w:tcPr>
          <w:p w:rsidR="00737679" w:rsidRPr="00737679" w:rsidRDefault="00737679" w:rsidP="00737679">
            <w:pPr>
              <w:rPr>
                <w:rFonts w:ascii="Lucida Bright" w:hAnsi="Lucida Bright" w:cs="Calibri"/>
                <w:color w:val="000000"/>
                <w:sz w:val="14"/>
                <w:szCs w:val="14"/>
                <w:lang w:val="es-ES"/>
              </w:rPr>
            </w:pPr>
          </w:p>
        </w:tc>
        <w:tc>
          <w:tcPr>
            <w:tcW w:w="3066" w:type="dxa"/>
            <w:gridSpan w:val="2"/>
            <w:vMerge/>
            <w:tcBorders>
              <w:top w:val="single" w:sz="8" w:space="0" w:color="auto"/>
              <w:left w:val="single" w:sz="8" w:space="0" w:color="auto"/>
              <w:bottom w:val="single" w:sz="8" w:space="0" w:color="000000"/>
              <w:right w:val="single" w:sz="8" w:space="0" w:color="000000"/>
            </w:tcBorders>
            <w:vAlign w:val="center"/>
            <w:hideMark/>
          </w:tcPr>
          <w:p w:rsidR="00737679" w:rsidRPr="00737679" w:rsidRDefault="00737679" w:rsidP="00737679">
            <w:pPr>
              <w:rPr>
                <w:rFonts w:ascii="Lucida Bright" w:hAnsi="Lucida Bright" w:cs="Calibri"/>
                <w:color w:val="000000"/>
                <w:sz w:val="14"/>
                <w:szCs w:val="14"/>
                <w:lang w:val="es-ES"/>
              </w:rPr>
            </w:pPr>
          </w:p>
        </w:tc>
        <w:tc>
          <w:tcPr>
            <w:tcW w:w="2427" w:type="dxa"/>
            <w:gridSpan w:val="2"/>
            <w:vMerge/>
            <w:tcBorders>
              <w:top w:val="single" w:sz="8" w:space="0" w:color="auto"/>
              <w:left w:val="single" w:sz="8" w:space="0" w:color="auto"/>
              <w:bottom w:val="single" w:sz="8" w:space="0" w:color="000000"/>
              <w:right w:val="single" w:sz="8" w:space="0" w:color="000000"/>
            </w:tcBorders>
            <w:vAlign w:val="center"/>
            <w:hideMark/>
          </w:tcPr>
          <w:p w:rsidR="00737679" w:rsidRPr="00737679" w:rsidRDefault="00737679" w:rsidP="00737679">
            <w:pPr>
              <w:rPr>
                <w:rFonts w:ascii="Lucida Bright" w:hAnsi="Lucida Bright" w:cs="Calibri"/>
                <w:color w:val="000000"/>
                <w:sz w:val="14"/>
                <w:szCs w:val="14"/>
                <w:lang w:val="es-ES"/>
              </w:rPr>
            </w:pPr>
          </w:p>
        </w:tc>
        <w:tc>
          <w:tcPr>
            <w:tcW w:w="1122" w:type="dxa"/>
            <w:vMerge/>
            <w:tcBorders>
              <w:top w:val="nil"/>
              <w:left w:val="single" w:sz="8" w:space="0" w:color="auto"/>
              <w:bottom w:val="single" w:sz="8" w:space="0" w:color="000000"/>
              <w:right w:val="single" w:sz="8" w:space="0" w:color="auto"/>
            </w:tcBorders>
            <w:vAlign w:val="center"/>
            <w:hideMark/>
          </w:tcPr>
          <w:p w:rsidR="00737679" w:rsidRPr="00737679" w:rsidRDefault="00737679" w:rsidP="00737679">
            <w:pPr>
              <w:rPr>
                <w:rFonts w:ascii="Lucida Bright" w:hAnsi="Lucida Bright" w:cs="Calibri"/>
                <w:color w:val="000000"/>
                <w:sz w:val="14"/>
                <w:szCs w:val="14"/>
                <w:lang w:val="es-ES"/>
              </w:rPr>
            </w:pPr>
          </w:p>
        </w:tc>
      </w:tr>
      <w:tr w:rsidR="00737679" w:rsidRPr="00737679" w:rsidTr="00737679">
        <w:trPr>
          <w:trHeight w:val="195"/>
        </w:trPr>
        <w:tc>
          <w:tcPr>
            <w:tcW w:w="3260" w:type="dxa"/>
            <w:gridSpan w:val="3"/>
            <w:vMerge/>
            <w:tcBorders>
              <w:top w:val="single" w:sz="8" w:space="0" w:color="auto"/>
              <w:left w:val="single" w:sz="8" w:space="0" w:color="auto"/>
              <w:bottom w:val="single" w:sz="8" w:space="0" w:color="000000"/>
              <w:right w:val="single" w:sz="8" w:space="0" w:color="000000"/>
            </w:tcBorders>
            <w:vAlign w:val="center"/>
            <w:hideMark/>
          </w:tcPr>
          <w:p w:rsidR="00737679" w:rsidRPr="00737679" w:rsidRDefault="00737679" w:rsidP="00737679">
            <w:pPr>
              <w:rPr>
                <w:rFonts w:ascii="Lucida Bright" w:hAnsi="Lucida Bright" w:cs="Calibri"/>
                <w:color w:val="000000"/>
                <w:sz w:val="14"/>
                <w:szCs w:val="14"/>
                <w:lang w:val="es-ES"/>
              </w:rPr>
            </w:pPr>
          </w:p>
        </w:tc>
        <w:tc>
          <w:tcPr>
            <w:tcW w:w="1717"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xml:space="preserve">Aumentos </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Disminuciones</w:t>
            </w:r>
          </w:p>
        </w:tc>
        <w:tc>
          <w:tcPr>
            <w:tcW w:w="159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xml:space="preserve">Aumentos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Disminuciones</w:t>
            </w:r>
          </w:p>
        </w:tc>
        <w:tc>
          <w:tcPr>
            <w:tcW w:w="1265" w:type="dxa"/>
            <w:tcBorders>
              <w:top w:val="nil"/>
              <w:left w:val="nil"/>
              <w:bottom w:val="single" w:sz="4"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xml:space="preserve">Aumentos </w:t>
            </w:r>
          </w:p>
        </w:tc>
        <w:tc>
          <w:tcPr>
            <w:tcW w:w="1162" w:type="dxa"/>
            <w:tcBorders>
              <w:top w:val="nil"/>
              <w:left w:val="nil"/>
              <w:bottom w:val="single" w:sz="4"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Disminuciones</w:t>
            </w:r>
          </w:p>
        </w:tc>
        <w:tc>
          <w:tcPr>
            <w:tcW w:w="112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183"/>
        </w:trPr>
        <w:tc>
          <w:tcPr>
            <w:tcW w:w="1214" w:type="dxa"/>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14"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83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717" w:type="dxa"/>
            <w:tcBorders>
              <w:top w:val="single" w:sz="8" w:space="0" w:color="auto"/>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662" w:type="dxa"/>
            <w:tcBorders>
              <w:top w:val="single" w:sz="8" w:space="0" w:color="auto"/>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598" w:type="dxa"/>
            <w:tcBorders>
              <w:top w:val="single" w:sz="8" w:space="0" w:color="auto"/>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single" w:sz="8" w:space="0" w:color="auto"/>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single" w:sz="8" w:space="0" w:color="auto"/>
              <w:left w:val="single" w:sz="8"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183"/>
        </w:trPr>
        <w:tc>
          <w:tcPr>
            <w:tcW w:w="2428" w:type="dxa"/>
            <w:gridSpan w:val="2"/>
            <w:tcBorders>
              <w:top w:val="nil"/>
              <w:left w:val="single" w:sz="8" w:space="0" w:color="auto"/>
              <w:bottom w:val="nil"/>
              <w:right w:val="nil"/>
            </w:tcBorders>
            <w:shd w:val="clear" w:color="auto" w:fill="auto"/>
            <w:noWrap/>
            <w:vAlign w:val="center"/>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Diferencias permanentes:</w:t>
            </w:r>
          </w:p>
        </w:tc>
        <w:tc>
          <w:tcPr>
            <w:tcW w:w="83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183"/>
        </w:trPr>
        <w:tc>
          <w:tcPr>
            <w:tcW w:w="3260" w:type="dxa"/>
            <w:gridSpan w:val="3"/>
            <w:tcBorders>
              <w:top w:val="nil"/>
              <w:left w:val="single" w:sz="8" w:space="0" w:color="auto"/>
              <w:bottom w:val="nil"/>
              <w:right w:val="single" w:sz="8" w:space="0" w:color="000000"/>
            </w:tcBorders>
            <w:shd w:val="clear" w:color="auto" w:fill="auto"/>
            <w:noWrap/>
            <w:vAlign w:val="center"/>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Dotación amort superior Plan Especial</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1.036.805,13</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1.036.805,13</w:t>
            </w:r>
          </w:p>
        </w:tc>
      </w:tr>
      <w:tr w:rsidR="00737679" w:rsidRPr="00737679" w:rsidTr="00737679">
        <w:trPr>
          <w:trHeight w:val="183"/>
        </w:trPr>
        <w:tc>
          <w:tcPr>
            <w:tcW w:w="3260" w:type="dxa"/>
            <w:gridSpan w:val="3"/>
            <w:tcBorders>
              <w:top w:val="nil"/>
              <w:left w:val="single" w:sz="8" w:space="0" w:color="auto"/>
              <w:bottom w:val="nil"/>
              <w:right w:val="single" w:sz="8" w:space="0" w:color="000000"/>
            </w:tcBorders>
            <w:shd w:val="clear" w:color="auto" w:fill="auto"/>
            <w:noWrap/>
            <w:vAlign w:val="center"/>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Ing trasp rdo reversiones conc ej ante 2020</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121.594,21</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(121.594,21)</w:t>
            </w:r>
          </w:p>
        </w:tc>
      </w:tr>
      <w:tr w:rsidR="00737679" w:rsidRPr="00737679" w:rsidTr="00737679">
        <w:trPr>
          <w:trHeight w:val="183"/>
        </w:trPr>
        <w:tc>
          <w:tcPr>
            <w:tcW w:w="2428" w:type="dxa"/>
            <w:gridSpan w:val="2"/>
            <w:tcBorders>
              <w:top w:val="nil"/>
              <w:left w:val="single" w:sz="8" w:space="0" w:color="auto"/>
              <w:bottom w:val="nil"/>
              <w:right w:val="nil"/>
            </w:tcBorders>
            <w:shd w:val="clear" w:color="auto" w:fill="auto"/>
            <w:noWrap/>
            <w:vAlign w:val="center"/>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Gastos no económicos del ejercicio</w:t>
            </w:r>
          </w:p>
        </w:tc>
        <w:tc>
          <w:tcPr>
            <w:tcW w:w="83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5.617.171,77</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5.617.171,77</w:t>
            </w:r>
          </w:p>
        </w:tc>
      </w:tr>
      <w:tr w:rsidR="00737679" w:rsidRPr="00737679" w:rsidTr="00737679">
        <w:trPr>
          <w:trHeight w:val="183"/>
        </w:trPr>
        <w:tc>
          <w:tcPr>
            <w:tcW w:w="2428" w:type="dxa"/>
            <w:gridSpan w:val="2"/>
            <w:tcBorders>
              <w:top w:val="nil"/>
              <w:left w:val="single" w:sz="8" w:space="0" w:color="auto"/>
              <w:bottom w:val="nil"/>
              <w:right w:val="nil"/>
            </w:tcBorders>
            <w:shd w:val="clear" w:color="auto" w:fill="auto"/>
            <w:noWrap/>
            <w:vAlign w:val="center"/>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Gastos no deducibles</w:t>
            </w:r>
          </w:p>
        </w:tc>
        <w:tc>
          <w:tcPr>
            <w:tcW w:w="83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85.386,00</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85.386,00</w:t>
            </w:r>
          </w:p>
        </w:tc>
      </w:tr>
      <w:tr w:rsidR="00737679" w:rsidRPr="00737679" w:rsidTr="00737679">
        <w:trPr>
          <w:trHeight w:val="183"/>
        </w:trPr>
        <w:tc>
          <w:tcPr>
            <w:tcW w:w="3260" w:type="dxa"/>
            <w:gridSpan w:val="3"/>
            <w:tcBorders>
              <w:top w:val="nil"/>
              <w:left w:val="single" w:sz="8" w:space="0" w:color="auto"/>
              <w:bottom w:val="nil"/>
              <w:right w:val="single" w:sz="8" w:space="0" w:color="000000"/>
            </w:tcBorders>
            <w:shd w:val="clear" w:color="auto" w:fill="auto"/>
            <w:noWrap/>
            <w:vAlign w:val="center"/>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Cambios de criterio y errores contables</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85.040,09</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85.040,09</w:t>
            </w:r>
          </w:p>
        </w:tc>
      </w:tr>
      <w:tr w:rsidR="00737679" w:rsidRPr="00737679" w:rsidTr="00737679">
        <w:trPr>
          <w:trHeight w:val="183"/>
        </w:trPr>
        <w:tc>
          <w:tcPr>
            <w:tcW w:w="3260" w:type="dxa"/>
            <w:gridSpan w:val="3"/>
            <w:tcBorders>
              <w:top w:val="nil"/>
              <w:left w:val="single" w:sz="8" w:space="0" w:color="auto"/>
              <w:bottom w:val="nil"/>
              <w:right w:val="single" w:sz="8" w:space="0" w:color="000000"/>
            </w:tcBorders>
            <w:shd w:val="clear" w:color="auto" w:fill="auto"/>
            <w:noWrap/>
            <w:vAlign w:val="center"/>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Imputación renta FFATP (modelo 184)</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118,87</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118,87</w:t>
            </w:r>
          </w:p>
        </w:tc>
      </w:tr>
      <w:tr w:rsidR="00737679" w:rsidRPr="00737679" w:rsidTr="00737679">
        <w:trPr>
          <w:trHeight w:val="183"/>
        </w:trPr>
        <w:tc>
          <w:tcPr>
            <w:tcW w:w="2428" w:type="dxa"/>
            <w:gridSpan w:val="2"/>
            <w:tcBorders>
              <w:top w:val="nil"/>
              <w:left w:val="single" w:sz="8" w:space="0" w:color="auto"/>
              <w:bottom w:val="nil"/>
              <w:right w:val="nil"/>
            </w:tcBorders>
            <w:shd w:val="clear" w:color="auto" w:fill="auto"/>
            <w:noWrap/>
            <w:vAlign w:val="center"/>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Reserva de capitalización 2023</w:t>
            </w:r>
          </w:p>
        </w:tc>
        <w:tc>
          <w:tcPr>
            <w:tcW w:w="83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3.285.606,61</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(3.285.606,61)</w:t>
            </w:r>
          </w:p>
        </w:tc>
      </w:tr>
      <w:tr w:rsidR="00737679" w:rsidRPr="00737679" w:rsidTr="00737679">
        <w:trPr>
          <w:trHeight w:val="183"/>
        </w:trPr>
        <w:tc>
          <w:tcPr>
            <w:tcW w:w="2428" w:type="dxa"/>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Adquisiciones lucrativas</w:t>
            </w:r>
          </w:p>
        </w:tc>
        <w:tc>
          <w:tcPr>
            <w:tcW w:w="83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w:t>
            </w:r>
          </w:p>
        </w:tc>
      </w:tr>
      <w:tr w:rsidR="00737679" w:rsidRPr="00737679" w:rsidTr="00737679">
        <w:trPr>
          <w:trHeight w:val="183"/>
        </w:trPr>
        <w:tc>
          <w:tcPr>
            <w:tcW w:w="1214" w:type="dxa"/>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 </w:t>
            </w:r>
          </w:p>
        </w:tc>
        <w:tc>
          <w:tcPr>
            <w:tcW w:w="1214"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83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183"/>
        </w:trPr>
        <w:tc>
          <w:tcPr>
            <w:tcW w:w="2428" w:type="dxa"/>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Diferencias temporales:</w:t>
            </w:r>
          </w:p>
        </w:tc>
        <w:tc>
          <w:tcPr>
            <w:tcW w:w="83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183"/>
        </w:trPr>
        <w:tc>
          <w:tcPr>
            <w:tcW w:w="2428" w:type="dxa"/>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Con origen en el ejercicio</w:t>
            </w:r>
          </w:p>
        </w:tc>
        <w:tc>
          <w:tcPr>
            <w:tcW w:w="83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183"/>
        </w:trPr>
        <w:tc>
          <w:tcPr>
            <w:tcW w:w="3260" w:type="dxa"/>
            <w:gridSpan w:val="3"/>
            <w:tcBorders>
              <w:top w:val="nil"/>
              <w:left w:val="single" w:sz="8" w:space="0" w:color="auto"/>
              <w:bottom w:val="nil"/>
              <w:right w:val="single" w:sz="8" w:space="0" w:color="000000"/>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 xml:space="preserve">Diferencias </w:t>
            </w:r>
            <w:r w:rsidR="0031200E" w:rsidRPr="00737679">
              <w:rPr>
                <w:rFonts w:ascii="Lucida Bright" w:hAnsi="Lucida Bright" w:cs="Calibri"/>
                <w:i/>
                <w:iCs/>
                <w:color w:val="000000"/>
                <w:sz w:val="14"/>
                <w:szCs w:val="14"/>
                <w:lang w:val="es-ES"/>
              </w:rPr>
              <w:t>amortización</w:t>
            </w:r>
            <w:r w:rsidRPr="00737679">
              <w:rPr>
                <w:rFonts w:ascii="Lucida Bright" w:hAnsi="Lucida Bright" w:cs="Calibri"/>
                <w:i/>
                <w:iCs/>
                <w:color w:val="000000"/>
                <w:sz w:val="14"/>
                <w:szCs w:val="14"/>
                <w:lang w:val="es-ES"/>
              </w:rPr>
              <w:t xml:space="preserve"> contable y fiscal</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259,82</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142,63</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117,19</w:t>
            </w:r>
          </w:p>
        </w:tc>
      </w:tr>
      <w:tr w:rsidR="00737679" w:rsidRPr="00737679" w:rsidTr="00737679">
        <w:trPr>
          <w:trHeight w:val="183"/>
        </w:trPr>
        <w:tc>
          <w:tcPr>
            <w:tcW w:w="3260" w:type="dxa"/>
            <w:gridSpan w:val="3"/>
            <w:tcBorders>
              <w:top w:val="nil"/>
              <w:left w:val="single" w:sz="8" w:space="0" w:color="auto"/>
              <w:bottom w:val="nil"/>
              <w:right w:val="single" w:sz="8" w:space="0" w:color="000000"/>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Actualización finan provisiones no deduc</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62.052,10</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62.052,10</w:t>
            </w:r>
          </w:p>
        </w:tc>
      </w:tr>
      <w:tr w:rsidR="00737679" w:rsidRPr="00737679" w:rsidTr="00737679">
        <w:trPr>
          <w:trHeight w:val="183"/>
        </w:trPr>
        <w:tc>
          <w:tcPr>
            <w:tcW w:w="2428" w:type="dxa"/>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Subvenciones recibidas</w:t>
            </w:r>
          </w:p>
        </w:tc>
        <w:tc>
          <w:tcPr>
            <w:tcW w:w="83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1.196.160,57</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(1.196.160,57)</w:t>
            </w:r>
          </w:p>
        </w:tc>
      </w:tr>
      <w:tr w:rsidR="00737679" w:rsidRPr="00737679" w:rsidTr="00737679">
        <w:trPr>
          <w:trHeight w:val="183"/>
        </w:trPr>
        <w:tc>
          <w:tcPr>
            <w:tcW w:w="2428" w:type="dxa"/>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Adquisiciones lucrativas</w:t>
            </w:r>
          </w:p>
        </w:tc>
        <w:tc>
          <w:tcPr>
            <w:tcW w:w="83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170.504,83</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(170.504,83)</w:t>
            </w:r>
          </w:p>
        </w:tc>
      </w:tr>
      <w:tr w:rsidR="00737679" w:rsidRPr="00737679" w:rsidTr="00737679">
        <w:trPr>
          <w:trHeight w:val="183"/>
        </w:trPr>
        <w:tc>
          <w:tcPr>
            <w:tcW w:w="1214" w:type="dxa"/>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 </w:t>
            </w:r>
          </w:p>
        </w:tc>
        <w:tc>
          <w:tcPr>
            <w:tcW w:w="1214"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83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183"/>
        </w:trPr>
        <w:tc>
          <w:tcPr>
            <w:tcW w:w="2428" w:type="dxa"/>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Con origen en ejercicios anteriores</w:t>
            </w:r>
          </w:p>
        </w:tc>
        <w:tc>
          <w:tcPr>
            <w:tcW w:w="83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183"/>
        </w:trPr>
        <w:tc>
          <w:tcPr>
            <w:tcW w:w="3260" w:type="dxa"/>
            <w:gridSpan w:val="3"/>
            <w:tcBorders>
              <w:top w:val="nil"/>
              <w:left w:val="single" w:sz="8" w:space="0" w:color="auto"/>
              <w:bottom w:val="nil"/>
              <w:right w:val="single" w:sz="8" w:space="0" w:color="000000"/>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Deducc 30% gastos amortiz Art 7 L16/2012</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44.452,51</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(44.452,51)</w:t>
            </w:r>
          </w:p>
        </w:tc>
      </w:tr>
      <w:tr w:rsidR="00737679" w:rsidRPr="00737679" w:rsidTr="00737679">
        <w:trPr>
          <w:trHeight w:val="183"/>
        </w:trPr>
        <w:tc>
          <w:tcPr>
            <w:tcW w:w="3260" w:type="dxa"/>
            <w:gridSpan w:val="3"/>
            <w:tcBorders>
              <w:top w:val="nil"/>
              <w:left w:val="single" w:sz="8" w:space="0" w:color="auto"/>
              <w:bottom w:val="nil"/>
              <w:right w:val="single" w:sz="8" w:space="0" w:color="000000"/>
            </w:tcBorders>
            <w:shd w:val="clear" w:color="auto" w:fill="auto"/>
            <w:noWrap/>
            <w:vAlign w:val="bottom"/>
            <w:hideMark/>
          </w:tcPr>
          <w:p w:rsidR="00737679" w:rsidRPr="00737679" w:rsidRDefault="00737679" w:rsidP="0031200E">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Diferencias a</w:t>
            </w:r>
            <w:r w:rsidR="0031200E">
              <w:rPr>
                <w:rFonts w:ascii="Lucida Bright" w:hAnsi="Lucida Bright" w:cs="Calibri"/>
                <w:i/>
                <w:iCs/>
                <w:color w:val="000000"/>
                <w:sz w:val="14"/>
                <w:szCs w:val="14"/>
                <w:lang w:val="es-ES"/>
              </w:rPr>
              <w:t>m</w:t>
            </w:r>
            <w:r w:rsidRPr="00737679">
              <w:rPr>
                <w:rFonts w:ascii="Lucida Bright" w:hAnsi="Lucida Bright" w:cs="Calibri"/>
                <w:i/>
                <w:iCs/>
                <w:color w:val="000000"/>
                <w:sz w:val="14"/>
                <w:szCs w:val="14"/>
                <w:lang w:val="es-ES"/>
              </w:rPr>
              <w:t>ortización contable y fiscal</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610,25</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894,84</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(284,59)</w:t>
            </w:r>
          </w:p>
        </w:tc>
      </w:tr>
      <w:tr w:rsidR="00737679" w:rsidRPr="00737679" w:rsidTr="00737679">
        <w:trPr>
          <w:trHeight w:val="195"/>
        </w:trPr>
        <w:tc>
          <w:tcPr>
            <w:tcW w:w="1214" w:type="dxa"/>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 </w:t>
            </w:r>
          </w:p>
        </w:tc>
        <w:tc>
          <w:tcPr>
            <w:tcW w:w="1214"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83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717"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662"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598"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122" w:type="dxa"/>
            <w:tcBorders>
              <w:top w:val="nil"/>
              <w:left w:val="single" w:sz="8"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183"/>
        </w:trPr>
        <w:tc>
          <w:tcPr>
            <w:tcW w:w="3260"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Compensación de bases imponibles negativas de ejercicios anteriores</w:t>
            </w:r>
          </w:p>
        </w:tc>
        <w:tc>
          <w:tcPr>
            <w:tcW w:w="1717" w:type="dxa"/>
            <w:tcBorders>
              <w:top w:val="single" w:sz="8" w:space="0" w:color="auto"/>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662" w:type="dxa"/>
            <w:tcBorders>
              <w:top w:val="single" w:sz="8" w:space="0" w:color="auto"/>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598" w:type="dxa"/>
            <w:tcBorders>
              <w:top w:val="single" w:sz="8" w:space="0" w:color="auto"/>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single" w:sz="8" w:space="0" w:color="auto"/>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single" w:sz="8" w:space="0" w:color="auto"/>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single" w:sz="8" w:space="0" w:color="auto"/>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22" w:type="dxa"/>
            <w:tcBorders>
              <w:top w:val="single" w:sz="8" w:space="0" w:color="auto"/>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195"/>
        </w:trPr>
        <w:tc>
          <w:tcPr>
            <w:tcW w:w="3260" w:type="dxa"/>
            <w:gridSpan w:val="3"/>
            <w:vMerge/>
            <w:tcBorders>
              <w:top w:val="nil"/>
              <w:left w:val="single" w:sz="8" w:space="0" w:color="auto"/>
              <w:bottom w:val="single" w:sz="8" w:space="0" w:color="000000"/>
              <w:right w:val="single" w:sz="8" w:space="0" w:color="000000"/>
            </w:tcBorders>
            <w:vAlign w:val="center"/>
            <w:hideMark/>
          </w:tcPr>
          <w:p w:rsidR="00737679" w:rsidRPr="00737679" w:rsidRDefault="00737679" w:rsidP="00737679">
            <w:pPr>
              <w:rPr>
                <w:rFonts w:ascii="Lucida Bright" w:hAnsi="Lucida Bright" w:cs="Calibri"/>
                <w:color w:val="000000"/>
                <w:sz w:val="14"/>
                <w:szCs w:val="14"/>
                <w:lang w:val="es-ES"/>
              </w:rPr>
            </w:pPr>
          </w:p>
        </w:tc>
        <w:tc>
          <w:tcPr>
            <w:tcW w:w="1717" w:type="dxa"/>
            <w:tcBorders>
              <w:top w:val="nil"/>
              <w:left w:val="nil"/>
              <w:bottom w:val="single" w:sz="8" w:space="0" w:color="auto"/>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662" w:type="dxa"/>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598" w:type="dxa"/>
            <w:tcBorders>
              <w:top w:val="nil"/>
              <w:left w:val="nil"/>
              <w:bottom w:val="single" w:sz="8" w:space="0" w:color="auto"/>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468" w:type="dxa"/>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65" w:type="dxa"/>
            <w:tcBorders>
              <w:top w:val="nil"/>
              <w:left w:val="nil"/>
              <w:bottom w:val="single" w:sz="8" w:space="0" w:color="auto"/>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62" w:type="dxa"/>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22" w:type="dxa"/>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183"/>
        </w:trPr>
        <w:tc>
          <w:tcPr>
            <w:tcW w:w="326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37679" w:rsidRPr="00737679" w:rsidRDefault="00737679" w:rsidP="00737679">
            <w:pPr>
              <w:rPr>
                <w:rFonts w:ascii="Lucida Bright" w:hAnsi="Lucida Bright" w:cs="Calibri"/>
                <w:b/>
                <w:bCs/>
                <w:color w:val="000000"/>
                <w:sz w:val="14"/>
                <w:szCs w:val="14"/>
                <w:lang w:val="es-ES"/>
              </w:rPr>
            </w:pPr>
            <w:r w:rsidRPr="00737679">
              <w:rPr>
                <w:rFonts w:ascii="Lucida Bright" w:hAnsi="Lucida Bright" w:cs="Calibri"/>
                <w:b/>
                <w:bCs/>
                <w:color w:val="000000"/>
                <w:sz w:val="14"/>
                <w:szCs w:val="14"/>
                <w:lang w:val="es-ES"/>
              </w:rPr>
              <w:t>Base Imponible fiscal</w:t>
            </w:r>
          </w:p>
        </w:tc>
        <w:tc>
          <w:tcPr>
            <w:tcW w:w="337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50.229.583,49</w:t>
            </w:r>
          </w:p>
        </w:tc>
        <w:tc>
          <w:tcPr>
            <w:tcW w:w="306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0,00</w:t>
            </w:r>
          </w:p>
        </w:tc>
        <w:tc>
          <w:tcPr>
            <w:tcW w:w="242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3.812,07</w:t>
            </w:r>
          </w:p>
        </w:tc>
        <w:tc>
          <w:tcPr>
            <w:tcW w:w="112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50.233.395,56</w:t>
            </w:r>
          </w:p>
        </w:tc>
      </w:tr>
      <w:tr w:rsidR="00737679" w:rsidRPr="00737679" w:rsidTr="00737679">
        <w:trPr>
          <w:trHeight w:val="195"/>
        </w:trPr>
        <w:tc>
          <w:tcPr>
            <w:tcW w:w="3260" w:type="dxa"/>
            <w:gridSpan w:val="3"/>
            <w:vMerge/>
            <w:tcBorders>
              <w:top w:val="single" w:sz="8" w:space="0" w:color="auto"/>
              <w:left w:val="single" w:sz="8" w:space="0" w:color="auto"/>
              <w:bottom w:val="single" w:sz="8" w:space="0" w:color="000000"/>
              <w:right w:val="single" w:sz="8" w:space="0" w:color="000000"/>
            </w:tcBorders>
            <w:vAlign w:val="center"/>
            <w:hideMark/>
          </w:tcPr>
          <w:p w:rsidR="00737679" w:rsidRPr="00737679" w:rsidRDefault="00737679" w:rsidP="00737679">
            <w:pPr>
              <w:rPr>
                <w:rFonts w:ascii="Lucida Bright" w:hAnsi="Lucida Bright" w:cs="Calibri"/>
                <w:b/>
                <w:bCs/>
                <w:color w:val="000000"/>
                <w:sz w:val="14"/>
                <w:szCs w:val="14"/>
                <w:lang w:val="es-ES"/>
              </w:rPr>
            </w:pPr>
          </w:p>
        </w:tc>
        <w:tc>
          <w:tcPr>
            <w:tcW w:w="3379" w:type="dxa"/>
            <w:gridSpan w:val="2"/>
            <w:vMerge/>
            <w:tcBorders>
              <w:top w:val="single" w:sz="8" w:space="0" w:color="auto"/>
              <w:left w:val="single" w:sz="8" w:space="0" w:color="auto"/>
              <w:bottom w:val="single" w:sz="8" w:space="0" w:color="000000"/>
              <w:right w:val="single" w:sz="8" w:space="0" w:color="auto"/>
            </w:tcBorders>
            <w:vAlign w:val="center"/>
            <w:hideMark/>
          </w:tcPr>
          <w:p w:rsidR="00737679" w:rsidRPr="00737679" w:rsidRDefault="00737679" w:rsidP="00737679">
            <w:pPr>
              <w:rPr>
                <w:rFonts w:ascii="Lucida Bright" w:hAnsi="Lucida Bright" w:cs="Calibri"/>
                <w:color w:val="000000"/>
                <w:sz w:val="14"/>
                <w:szCs w:val="14"/>
                <w:lang w:val="es-ES"/>
              </w:rPr>
            </w:pPr>
          </w:p>
        </w:tc>
        <w:tc>
          <w:tcPr>
            <w:tcW w:w="3066" w:type="dxa"/>
            <w:gridSpan w:val="2"/>
            <w:vMerge/>
            <w:tcBorders>
              <w:top w:val="single" w:sz="8" w:space="0" w:color="auto"/>
              <w:left w:val="single" w:sz="8" w:space="0" w:color="auto"/>
              <w:bottom w:val="single" w:sz="8" w:space="0" w:color="000000"/>
              <w:right w:val="single" w:sz="8" w:space="0" w:color="auto"/>
            </w:tcBorders>
            <w:vAlign w:val="center"/>
            <w:hideMark/>
          </w:tcPr>
          <w:p w:rsidR="00737679" w:rsidRPr="00737679" w:rsidRDefault="00737679" w:rsidP="00737679">
            <w:pPr>
              <w:rPr>
                <w:rFonts w:ascii="Lucida Bright" w:hAnsi="Lucida Bright" w:cs="Calibri"/>
                <w:color w:val="000000"/>
                <w:sz w:val="14"/>
                <w:szCs w:val="14"/>
                <w:lang w:val="es-ES"/>
              </w:rPr>
            </w:pPr>
          </w:p>
        </w:tc>
        <w:tc>
          <w:tcPr>
            <w:tcW w:w="2427" w:type="dxa"/>
            <w:gridSpan w:val="2"/>
            <w:vMerge/>
            <w:tcBorders>
              <w:top w:val="single" w:sz="8" w:space="0" w:color="auto"/>
              <w:left w:val="single" w:sz="8" w:space="0" w:color="auto"/>
              <w:bottom w:val="single" w:sz="8" w:space="0" w:color="000000"/>
              <w:right w:val="single" w:sz="8" w:space="0" w:color="auto"/>
            </w:tcBorders>
            <w:vAlign w:val="center"/>
            <w:hideMark/>
          </w:tcPr>
          <w:p w:rsidR="00737679" w:rsidRPr="00737679" w:rsidRDefault="00737679" w:rsidP="00737679">
            <w:pPr>
              <w:rPr>
                <w:rFonts w:ascii="Lucida Bright" w:hAnsi="Lucida Bright" w:cs="Calibri"/>
                <w:color w:val="000000"/>
                <w:sz w:val="14"/>
                <w:szCs w:val="14"/>
                <w:lang w:val="es-ES"/>
              </w:rPr>
            </w:pPr>
          </w:p>
        </w:tc>
        <w:tc>
          <w:tcPr>
            <w:tcW w:w="1122" w:type="dxa"/>
            <w:vMerge/>
            <w:tcBorders>
              <w:top w:val="nil"/>
              <w:left w:val="single" w:sz="8" w:space="0" w:color="auto"/>
              <w:bottom w:val="single" w:sz="8" w:space="0" w:color="000000"/>
              <w:right w:val="single" w:sz="8" w:space="0" w:color="auto"/>
            </w:tcBorders>
            <w:vAlign w:val="center"/>
            <w:hideMark/>
          </w:tcPr>
          <w:p w:rsidR="00737679" w:rsidRPr="00737679" w:rsidRDefault="00737679" w:rsidP="00737679">
            <w:pPr>
              <w:rPr>
                <w:rFonts w:ascii="Lucida Bright" w:hAnsi="Lucida Bright" w:cs="Calibri"/>
                <w:color w:val="000000"/>
                <w:sz w:val="14"/>
                <w:szCs w:val="14"/>
                <w:lang w:val="es-ES"/>
              </w:rPr>
            </w:pPr>
          </w:p>
        </w:tc>
      </w:tr>
    </w:tbl>
    <w:p w:rsidR="00BB70A9" w:rsidRDefault="00BB70A9">
      <w:pPr>
        <w:tabs>
          <w:tab w:val="right" w:pos="8364"/>
        </w:tabs>
        <w:ind w:firstLine="540"/>
        <w:jc w:val="both"/>
        <w:rPr>
          <w:rFonts w:ascii="NewBaskerville" w:hAnsi="NewBaskerville"/>
          <w:bCs/>
          <w:u w:val="single"/>
        </w:rPr>
      </w:pPr>
    </w:p>
    <w:p w:rsidR="00BB70A9" w:rsidRDefault="00BB70A9">
      <w:pPr>
        <w:tabs>
          <w:tab w:val="right" w:pos="8364"/>
        </w:tabs>
        <w:ind w:firstLine="540"/>
        <w:jc w:val="both"/>
        <w:rPr>
          <w:rFonts w:ascii="NewBaskerville" w:hAnsi="NewBaskerville"/>
          <w:bCs/>
          <w:u w:val="single"/>
        </w:rPr>
      </w:pPr>
    </w:p>
    <w:p w:rsidR="00BB70A9" w:rsidRDefault="00BB70A9">
      <w:pPr>
        <w:tabs>
          <w:tab w:val="right" w:pos="8364"/>
        </w:tabs>
        <w:ind w:firstLine="540"/>
        <w:jc w:val="both"/>
        <w:rPr>
          <w:rFonts w:ascii="NewBaskerville" w:hAnsi="NewBaskerville"/>
          <w:bCs/>
          <w:u w:val="single"/>
        </w:rPr>
      </w:pPr>
    </w:p>
    <w:p w:rsidR="00BB70A9" w:rsidRDefault="00BB70A9">
      <w:pPr>
        <w:tabs>
          <w:tab w:val="right" w:pos="8364"/>
        </w:tabs>
        <w:ind w:firstLine="540"/>
        <w:jc w:val="both"/>
        <w:rPr>
          <w:rFonts w:ascii="NewBaskerville" w:hAnsi="NewBaskerville"/>
          <w:bCs/>
          <w:u w:val="single"/>
        </w:rPr>
      </w:pPr>
    </w:p>
    <w:p w:rsidR="00BB70A9" w:rsidRDefault="00BB70A9">
      <w:pPr>
        <w:tabs>
          <w:tab w:val="right" w:pos="8364"/>
        </w:tabs>
        <w:ind w:firstLine="540"/>
        <w:jc w:val="both"/>
        <w:rPr>
          <w:rFonts w:ascii="NewBaskerville" w:hAnsi="NewBaskerville"/>
          <w:bCs/>
          <w:u w:val="single"/>
        </w:rPr>
        <w:sectPr w:rsidR="00BB70A9" w:rsidSect="00737679">
          <w:pgSz w:w="16840" w:h="11907" w:orient="landscape" w:code="9"/>
          <w:pgMar w:top="1276" w:right="1701" w:bottom="1418" w:left="1701" w:header="567" w:footer="720" w:gutter="0"/>
          <w:cols w:space="720"/>
          <w:docGrid w:linePitch="272"/>
        </w:sectPr>
      </w:pPr>
    </w:p>
    <w:p w:rsidR="00BB70A9" w:rsidRDefault="00BB70A9">
      <w:pPr>
        <w:tabs>
          <w:tab w:val="right" w:pos="8364"/>
        </w:tabs>
        <w:ind w:firstLine="540"/>
        <w:jc w:val="both"/>
        <w:rPr>
          <w:rFonts w:ascii="NewBaskerville" w:hAnsi="NewBaskerville"/>
          <w:bCs/>
          <w:u w:val="single"/>
        </w:rPr>
      </w:pPr>
    </w:p>
    <w:p w:rsidR="0087318F" w:rsidRPr="00B450EE" w:rsidRDefault="00BB70A9">
      <w:pPr>
        <w:tabs>
          <w:tab w:val="right" w:pos="8364"/>
        </w:tabs>
        <w:ind w:firstLine="540"/>
        <w:jc w:val="both"/>
        <w:rPr>
          <w:rFonts w:ascii="NewBaskerville" w:hAnsi="NewBaskerville"/>
          <w:bCs/>
          <w:u w:val="single"/>
        </w:rPr>
      </w:pPr>
      <w:r>
        <w:rPr>
          <w:rFonts w:ascii="NewBaskerville" w:hAnsi="NewBaskerville"/>
          <w:bCs/>
          <w:u w:val="single"/>
        </w:rPr>
        <w:t>Im</w:t>
      </w:r>
      <w:r w:rsidR="0087318F" w:rsidRPr="00B450EE">
        <w:rPr>
          <w:rFonts w:ascii="NewBaskerville" w:hAnsi="NewBaskerville"/>
          <w:bCs/>
          <w:u w:val="single"/>
        </w:rPr>
        <w:t>puestos reconocidos en el patrimonio neto.</w:t>
      </w:r>
    </w:p>
    <w:p w:rsidR="0010198F" w:rsidRPr="00B450EE" w:rsidRDefault="0010198F">
      <w:pPr>
        <w:tabs>
          <w:tab w:val="right" w:pos="8364"/>
        </w:tabs>
        <w:ind w:firstLine="540"/>
        <w:jc w:val="both"/>
        <w:rPr>
          <w:rFonts w:ascii="NewBaskerville" w:hAnsi="NewBaskerville"/>
          <w:bCs/>
        </w:rPr>
      </w:pPr>
    </w:p>
    <w:p w:rsidR="0087318F" w:rsidRDefault="0087318F">
      <w:pPr>
        <w:tabs>
          <w:tab w:val="right" w:pos="8364"/>
        </w:tabs>
        <w:ind w:firstLine="540"/>
        <w:jc w:val="both"/>
        <w:rPr>
          <w:rFonts w:ascii="NewBaskerville" w:hAnsi="NewBaskerville"/>
          <w:bCs/>
        </w:rPr>
      </w:pPr>
      <w:r w:rsidRPr="00B450EE">
        <w:rPr>
          <w:rFonts w:ascii="NewBaskerville" w:hAnsi="NewBaskerville"/>
          <w:bCs/>
        </w:rPr>
        <w:t xml:space="preserve">Detalle </w:t>
      </w:r>
      <w:r w:rsidR="003F24D6" w:rsidRPr="00B450EE">
        <w:rPr>
          <w:rFonts w:ascii="NewBaskerville" w:hAnsi="NewBaskerville"/>
          <w:bCs/>
        </w:rPr>
        <w:t>de los impuestos reconocidos</w:t>
      </w:r>
      <w:r w:rsidRPr="00B450EE">
        <w:rPr>
          <w:rFonts w:ascii="NewBaskerville" w:hAnsi="NewBaskerville"/>
          <w:bCs/>
        </w:rPr>
        <w:t xml:space="preserve"> directamente en el patrimonio neto.</w:t>
      </w:r>
    </w:p>
    <w:p w:rsidR="00737679" w:rsidRDefault="00737679">
      <w:pPr>
        <w:tabs>
          <w:tab w:val="right" w:pos="8364"/>
        </w:tabs>
        <w:ind w:firstLine="540"/>
        <w:jc w:val="both"/>
        <w:rPr>
          <w:rFonts w:ascii="NewBaskerville" w:hAnsi="NewBaskerville"/>
          <w:bCs/>
        </w:rPr>
      </w:pPr>
    </w:p>
    <w:tbl>
      <w:tblPr>
        <w:tblW w:w="5115" w:type="pct"/>
        <w:tblLayout w:type="fixed"/>
        <w:tblCellMar>
          <w:left w:w="70" w:type="dxa"/>
          <w:right w:w="70" w:type="dxa"/>
        </w:tblCellMar>
        <w:tblLook w:val="04A0" w:firstRow="1" w:lastRow="0" w:firstColumn="1" w:lastColumn="0" w:noHBand="0" w:noVBand="1"/>
      </w:tblPr>
      <w:tblGrid>
        <w:gridCol w:w="1184"/>
        <w:gridCol w:w="1182"/>
        <w:gridCol w:w="1185"/>
        <w:gridCol w:w="1437"/>
        <w:gridCol w:w="1887"/>
        <w:gridCol w:w="1495"/>
        <w:gridCol w:w="1198"/>
      </w:tblGrid>
      <w:tr w:rsidR="00737679" w:rsidRPr="00737679" w:rsidTr="00737679">
        <w:trPr>
          <w:trHeight w:val="240"/>
        </w:trPr>
        <w:tc>
          <w:tcPr>
            <w:tcW w:w="3592" w:type="pct"/>
            <w:gridSpan w:val="5"/>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b/>
                <w:bCs/>
                <w:color w:val="000000"/>
                <w:sz w:val="16"/>
                <w:szCs w:val="16"/>
                <w:lang w:val="es-ES"/>
              </w:rPr>
            </w:pPr>
            <w:r w:rsidRPr="00737679">
              <w:rPr>
                <w:rFonts w:ascii="Lucida Bright" w:hAnsi="Lucida Bright" w:cs="Calibri"/>
                <w:b/>
                <w:bCs/>
                <w:color w:val="000000"/>
                <w:sz w:val="16"/>
                <w:szCs w:val="16"/>
                <w:lang w:val="es-ES"/>
              </w:rPr>
              <w:t>Ejercicio 2024. Impuestos reconocidos en el patrimonio neto.</w:t>
            </w:r>
          </w:p>
        </w:tc>
        <w:tc>
          <w:tcPr>
            <w:tcW w:w="781"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6"/>
                <w:szCs w:val="16"/>
                <w:lang w:val="es-ES"/>
              </w:rPr>
            </w:pPr>
          </w:p>
        </w:tc>
        <w:tc>
          <w:tcPr>
            <w:tcW w:w="627"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6"/>
                <w:szCs w:val="16"/>
                <w:lang w:val="es-ES"/>
              </w:rPr>
            </w:pPr>
          </w:p>
        </w:tc>
      </w:tr>
      <w:tr w:rsidR="00737679" w:rsidRPr="00737679" w:rsidTr="00737679">
        <w:trPr>
          <w:trHeight w:val="240"/>
        </w:trPr>
        <w:tc>
          <w:tcPr>
            <w:tcW w:w="619" w:type="pct"/>
            <w:tcBorders>
              <w:top w:val="single" w:sz="8" w:space="0" w:color="auto"/>
              <w:left w:val="single" w:sz="8" w:space="0" w:color="auto"/>
              <w:bottom w:val="nil"/>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18" w:type="pct"/>
            <w:tcBorders>
              <w:top w:val="single" w:sz="8" w:space="0" w:color="auto"/>
              <w:left w:val="nil"/>
              <w:bottom w:val="nil"/>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19" w:type="pct"/>
            <w:tcBorders>
              <w:top w:val="single" w:sz="8" w:space="0" w:color="auto"/>
              <w:left w:val="nil"/>
              <w:bottom w:val="nil"/>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51" w:type="pct"/>
            <w:tcBorders>
              <w:top w:val="single" w:sz="8" w:space="0" w:color="auto"/>
              <w:left w:val="nil"/>
              <w:bottom w:val="nil"/>
              <w:right w:val="single" w:sz="8" w:space="0" w:color="auto"/>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986" w:type="pct"/>
            <w:tcBorders>
              <w:top w:val="single" w:sz="8" w:space="0" w:color="auto"/>
              <w:left w:val="nil"/>
              <w:bottom w:val="single" w:sz="8" w:space="0" w:color="auto"/>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81" w:type="pct"/>
            <w:tcBorders>
              <w:top w:val="single" w:sz="8" w:space="0" w:color="auto"/>
              <w:left w:val="nil"/>
              <w:bottom w:val="single" w:sz="8" w:space="0" w:color="auto"/>
              <w:right w:val="nil"/>
            </w:tcBorders>
            <w:shd w:val="clear" w:color="000000" w:fill="CCFFCC"/>
            <w:noWrap/>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Euros</w:t>
            </w:r>
          </w:p>
        </w:tc>
        <w:tc>
          <w:tcPr>
            <w:tcW w:w="627" w:type="pct"/>
            <w:tcBorders>
              <w:top w:val="single" w:sz="8" w:space="0" w:color="auto"/>
              <w:left w:val="nil"/>
              <w:bottom w:val="single" w:sz="8" w:space="0" w:color="auto"/>
              <w:right w:val="single" w:sz="8" w:space="0" w:color="auto"/>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40"/>
        </w:trPr>
        <w:tc>
          <w:tcPr>
            <w:tcW w:w="619" w:type="pct"/>
            <w:tcBorders>
              <w:top w:val="nil"/>
              <w:left w:val="single" w:sz="8" w:space="0" w:color="auto"/>
              <w:bottom w:val="single" w:sz="8" w:space="0" w:color="auto"/>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18" w:type="pct"/>
            <w:tcBorders>
              <w:top w:val="nil"/>
              <w:left w:val="nil"/>
              <w:bottom w:val="single" w:sz="8" w:space="0" w:color="auto"/>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19" w:type="pct"/>
            <w:tcBorders>
              <w:top w:val="nil"/>
              <w:left w:val="nil"/>
              <w:bottom w:val="single" w:sz="8" w:space="0" w:color="auto"/>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51" w:type="pct"/>
            <w:tcBorders>
              <w:top w:val="nil"/>
              <w:left w:val="nil"/>
              <w:bottom w:val="single" w:sz="8" w:space="0" w:color="auto"/>
              <w:right w:val="single" w:sz="8" w:space="0" w:color="auto"/>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986" w:type="pct"/>
            <w:tcBorders>
              <w:top w:val="nil"/>
              <w:left w:val="nil"/>
              <w:bottom w:val="single" w:sz="8" w:space="0" w:color="auto"/>
              <w:right w:val="single" w:sz="8" w:space="0" w:color="auto"/>
            </w:tcBorders>
            <w:shd w:val="clear" w:color="000000" w:fill="CCFFCC"/>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Aumentos</w:t>
            </w:r>
          </w:p>
        </w:tc>
        <w:tc>
          <w:tcPr>
            <w:tcW w:w="781" w:type="pct"/>
            <w:tcBorders>
              <w:top w:val="nil"/>
              <w:left w:val="nil"/>
              <w:bottom w:val="single" w:sz="8" w:space="0" w:color="auto"/>
              <w:right w:val="single" w:sz="8" w:space="0" w:color="auto"/>
            </w:tcBorders>
            <w:shd w:val="clear" w:color="000000" w:fill="CCFFCC"/>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Disminuciones</w:t>
            </w:r>
          </w:p>
        </w:tc>
        <w:tc>
          <w:tcPr>
            <w:tcW w:w="627" w:type="pct"/>
            <w:tcBorders>
              <w:top w:val="nil"/>
              <w:left w:val="nil"/>
              <w:bottom w:val="single" w:sz="8" w:space="0" w:color="auto"/>
              <w:right w:val="single" w:sz="8" w:space="0" w:color="auto"/>
            </w:tcBorders>
            <w:shd w:val="clear" w:color="000000" w:fill="CCFFCC"/>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Total</w:t>
            </w:r>
          </w:p>
        </w:tc>
      </w:tr>
      <w:tr w:rsidR="00737679" w:rsidRPr="00737679" w:rsidTr="00737679">
        <w:trPr>
          <w:trHeight w:val="225"/>
        </w:trPr>
        <w:tc>
          <w:tcPr>
            <w:tcW w:w="619" w:type="pct"/>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18"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19"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51"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986" w:type="pct"/>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81" w:type="pct"/>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27"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2607" w:type="pct"/>
            <w:gridSpan w:val="4"/>
            <w:tcBorders>
              <w:top w:val="nil"/>
              <w:left w:val="single" w:sz="8" w:space="0" w:color="auto"/>
              <w:bottom w:val="nil"/>
              <w:right w:val="single" w:sz="8" w:space="0" w:color="000000"/>
            </w:tcBorders>
            <w:shd w:val="clear" w:color="auto" w:fill="auto"/>
            <w:vAlign w:val="center"/>
            <w:hideMark/>
          </w:tcPr>
          <w:p w:rsidR="00737679" w:rsidRPr="00737679" w:rsidRDefault="00737679" w:rsidP="00737679">
            <w:pPr>
              <w:rPr>
                <w:rFonts w:ascii="Lucida Bright" w:hAnsi="Lucida Bright" w:cs="Calibri"/>
                <w:b/>
                <w:bCs/>
                <w:color w:val="000000"/>
                <w:sz w:val="14"/>
                <w:szCs w:val="14"/>
                <w:lang w:val="es-ES"/>
              </w:rPr>
            </w:pPr>
            <w:r w:rsidRPr="00737679">
              <w:rPr>
                <w:rFonts w:ascii="Lucida Bright" w:hAnsi="Lucida Bright" w:cs="Calibri"/>
                <w:b/>
                <w:bCs/>
                <w:color w:val="000000"/>
                <w:sz w:val="14"/>
                <w:szCs w:val="14"/>
                <w:lang w:val="es-ES"/>
              </w:rPr>
              <w:t>Por impuesto corriente:</w:t>
            </w:r>
          </w:p>
        </w:tc>
        <w:tc>
          <w:tcPr>
            <w:tcW w:w="986" w:type="pct"/>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81" w:type="pct"/>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27"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40"/>
        </w:trPr>
        <w:tc>
          <w:tcPr>
            <w:tcW w:w="619" w:type="pct"/>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 </w:t>
            </w:r>
          </w:p>
        </w:tc>
        <w:tc>
          <w:tcPr>
            <w:tcW w:w="618"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751"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986" w:type="pct"/>
            <w:tcBorders>
              <w:top w:val="nil"/>
              <w:left w:val="nil"/>
              <w:bottom w:val="single" w:sz="8" w:space="0" w:color="auto"/>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81" w:type="pct"/>
            <w:tcBorders>
              <w:top w:val="nil"/>
              <w:left w:val="nil"/>
              <w:bottom w:val="single" w:sz="8" w:space="0" w:color="auto"/>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27"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40"/>
        </w:trPr>
        <w:tc>
          <w:tcPr>
            <w:tcW w:w="2607" w:type="pct"/>
            <w:gridSpan w:val="4"/>
            <w:tcBorders>
              <w:top w:val="nil"/>
              <w:left w:val="single" w:sz="8" w:space="0" w:color="auto"/>
              <w:bottom w:val="nil"/>
              <w:right w:val="single" w:sz="8" w:space="0" w:color="000000"/>
            </w:tcBorders>
            <w:shd w:val="clear" w:color="auto" w:fill="auto"/>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Total impuesto corriente</w:t>
            </w:r>
          </w:p>
        </w:tc>
        <w:tc>
          <w:tcPr>
            <w:tcW w:w="986" w:type="pct"/>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81" w:type="pct"/>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27" w:type="pct"/>
            <w:tcBorders>
              <w:top w:val="single" w:sz="8" w:space="0" w:color="auto"/>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619" w:type="pct"/>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18"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751"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986" w:type="pct"/>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81" w:type="pct"/>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27"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2607" w:type="pct"/>
            <w:gridSpan w:val="4"/>
            <w:tcBorders>
              <w:top w:val="nil"/>
              <w:left w:val="single" w:sz="8" w:space="0" w:color="auto"/>
              <w:bottom w:val="nil"/>
              <w:right w:val="single" w:sz="8" w:space="0" w:color="000000"/>
            </w:tcBorders>
            <w:shd w:val="clear" w:color="auto" w:fill="auto"/>
            <w:vAlign w:val="bottom"/>
            <w:hideMark/>
          </w:tcPr>
          <w:p w:rsidR="00737679" w:rsidRPr="00737679" w:rsidRDefault="00737679" w:rsidP="00737679">
            <w:pPr>
              <w:rPr>
                <w:rFonts w:ascii="Lucida Bright" w:hAnsi="Lucida Bright" w:cs="Calibri"/>
                <w:b/>
                <w:bCs/>
                <w:color w:val="000000"/>
                <w:sz w:val="14"/>
                <w:szCs w:val="14"/>
                <w:lang w:val="es-ES"/>
              </w:rPr>
            </w:pPr>
            <w:r w:rsidRPr="00737679">
              <w:rPr>
                <w:rFonts w:ascii="Lucida Bright" w:hAnsi="Lucida Bright" w:cs="Calibri"/>
                <w:b/>
                <w:bCs/>
                <w:color w:val="000000"/>
                <w:sz w:val="14"/>
                <w:szCs w:val="14"/>
                <w:lang w:val="es-ES"/>
              </w:rPr>
              <w:t>Por impuesto diferido:</w:t>
            </w:r>
          </w:p>
        </w:tc>
        <w:tc>
          <w:tcPr>
            <w:tcW w:w="986" w:type="pct"/>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81" w:type="pct"/>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27"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2607" w:type="pct"/>
            <w:gridSpan w:val="4"/>
            <w:tcBorders>
              <w:top w:val="nil"/>
              <w:left w:val="single" w:sz="8" w:space="0" w:color="auto"/>
              <w:bottom w:val="nil"/>
              <w:right w:val="single" w:sz="8" w:space="0" w:color="000000"/>
            </w:tcBorders>
            <w:shd w:val="clear" w:color="auto" w:fill="auto"/>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Con origen en el ejercicio</w:t>
            </w:r>
          </w:p>
        </w:tc>
        <w:tc>
          <w:tcPr>
            <w:tcW w:w="986" w:type="pct"/>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81" w:type="pct"/>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27"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1855" w:type="pct"/>
            <w:gridSpan w:val="3"/>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 xml:space="preserve">Efecto fiscal subvenciones devengadas </w:t>
            </w:r>
          </w:p>
        </w:tc>
        <w:tc>
          <w:tcPr>
            <w:tcW w:w="751" w:type="pct"/>
            <w:tcBorders>
              <w:top w:val="nil"/>
              <w:left w:val="nil"/>
              <w:bottom w:val="nil"/>
              <w:right w:val="single" w:sz="8" w:space="0" w:color="auto"/>
            </w:tcBorders>
            <w:shd w:val="clear" w:color="auto" w:fill="auto"/>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986" w:type="pct"/>
            <w:tcBorders>
              <w:top w:val="nil"/>
              <w:left w:val="nil"/>
              <w:bottom w:val="nil"/>
              <w:right w:val="single" w:sz="4"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668.733,65</w:t>
            </w:r>
          </w:p>
        </w:tc>
        <w:tc>
          <w:tcPr>
            <w:tcW w:w="781" w:type="pct"/>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27" w:type="pct"/>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668.733,65</w:t>
            </w:r>
          </w:p>
        </w:tc>
      </w:tr>
      <w:tr w:rsidR="00737679" w:rsidRPr="00737679" w:rsidTr="00737679">
        <w:trPr>
          <w:trHeight w:val="225"/>
        </w:trPr>
        <w:tc>
          <w:tcPr>
            <w:tcW w:w="2607" w:type="pct"/>
            <w:gridSpan w:val="4"/>
            <w:tcBorders>
              <w:top w:val="nil"/>
              <w:left w:val="single" w:sz="8" w:space="0" w:color="auto"/>
              <w:bottom w:val="nil"/>
              <w:right w:val="single" w:sz="8" w:space="0" w:color="000000"/>
            </w:tcBorders>
            <w:shd w:val="clear" w:color="auto" w:fill="auto"/>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Con origen en ejercicios anteriores</w:t>
            </w:r>
          </w:p>
        </w:tc>
        <w:tc>
          <w:tcPr>
            <w:tcW w:w="986" w:type="pct"/>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81" w:type="pct"/>
            <w:tcBorders>
              <w:top w:val="nil"/>
              <w:left w:val="nil"/>
              <w:bottom w:val="nil"/>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27"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40"/>
        </w:trPr>
        <w:tc>
          <w:tcPr>
            <w:tcW w:w="1855" w:type="pct"/>
            <w:gridSpan w:val="3"/>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Efecto fiscal subvenciones traspasadas al resultado</w:t>
            </w:r>
          </w:p>
        </w:tc>
        <w:tc>
          <w:tcPr>
            <w:tcW w:w="751"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986" w:type="pct"/>
            <w:tcBorders>
              <w:top w:val="nil"/>
              <w:left w:val="nil"/>
              <w:bottom w:val="single" w:sz="8" w:space="0" w:color="auto"/>
              <w:right w:val="single" w:sz="4"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81" w:type="pct"/>
            <w:tcBorders>
              <w:top w:val="nil"/>
              <w:left w:val="nil"/>
              <w:bottom w:val="single" w:sz="8" w:space="0" w:color="auto"/>
              <w:right w:val="single" w:sz="4"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208.053,89</w:t>
            </w:r>
          </w:p>
        </w:tc>
        <w:tc>
          <w:tcPr>
            <w:tcW w:w="627" w:type="pct"/>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(208.053,89)</w:t>
            </w:r>
          </w:p>
        </w:tc>
      </w:tr>
      <w:tr w:rsidR="00737679" w:rsidRPr="00737679" w:rsidTr="00737679">
        <w:trPr>
          <w:trHeight w:val="240"/>
        </w:trPr>
        <w:tc>
          <w:tcPr>
            <w:tcW w:w="2607" w:type="pct"/>
            <w:gridSpan w:val="4"/>
            <w:tcBorders>
              <w:top w:val="nil"/>
              <w:left w:val="single" w:sz="8" w:space="0" w:color="auto"/>
              <w:bottom w:val="nil"/>
              <w:right w:val="single" w:sz="8" w:space="0" w:color="000000"/>
            </w:tcBorders>
            <w:shd w:val="clear" w:color="auto" w:fill="auto"/>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Total impuesto diferido</w:t>
            </w:r>
          </w:p>
        </w:tc>
        <w:tc>
          <w:tcPr>
            <w:tcW w:w="986" w:type="pct"/>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668.733,65</w:t>
            </w:r>
          </w:p>
        </w:tc>
        <w:tc>
          <w:tcPr>
            <w:tcW w:w="781" w:type="pct"/>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208.053,89</w:t>
            </w:r>
          </w:p>
        </w:tc>
        <w:tc>
          <w:tcPr>
            <w:tcW w:w="627" w:type="pct"/>
            <w:tcBorders>
              <w:top w:val="single" w:sz="8" w:space="0" w:color="auto"/>
              <w:left w:val="nil"/>
              <w:bottom w:val="single" w:sz="8" w:space="0" w:color="auto"/>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460.679,76</w:t>
            </w:r>
          </w:p>
        </w:tc>
      </w:tr>
      <w:tr w:rsidR="00737679" w:rsidRPr="00737679" w:rsidTr="00737679">
        <w:trPr>
          <w:trHeight w:val="240"/>
        </w:trPr>
        <w:tc>
          <w:tcPr>
            <w:tcW w:w="2607" w:type="pct"/>
            <w:gridSpan w:val="4"/>
            <w:tcBorders>
              <w:top w:val="nil"/>
              <w:left w:val="single" w:sz="8" w:space="0" w:color="auto"/>
              <w:bottom w:val="single" w:sz="8" w:space="0" w:color="auto"/>
              <w:right w:val="single" w:sz="8" w:space="0" w:color="000000"/>
            </w:tcBorders>
            <w:shd w:val="clear" w:color="auto" w:fill="auto"/>
            <w:vAlign w:val="bottom"/>
            <w:hideMark/>
          </w:tcPr>
          <w:p w:rsidR="00737679" w:rsidRPr="00737679" w:rsidRDefault="00737679" w:rsidP="00737679">
            <w:pPr>
              <w:rPr>
                <w:rFonts w:ascii="Lucida Bright" w:hAnsi="Lucida Bright" w:cs="Calibri"/>
                <w:b/>
                <w:bCs/>
                <w:color w:val="000000"/>
                <w:sz w:val="14"/>
                <w:szCs w:val="14"/>
                <w:lang w:val="es-ES"/>
              </w:rPr>
            </w:pPr>
            <w:r w:rsidRPr="00737679">
              <w:rPr>
                <w:rFonts w:ascii="Lucida Bright" w:hAnsi="Lucida Bright" w:cs="Calibri"/>
                <w:b/>
                <w:bCs/>
                <w:color w:val="000000"/>
                <w:sz w:val="14"/>
                <w:szCs w:val="14"/>
                <w:lang w:val="es-ES"/>
              </w:rPr>
              <w:t>Total impuesto reconocido directamente en el patrimonio</w:t>
            </w:r>
          </w:p>
        </w:tc>
        <w:tc>
          <w:tcPr>
            <w:tcW w:w="986" w:type="pct"/>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668.733,65</w:t>
            </w:r>
          </w:p>
        </w:tc>
        <w:tc>
          <w:tcPr>
            <w:tcW w:w="781" w:type="pct"/>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208.053,89</w:t>
            </w:r>
          </w:p>
        </w:tc>
        <w:tc>
          <w:tcPr>
            <w:tcW w:w="627" w:type="pct"/>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460.679,76</w:t>
            </w:r>
          </w:p>
        </w:tc>
      </w:tr>
    </w:tbl>
    <w:p w:rsidR="00737679" w:rsidRPr="00B450EE" w:rsidRDefault="00737679">
      <w:pPr>
        <w:tabs>
          <w:tab w:val="right" w:pos="8364"/>
        </w:tabs>
        <w:ind w:firstLine="540"/>
        <w:jc w:val="both"/>
        <w:rPr>
          <w:rFonts w:ascii="NewBaskerville" w:hAnsi="NewBaskerville"/>
          <w:bCs/>
        </w:rPr>
      </w:pPr>
    </w:p>
    <w:p w:rsidR="00E0015A" w:rsidRDefault="00E0015A">
      <w:pPr>
        <w:tabs>
          <w:tab w:val="right" w:pos="8364"/>
        </w:tabs>
        <w:ind w:firstLine="540"/>
        <w:jc w:val="both"/>
        <w:rPr>
          <w:bCs/>
        </w:rPr>
      </w:pPr>
    </w:p>
    <w:p w:rsidR="00B450EE" w:rsidRDefault="00B450EE">
      <w:pPr>
        <w:tabs>
          <w:tab w:val="right" w:pos="8364"/>
        </w:tabs>
        <w:ind w:firstLine="540"/>
        <w:jc w:val="both"/>
        <w:rPr>
          <w:bCs/>
        </w:rPr>
      </w:pPr>
    </w:p>
    <w:tbl>
      <w:tblPr>
        <w:tblW w:w="5124" w:type="pct"/>
        <w:tblLayout w:type="fixed"/>
        <w:tblCellMar>
          <w:left w:w="70" w:type="dxa"/>
          <w:right w:w="70" w:type="dxa"/>
        </w:tblCellMar>
        <w:tblLook w:val="04A0" w:firstRow="1" w:lastRow="0" w:firstColumn="1" w:lastColumn="0" w:noHBand="0" w:noVBand="1"/>
      </w:tblPr>
      <w:tblGrid>
        <w:gridCol w:w="1281"/>
        <w:gridCol w:w="1281"/>
        <w:gridCol w:w="1281"/>
        <w:gridCol w:w="1189"/>
        <w:gridCol w:w="1794"/>
        <w:gridCol w:w="1501"/>
        <w:gridCol w:w="1258"/>
      </w:tblGrid>
      <w:tr w:rsidR="009E72CE" w:rsidRPr="009E72CE" w:rsidTr="00737679">
        <w:trPr>
          <w:trHeight w:val="240"/>
        </w:trPr>
        <w:tc>
          <w:tcPr>
            <w:tcW w:w="3561" w:type="pct"/>
            <w:gridSpan w:val="5"/>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b/>
                <w:bCs/>
                <w:color w:val="000000"/>
                <w:sz w:val="16"/>
                <w:szCs w:val="16"/>
                <w:lang w:val="es-ES"/>
              </w:rPr>
            </w:pPr>
            <w:r w:rsidRPr="009E72CE">
              <w:rPr>
                <w:rFonts w:ascii="Lucida Bright" w:hAnsi="Lucida Bright" w:cs="Calibri"/>
                <w:b/>
                <w:bCs/>
                <w:color w:val="000000"/>
                <w:sz w:val="16"/>
                <w:szCs w:val="16"/>
                <w:lang w:val="es-ES"/>
              </w:rPr>
              <w:t>Ejercicio 2023. Impuestos reconocidos en el patrimonio neto.</w:t>
            </w:r>
          </w:p>
        </w:tc>
        <w:tc>
          <w:tcPr>
            <w:tcW w:w="783"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6"/>
                <w:szCs w:val="16"/>
                <w:lang w:val="es-ES"/>
              </w:rPr>
            </w:pPr>
          </w:p>
        </w:tc>
        <w:tc>
          <w:tcPr>
            <w:tcW w:w="656"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6"/>
                <w:szCs w:val="16"/>
                <w:lang w:val="es-ES"/>
              </w:rPr>
            </w:pPr>
          </w:p>
        </w:tc>
      </w:tr>
      <w:tr w:rsidR="009E72CE" w:rsidRPr="009E72CE" w:rsidTr="00737679">
        <w:trPr>
          <w:trHeight w:val="240"/>
        </w:trPr>
        <w:tc>
          <w:tcPr>
            <w:tcW w:w="669" w:type="pct"/>
            <w:tcBorders>
              <w:top w:val="single" w:sz="8" w:space="0" w:color="auto"/>
              <w:left w:val="single" w:sz="8" w:space="0" w:color="auto"/>
              <w:bottom w:val="nil"/>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8" w:type="pct"/>
            <w:tcBorders>
              <w:top w:val="single" w:sz="8" w:space="0" w:color="auto"/>
              <w:left w:val="nil"/>
              <w:bottom w:val="nil"/>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7" w:type="pct"/>
            <w:tcBorders>
              <w:top w:val="single" w:sz="8" w:space="0" w:color="auto"/>
              <w:left w:val="nil"/>
              <w:bottom w:val="nil"/>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20" w:type="pct"/>
            <w:tcBorders>
              <w:top w:val="single" w:sz="8" w:space="0" w:color="auto"/>
              <w:left w:val="nil"/>
              <w:bottom w:val="nil"/>
              <w:right w:val="single" w:sz="8" w:space="0" w:color="auto"/>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936" w:type="pct"/>
            <w:tcBorders>
              <w:top w:val="single" w:sz="8" w:space="0" w:color="auto"/>
              <w:left w:val="nil"/>
              <w:bottom w:val="single" w:sz="8" w:space="0" w:color="auto"/>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single" w:sz="8" w:space="0" w:color="auto"/>
              <w:left w:val="nil"/>
              <w:bottom w:val="single" w:sz="8" w:space="0" w:color="auto"/>
              <w:right w:val="nil"/>
            </w:tcBorders>
            <w:shd w:val="clear" w:color="000000" w:fill="CCFFCC"/>
            <w:noWrap/>
            <w:vAlign w:val="bottom"/>
            <w:hideMark/>
          </w:tcPr>
          <w:p w:rsidR="009E72CE" w:rsidRPr="009E72CE" w:rsidRDefault="009E72CE" w:rsidP="009E72CE">
            <w:pPr>
              <w:jc w:val="cente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Euros</w:t>
            </w:r>
          </w:p>
        </w:tc>
        <w:tc>
          <w:tcPr>
            <w:tcW w:w="656" w:type="pct"/>
            <w:tcBorders>
              <w:top w:val="single" w:sz="8" w:space="0" w:color="auto"/>
              <w:left w:val="nil"/>
              <w:bottom w:val="single" w:sz="8" w:space="0" w:color="auto"/>
              <w:right w:val="single" w:sz="8" w:space="0" w:color="auto"/>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737679">
        <w:trPr>
          <w:trHeight w:val="270"/>
        </w:trPr>
        <w:tc>
          <w:tcPr>
            <w:tcW w:w="669" w:type="pct"/>
            <w:tcBorders>
              <w:top w:val="nil"/>
              <w:left w:val="single" w:sz="8" w:space="0" w:color="auto"/>
              <w:bottom w:val="single" w:sz="8" w:space="0" w:color="auto"/>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8" w:type="pct"/>
            <w:tcBorders>
              <w:top w:val="nil"/>
              <w:left w:val="nil"/>
              <w:bottom w:val="single" w:sz="8" w:space="0" w:color="auto"/>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7" w:type="pct"/>
            <w:tcBorders>
              <w:top w:val="nil"/>
              <w:left w:val="nil"/>
              <w:bottom w:val="single" w:sz="8" w:space="0" w:color="auto"/>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20" w:type="pct"/>
            <w:tcBorders>
              <w:top w:val="nil"/>
              <w:left w:val="nil"/>
              <w:bottom w:val="single" w:sz="8" w:space="0" w:color="auto"/>
              <w:right w:val="single" w:sz="8" w:space="0" w:color="auto"/>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936" w:type="pct"/>
            <w:tcBorders>
              <w:top w:val="nil"/>
              <w:left w:val="nil"/>
              <w:bottom w:val="single" w:sz="8" w:space="0" w:color="auto"/>
              <w:right w:val="single" w:sz="8" w:space="0" w:color="auto"/>
            </w:tcBorders>
            <w:shd w:val="clear" w:color="000000" w:fill="CCFFCC"/>
            <w:vAlign w:val="bottom"/>
            <w:hideMark/>
          </w:tcPr>
          <w:p w:rsidR="009E72CE" w:rsidRPr="009E72CE" w:rsidRDefault="009E72CE" w:rsidP="009E72CE">
            <w:pPr>
              <w:jc w:val="cente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Aumentos</w:t>
            </w:r>
          </w:p>
        </w:tc>
        <w:tc>
          <w:tcPr>
            <w:tcW w:w="783" w:type="pct"/>
            <w:tcBorders>
              <w:top w:val="nil"/>
              <w:left w:val="nil"/>
              <w:bottom w:val="single" w:sz="8" w:space="0" w:color="auto"/>
              <w:right w:val="single" w:sz="8" w:space="0" w:color="auto"/>
            </w:tcBorders>
            <w:shd w:val="clear" w:color="000000" w:fill="CCFFCC"/>
            <w:vAlign w:val="bottom"/>
            <w:hideMark/>
          </w:tcPr>
          <w:p w:rsidR="009E72CE" w:rsidRPr="009E72CE" w:rsidRDefault="009E72CE" w:rsidP="009E72CE">
            <w:pPr>
              <w:jc w:val="cente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Disminuciones</w:t>
            </w:r>
          </w:p>
        </w:tc>
        <w:tc>
          <w:tcPr>
            <w:tcW w:w="656" w:type="pct"/>
            <w:tcBorders>
              <w:top w:val="nil"/>
              <w:left w:val="nil"/>
              <w:bottom w:val="single" w:sz="8" w:space="0" w:color="auto"/>
              <w:right w:val="single" w:sz="8" w:space="0" w:color="auto"/>
            </w:tcBorders>
            <w:shd w:val="clear" w:color="000000" w:fill="CCFFCC"/>
            <w:vAlign w:val="bottom"/>
            <w:hideMark/>
          </w:tcPr>
          <w:p w:rsidR="009E72CE" w:rsidRPr="009E72CE" w:rsidRDefault="009E72CE" w:rsidP="009E72CE">
            <w:pPr>
              <w:jc w:val="cente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Total</w:t>
            </w:r>
          </w:p>
        </w:tc>
      </w:tr>
      <w:tr w:rsidR="009E72CE" w:rsidRPr="009E72CE" w:rsidTr="00737679">
        <w:trPr>
          <w:trHeight w:val="225"/>
        </w:trPr>
        <w:tc>
          <w:tcPr>
            <w:tcW w:w="669" w:type="pct"/>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8"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7"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20"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936"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737679">
        <w:trPr>
          <w:trHeight w:val="225"/>
        </w:trPr>
        <w:tc>
          <w:tcPr>
            <w:tcW w:w="2625" w:type="pct"/>
            <w:gridSpan w:val="4"/>
            <w:tcBorders>
              <w:top w:val="nil"/>
              <w:left w:val="single" w:sz="8" w:space="0" w:color="auto"/>
              <w:bottom w:val="nil"/>
              <w:right w:val="single" w:sz="8" w:space="0" w:color="000000"/>
            </w:tcBorders>
            <w:shd w:val="clear" w:color="auto" w:fill="auto"/>
            <w:vAlign w:val="center"/>
            <w:hideMark/>
          </w:tcPr>
          <w:p w:rsidR="009E72CE" w:rsidRPr="009E72CE" w:rsidRDefault="009E72CE" w:rsidP="009E72CE">
            <w:pPr>
              <w:rPr>
                <w:rFonts w:ascii="Lucida Bright" w:hAnsi="Lucida Bright" w:cs="Calibri"/>
                <w:b/>
                <w:bCs/>
                <w:color w:val="000000"/>
                <w:sz w:val="14"/>
                <w:szCs w:val="14"/>
                <w:lang w:val="es-ES"/>
              </w:rPr>
            </w:pPr>
            <w:r w:rsidRPr="009E72CE">
              <w:rPr>
                <w:rFonts w:ascii="Lucida Bright" w:hAnsi="Lucida Bright" w:cs="Calibri"/>
                <w:b/>
                <w:bCs/>
                <w:color w:val="000000"/>
                <w:sz w:val="14"/>
                <w:szCs w:val="14"/>
                <w:lang w:val="es-ES"/>
              </w:rPr>
              <w:t>Por impuesto corriente:</w:t>
            </w:r>
          </w:p>
        </w:tc>
        <w:tc>
          <w:tcPr>
            <w:tcW w:w="936"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737679">
        <w:trPr>
          <w:trHeight w:val="240"/>
        </w:trPr>
        <w:tc>
          <w:tcPr>
            <w:tcW w:w="669" w:type="pct"/>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i/>
                <w:iCs/>
                <w:color w:val="000000"/>
                <w:sz w:val="14"/>
                <w:szCs w:val="14"/>
                <w:lang w:val="es-ES"/>
              </w:rPr>
            </w:pPr>
            <w:r w:rsidRPr="009E72CE">
              <w:rPr>
                <w:rFonts w:ascii="Lucida Bright" w:hAnsi="Lucida Bright" w:cs="Calibri"/>
                <w:i/>
                <w:iCs/>
                <w:color w:val="000000"/>
                <w:sz w:val="14"/>
                <w:szCs w:val="14"/>
                <w:lang w:val="es-ES"/>
              </w:rPr>
              <w:t> </w:t>
            </w:r>
          </w:p>
        </w:tc>
        <w:tc>
          <w:tcPr>
            <w:tcW w:w="668"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p>
        </w:tc>
        <w:tc>
          <w:tcPr>
            <w:tcW w:w="667"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p>
        </w:tc>
        <w:tc>
          <w:tcPr>
            <w:tcW w:w="620"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936" w:type="pct"/>
            <w:tcBorders>
              <w:top w:val="nil"/>
              <w:left w:val="nil"/>
              <w:bottom w:val="single" w:sz="8" w:space="0" w:color="auto"/>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nil"/>
              <w:left w:val="nil"/>
              <w:bottom w:val="single" w:sz="8" w:space="0" w:color="auto"/>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737679">
        <w:trPr>
          <w:trHeight w:val="240"/>
        </w:trPr>
        <w:tc>
          <w:tcPr>
            <w:tcW w:w="2625" w:type="pct"/>
            <w:gridSpan w:val="4"/>
            <w:tcBorders>
              <w:top w:val="nil"/>
              <w:left w:val="single" w:sz="8" w:space="0" w:color="auto"/>
              <w:bottom w:val="nil"/>
              <w:right w:val="single" w:sz="8" w:space="0" w:color="000000"/>
            </w:tcBorders>
            <w:shd w:val="clear" w:color="auto" w:fill="auto"/>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Total impuesto corriente</w:t>
            </w:r>
          </w:p>
        </w:tc>
        <w:tc>
          <w:tcPr>
            <w:tcW w:w="936"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single" w:sz="8" w:space="0" w:color="auto"/>
              <w:left w:val="nil"/>
              <w:bottom w:val="single" w:sz="8" w:space="0" w:color="auto"/>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737679">
        <w:trPr>
          <w:trHeight w:val="225"/>
        </w:trPr>
        <w:tc>
          <w:tcPr>
            <w:tcW w:w="669" w:type="pct"/>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8"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p>
        </w:tc>
        <w:tc>
          <w:tcPr>
            <w:tcW w:w="667"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p>
        </w:tc>
        <w:tc>
          <w:tcPr>
            <w:tcW w:w="620"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936"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737679">
        <w:trPr>
          <w:trHeight w:val="225"/>
        </w:trPr>
        <w:tc>
          <w:tcPr>
            <w:tcW w:w="2625" w:type="pct"/>
            <w:gridSpan w:val="4"/>
            <w:tcBorders>
              <w:top w:val="nil"/>
              <w:left w:val="single" w:sz="8" w:space="0" w:color="auto"/>
              <w:bottom w:val="nil"/>
              <w:right w:val="single" w:sz="8" w:space="0" w:color="000000"/>
            </w:tcBorders>
            <w:shd w:val="clear" w:color="auto" w:fill="auto"/>
            <w:vAlign w:val="bottom"/>
            <w:hideMark/>
          </w:tcPr>
          <w:p w:rsidR="009E72CE" w:rsidRPr="009E72CE" w:rsidRDefault="009E72CE" w:rsidP="009E72CE">
            <w:pPr>
              <w:rPr>
                <w:rFonts w:ascii="Lucida Bright" w:hAnsi="Lucida Bright" w:cs="Calibri"/>
                <w:b/>
                <w:bCs/>
                <w:color w:val="000000"/>
                <w:sz w:val="14"/>
                <w:szCs w:val="14"/>
                <w:lang w:val="es-ES"/>
              </w:rPr>
            </w:pPr>
            <w:r w:rsidRPr="009E72CE">
              <w:rPr>
                <w:rFonts w:ascii="Lucida Bright" w:hAnsi="Lucida Bright" w:cs="Calibri"/>
                <w:b/>
                <w:bCs/>
                <w:color w:val="000000"/>
                <w:sz w:val="14"/>
                <w:szCs w:val="14"/>
                <w:lang w:val="es-ES"/>
              </w:rPr>
              <w:t>Por impuesto diferido:</w:t>
            </w:r>
          </w:p>
        </w:tc>
        <w:tc>
          <w:tcPr>
            <w:tcW w:w="936"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737679">
        <w:trPr>
          <w:trHeight w:val="225"/>
        </w:trPr>
        <w:tc>
          <w:tcPr>
            <w:tcW w:w="2625" w:type="pct"/>
            <w:gridSpan w:val="4"/>
            <w:tcBorders>
              <w:top w:val="nil"/>
              <w:left w:val="single" w:sz="8" w:space="0" w:color="auto"/>
              <w:bottom w:val="nil"/>
              <w:right w:val="single" w:sz="8" w:space="0" w:color="000000"/>
            </w:tcBorders>
            <w:shd w:val="clear" w:color="auto" w:fill="auto"/>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Con origen en el ejercicio</w:t>
            </w:r>
          </w:p>
        </w:tc>
        <w:tc>
          <w:tcPr>
            <w:tcW w:w="936"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737679">
        <w:trPr>
          <w:trHeight w:val="255"/>
        </w:trPr>
        <w:tc>
          <w:tcPr>
            <w:tcW w:w="2005" w:type="pct"/>
            <w:gridSpan w:val="3"/>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i/>
                <w:iCs/>
                <w:color w:val="000000"/>
                <w:sz w:val="14"/>
                <w:szCs w:val="14"/>
                <w:lang w:val="es-ES"/>
              </w:rPr>
            </w:pPr>
            <w:r w:rsidRPr="009E72CE">
              <w:rPr>
                <w:rFonts w:ascii="Lucida Bright" w:hAnsi="Lucida Bright" w:cs="Calibri"/>
                <w:i/>
                <w:iCs/>
                <w:color w:val="000000"/>
                <w:sz w:val="14"/>
                <w:szCs w:val="14"/>
                <w:lang w:val="es-ES"/>
              </w:rPr>
              <w:t xml:space="preserve">Efecto fiscal subvenciones devengadas </w:t>
            </w:r>
          </w:p>
        </w:tc>
        <w:tc>
          <w:tcPr>
            <w:tcW w:w="620" w:type="pct"/>
            <w:tcBorders>
              <w:top w:val="nil"/>
              <w:left w:val="nil"/>
              <w:bottom w:val="nil"/>
              <w:right w:val="single" w:sz="8" w:space="0" w:color="auto"/>
            </w:tcBorders>
            <w:shd w:val="clear" w:color="auto" w:fill="auto"/>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936" w:type="pct"/>
            <w:tcBorders>
              <w:top w:val="nil"/>
              <w:left w:val="nil"/>
              <w:bottom w:val="nil"/>
              <w:right w:val="single" w:sz="4"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299.040,13</w:t>
            </w:r>
          </w:p>
        </w:tc>
        <w:tc>
          <w:tcPr>
            <w:tcW w:w="78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299.040,13</w:t>
            </w:r>
          </w:p>
        </w:tc>
      </w:tr>
      <w:tr w:rsidR="009E72CE" w:rsidRPr="009E72CE" w:rsidTr="00737679">
        <w:trPr>
          <w:trHeight w:val="225"/>
        </w:trPr>
        <w:tc>
          <w:tcPr>
            <w:tcW w:w="2625" w:type="pct"/>
            <w:gridSpan w:val="4"/>
            <w:tcBorders>
              <w:top w:val="nil"/>
              <w:left w:val="single" w:sz="8" w:space="0" w:color="auto"/>
              <w:bottom w:val="nil"/>
              <w:right w:val="single" w:sz="8" w:space="0" w:color="000000"/>
            </w:tcBorders>
            <w:shd w:val="clear" w:color="auto" w:fill="auto"/>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Con origen en ejercicios anteriores</w:t>
            </w:r>
          </w:p>
        </w:tc>
        <w:tc>
          <w:tcPr>
            <w:tcW w:w="936"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737679">
        <w:trPr>
          <w:trHeight w:val="240"/>
        </w:trPr>
        <w:tc>
          <w:tcPr>
            <w:tcW w:w="2005" w:type="pct"/>
            <w:gridSpan w:val="3"/>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i/>
                <w:iCs/>
                <w:color w:val="000000"/>
                <w:sz w:val="14"/>
                <w:szCs w:val="14"/>
                <w:lang w:val="es-ES"/>
              </w:rPr>
            </w:pPr>
            <w:r w:rsidRPr="009E72CE">
              <w:rPr>
                <w:rFonts w:ascii="Lucida Bright" w:hAnsi="Lucida Bright" w:cs="Calibri"/>
                <w:i/>
                <w:iCs/>
                <w:color w:val="000000"/>
                <w:sz w:val="14"/>
                <w:szCs w:val="14"/>
                <w:lang w:val="es-ES"/>
              </w:rPr>
              <w:t>Efecto fiscal subvenciones traspasadas al resultado</w:t>
            </w:r>
          </w:p>
        </w:tc>
        <w:tc>
          <w:tcPr>
            <w:tcW w:w="620"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936" w:type="pct"/>
            <w:tcBorders>
              <w:top w:val="nil"/>
              <w:left w:val="nil"/>
              <w:bottom w:val="single" w:sz="8" w:space="0" w:color="auto"/>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nil"/>
              <w:left w:val="nil"/>
              <w:bottom w:val="single" w:sz="8" w:space="0" w:color="auto"/>
              <w:right w:val="single" w:sz="4"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199.714,44</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(199.714,44)</w:t>
            </w:r>
          </w:p>
        </w:tc>
      </w:tr>
      <w:tr w:rsidR="009E72CE" w:rsidRPr="009E72CE" w:rsidTr="00737679">
        <w:trPr>
          <w:trHeight w:val="240"/>
        </w:trPr>
        <w:tc>
          <w:tcPr>
            <w:tcW w:w="2625" w:type="pct"/>
            <w:gridSpan w:val="4"/>
            <w:tcBorders>
              <w:top w:val="nil"/>
              <w:left w:val="single" w:sz="8" w:space="0" w:color="auto"/>
              <w:bottom w:val="nil"/>
              <w:right w:val="single" w:sz="8" w:space="0" w:color="000000"/>
            </w:tcBorders>
            <w:shd w:val="clear" w:color="auto" w:fill="auto"/>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Total impuesto diferido</w:t>
            </w:r>
          </w:p>
        </w:tc>
        <w:tc>
          <w:tcPr>
            <w:tcW w:w="936"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299.040,13</w:t>
            </w:r>
          </w:p>
        </w:tc>
        <w:tc>
          <w:tcPr>
            <w:tcW w:w="783"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199.714,44</w:t>
            </w:r>
          </w:p>
        </w:tc>
        <w:tc>
          <w:tcPr>
            <w:tcW w:w="656" w:type="pct"/>
            <w:tcBorders>
              <w:top w:val="single" w:sz="8" w:space="0" w:color="auto"/>
              <w:left w:val="nil"/>
              <w:bottom w:val="single" w:sz="8"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99.325,69</w:t>
            </w:r>
          </w:p>
        </w:tc>
      </w:tr>
      <w:tr w:rsidR="009E72CE" w:rsidRPr="009E72CE" w:rsidTr="00737679">
        <w:trPr>
          <w:trHeight w:val="240"/>
        </w:trPr>
        <w:tc>
          <w:tcPr>
            <w:tcW w:w="2625" w:type="pct"/>
            <w:gridSpan w:val="4"/>
            <w:tcBorders>
              <w:top w:val="nil"/>
              <w:left w:val="single" w:sz="8" w:space="0" w:color="auto"/>
              <w:bottom w:val="single" w:sz="8" w:space="0" w:color="auto"/>
              <w:right w:val="single" w:sz="8" w:space="0" w:color="000000"/>
            </w:tcBorders>
            <w:shd w:val="clear" w:color="auto" w:fill="auto"/>
            <w:vAlign w:val="bottom"/>
            <w:hideMark/>
          </w:tcPr>
          <w:p w:rsidR="009E72CE" w:rsidRPr="009E72CE" w:rsidRDefault="009E72CE" w:rsidP="009E72CE">
            <w:pPr>
              <w:rPr>
                <w:rFonts w:ascii="Lucida Bright" w:hAnsi="Lucida Bright" w:cs="Calibri"/>
                <w:b/>
                <w:bCs/>
                <w:color w:val="000000"/>
                <w:sz w:val="14"/>
                <w:szCs w:val="14"/>
                <w:lang w:val="es-ES"/>
              </w:rPr>
            </w:pPr>
            <w:r w:rsidRPr="009E72CE">
              <w:rPr>
                <w:rFonts w:ascii="Lucida Bright" w:hAnsi="Lucida Bright" w:cs="Calibri"/>
                <w:b/>
                <w:bCs/>
                <w:color w:val="000000"/>
                <w:sz w:val="14"/>
                <w:szCs w:val="14"/>
                <w:lang w:val="es-ES"/>
              </w:rPr>
              <w:t>Total impuesto reconocido directamente en el patrimonio</w:t>
            </w:r>
          </w:p>
        </w:tc>
        <w:tc>
          <w:tcPr>
            <w:tcW w:w="936"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299.040,13</w:t>
            </w:r>
          </w:p>
        </w:tc>
        <w:tc>
          <w:tcPr>
            <w:tcW w:w="783"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199.714,44</w:t>
            </w:r>
          </w:p>
        </w:tc>
        <w:tc>
          <w:tcPr>
            <w:tcW w:w="656"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99.325,69</w:t>
            </w:r>
          </w:p>
        </w:tc>
      </w:tr>
    </w:tbl>
    <w:p w:rsidR="00B450EE" w:rsidRDefault="00B450EE">
      <w:pPr>
        <w:tabs>
          <w:tab w:val="right" w:pos="8364"/>
        </w:tabs>
        <w:ind w:firstLine="540"/>
        <w:jc w:val="both"/>
        <w:rPr>
          <w:bCs/>
        </w:rPr>
      </w:pPr>
    </w:p>
    <w:p w:rsidR="006C0EE0" w:rsidRDefault="006C0EE0" w:rsidP="006C0EE0">
      <w:pPr>
        <w:tabs>
          <w:tab w:val="right" w:pos="8364"/>
        </w:tabs>
        <w:jc w:val="both"/>
        <w:rPr>
          <w:bCs/>
        </w:rPr>
      </w:pPr>
    </w:p>
    <w:p w:rsidR="00B450EE" w:rsidRDefault="00B450EE" w:rsidP="006C0EE0">
      <w:pPr>
        <w:tabs>
          <w:tab w:val="right" w:pos="8364"/>
        </w:tabs>
        <w:jc w:val="both"/>
        <w:rPr>
          <w:bCs/>
        </w:rPr>
      </w:pPr>
    </w:p>
    <w:p w:rsidR="00B450EE" w:rsidRDefault="00B450EE" w:rsidP="006C0EE0">
      <w:pPr>
        <w:tabs>
          <w:tab w:val="right" w:pos="8364"/>
        </w:tabs>
        <w:jc w:val="both"/>
        <w:rPr>
          <w:bCs/>
        </w:rPr>
      </w:pPr>
    </w:p>
    <w:p w:rsidR="00E0015A" w:rsidRDefault="00E0015A">
      <w:pPr>
        <w:tabs>
          <w:tab w:val="right" w:pos="8364"/>
        </w:tabs>
        <w:ind w:firstLine="540"/>
        <w:jc w:val="both"/>
        <w:rPr>
          <w:bCs/>
        </w:rPr>
      </w:pPr>
    </w:p>
    <w:p w:rsidR="00B450EE" w:rsidRDefault="00B450EE">
      <w:pPr>
        <w:tabs>
          <w:tab w:val="right" w:pos="8364"/>
        </w:tabs>
        <w:ind w:firstLine="540"/>
        <w:jc w:val="both"/>
        <w:rPr>
          <w:bCs/>
        </w:rPr>
      </w:pPr>
    </w:p>
    <w:p w:rsidR="00B450EE" w:rsidRDefault="00B450EE">
      <w:pPr>
        <w:tabs>
          <w:tab w:val="right" w:pos="8364"/>
        </w:tabs>
        <w:ind w:firstLine="540"/>
        <w:jc w:val="both"/>
        <w:rPr>
          <w:bCs/>
        </w:rPr>
      </w:pPr>
    </w:p>
    <w:p w:rsidR="00B450EE" w:rsidRDefault="00B450EE">
      <w:pPr>
        <w:tabs>
          <w:tab w:val="right" w:pos="8364"/>
        </w:tabs>
        <w:ind w:firstLine="540"/>
        <w:jc w:val="both"/>
        <w:rPr>
          <w:bCs/>
        </w:rPr>
      </w:pPr>
    </w:p>
    <w:p w:rsidR="009E72CE" w:rsidRDefault="009E72CE">
      <w:pPr>
        <w:tabs>
          <w:tab w:val="right" w:pos="8364"/>
        </w:tabs>
        <w:ind w:firstLine="540"/>
        <w:jc w:val="both"/>
        <w:rPr>
          <w:rFonts w:ascii="NewBaskerville" w:hAnsi="NewBaskerville"/>
          <w:bCs/>
          <w:u w:val="single"/>
        </w:rPr>
      </w:pPr>
    </w:p>
    <w:p w:rsidR="009E72CE" w:rsidRDefault="009E72CE">
      <w:pPr>
        <w:tabs>
          <w:tab w:val="right" w:pos="8364"/>
        </w:tabs>
        <w:ind w:firstLine="540"/>
        <w:jc w:val="both"/>
        <w:rPr>
          <w:rFonts w:ascii="NewBaskerville" w:hAnsi="NewBaskerville"/>
          <w:bCs/>
          <w:u w:val="single"/>
        </w:rPr>
      </w:pPr>
    </w:p>
    <w:p w:rsidR="009E72CE" w:rsidRDefault="009E72CE">
      <w:pPr>
        <w:tabs>
          <w:tab w:val="right" w:pos="8364"/>
        </w:tabs>
        <w:ind w:firstLine="540"/>
        <w:jc w:val="both"/>
        <w:rPr>
          <w:rFonts w:ascii="NewBaskerville" w:hAnsi="NewBaskerville"/>
          <w:bCs/>
          <w:u w:val="single"/>
        </w:rPr>
      </w:pPr>
    </w:p>
    <w:p w:rsidR="009E72CE" w:rsidRDefault="009E72CE">
      <w:pPr>
        <w:tabs>
          <w:tab w:val="right" w:pos="8364"/>
        </w:tabs>
        <w:ind w:firstLine="540"/>
        <w:jc w:val="both"/>
        <w:rPr>
          <w:rFonts w:ascii="NewBaskerville" w:hAnsi="NewBaskerville"/>
          <w:bCs/>
          <w:u w:val="single"/>
        </w:rPr>
      </w:pPr>
    </w:p>
    <w:p w:rsidR="009E72CE" w:rsidRDefault="009E72CE">
      <w:pPr>
        <w:tabs>
          <w:tab w:val="right" w:pos="8364"/>
        </w:tabs>
        <w:ind w:firstLine="540"/>
        <w:jc w:val="both"/>
        <w:rPr>
          <w:rFonts w:ascii="NewBaskerville" w:hAnsi="NewBaskerville"/>
          <w:bCs/>
          <w:u w:val="single"/>
        </w:rPr>
      </w:pPr>
    </w:p>
    <w:p w:rsidR="009E72CE" w:rsidRDefault="009E72CE">
      <w:pPr>
        <w:tabs>
          <w:tab w:val="right" w:pos="8364"/>
        </w:tabs>
        <w:ind w:firstLine="540"/>
        <w:jc w:val="both"/>
        <w:rPr>
          <w:rFonts w:ascii="NewBaskerville" w:hAnsi="NewBaskerville"/>
          <w:bCs/>
          <w:u w:val="single"/>
        </w:rPr>
      </w:pPr>
    </w:p>
    <w:p w:rsidR="009E72CE" w:rsidRDefault="009E72CE">
      <w:pPr>
        <w:tabs>
          <w:tab w:val="right" w:pos="8364"/>
        </w:tabs>
        <w:ind w:firstLine="540"/>
        <w:jc w:val="both"/>
        <w:rPr>
          <w:rFonts w:ascii="NewBaskerville" w:hAnsi="NewBaskerville"/>
          <w:bCs/>
          <w:u w:val="single"/>
        </w:rPr>
      </w:pPr>
    </w:p>
    <w:p w:rsidR="009E72CE" w:rsidRDefault="009E72CE">
      <w:pPr>
        <w:tabs>
          <w:tab w:val="right" w:pos="8364"/>
        </w:tabs>
        <w:ind w:firstLine="540"/>
        <w:jc w:val="both"/>
        <w:rPr>
          <w:rFonts w:ascii="NewBaskerville" w:hAnsi="NewBaskerville"/>
          <w:bCs/>
          <w:u w:val="single"/>
        </w:rPr>
      </w:pPr>
    </w:p>
    <w:p w:rsidR="009E72CE" w:rsidRDefault="009E72CE">
      <w:pPr>
        <w:tabs>
          <w:tab w:val="right" w:pos="8364"/>
        </w:tabs>
        <w:ind w:firstLine="540"/>
        <w:jc w:val="both"/>
        <w:rPr>
          <w:rFonts w:ascii="NewBaskerville" w:hAnsi="NewBaskerville"/>
          <w:bCs/>
          <w:u w:val="single"/>
        </w:rPr>
      </w:pPr>
    </w:p>
    <w:p w:rsidR="0087318F" w:rsidRPr="00B450EE" w:rsidRDefault="00964DBB">
      <w:pPr>
        <w:tabs>
          <w:tab w:val="right" w:pos="8364"/>
        </w:tabs>
        <w:ind w:firstLine="540"/>
        <w:jc w:val="both"/>
        <w:rPr>
          <w:rFonts w:ascii="NewBaskerville" w:hAnsi="NewBaskerville"/>
          <w:bCs/>
        </w:rPr>
      </w:pPr>
      <w:r w:rsidRPr="00B450EE">
        <w:rPr>
          <w:rFonts w:ascii="NewBaskerville" w:hAnsi="NewBaskerville"/>
          <w:bCs/>
          <w:u w:val="single"/>
        </w:rPr>
        <w:t>Conciliación entre el resultado contable y el gasto por Impuesto de Sociedades.</w:t>
      </w:r>
    </w:p>
    <w:p w:rsidR="0010198F" w:rsidRPr="00B450EE" w:rsidRDefault="0010198F">
      <w:pPr>
        <w:tabs>
          <w:tab w:val="right" w:pos="8364"/>
        </w:tabs>
        <w:ind w:firstLine="540"/>
        <w:jc w:val="both"/>
        <w:rPr>
          <w:rFonts w:ascii="NewBaskerville" w:hAnsi="NewBaskerville"/>
          <w:bCs/>
        </w:rPr>
      </w:pPr>
    </w:p>
    <w:p w:rsidR="0010198F" w:rsidRDefault="0010198F">
      <w:pPr>
        <w:tabs>
          <w:tab w:val="right" w:pos="8364"/>
        </w:tabs>
        <w:ind w:firstLine="540"/>
        <w:jc w:val="both"/>
        <w:rPr>
          <w:rFonts w:ascii="NewBaskerville" w:hAnsi="NewBaskerville"/>
          <w:bCs/>
        </w:rPr>
      </w:pPr>
      <w:r w:rsidRPr="00B450EE">
        <w:rPr>
          <w:rFonts w:ascii="NewBaskerville" w:hAnsi="NewBaskerville"/>
          <w:bCs/>
        </w:rPr>
        <w:t>La conciliación entre el resultado contable y el gasto por Impuesto sobre Sociedades es la siguiente:</w:t>
      </w:r>
    </w:p>
    <w:p w:rsidR="009E72CE" w:rsidRDefault="009E72CE">
      <w:pPr>
        <w:tabs>
          <w:tab w:val="right" w:pos="8364"/>
        </w:tabs>
        <w:ind w:firstLine="540"/>
        <w:jc w:val="both"/>
        <w:rPr>
          <w:rFonts w:ascii="NewBaskerville" w:hAnsi="NewBaskerville"/>
          <w:bCs/>
        </w:rPr>
      </w:pPr>
    </w:p>
    <w:tbl>
      <w:tblPr>
        <w:tblW w:w="7268" w:type="dxa"/>
        <w:tblInd w:w="55" w:type="dxa"/>
        <w:tblCellMar>
          <w:left w:w="70" w:type="dxa"/>
          <w:right w:w="70" w:type="dxa"/>
        </w:tblCellMar>
        <w:tblLook w:val="04A0" w:firstRow="1" w:lastRow="0" w:firstColumn="1" w:lastColumn="0" w:noHBand="0" w:noVBand="1"/>
      </w:tblPr>
      <w:tblGrid>
        <w:gridCol w:w="2534"/>
        <w:gridCol w:w="198"/>
        <w:gridCol w:w="198"/>
        <w:gridCol w:w="2169"/>
        <w:gridCol w:w="2169"/>
      </w:tblGrid>
      <w:tr w:rsidR="00737679" w:rsidRPr="00737679" w:rsidTr="00737679">
        <w:trPr>
          <w:trHeight w:val="240"/>
        </w:trPr>
        <w:tc>
          <w:tcPr>
            <w:tcW w:w="7268" w:type="dxa"/>
            <w:gridSpan w:val="5"/>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b/>
                <w:bCs/>
                <w:color w:val="000000"/>
                <w:sz w:val="16"/>
                <w:szCs w:val="16"/>
                <w:lang w:val="es-ES"/>
              </w:rPr>
            </w:pPr>
            <w:r w:rsidRPr="00737679">
              <w:rPr>
                <w:rFonts w:ascii="Lucida Bright" w:hAnsi="Lucida Bright" w:cs="Calibri"/>
                <w:b/>
                <w:bCs/>
                <w:color w:val="000000"/>
                <w:sz w:val="16"/>
                <w:szCs w:val="16"/>
                <w:lang w:val="es-ES"/>
              </w:rPr>
              <w:t>Conciliación entre el resultado contable y gasto por Impuesto sobre Sociedades</w:t>
            </w:r>
          </w:p>
        </w:tc>
      </w:tr>
      <w:tr w:rsidR="00737679" w:rsidRPr="00737679" w:rsidTr="00737679">
        <w:trPr>
          <w:trHeight w:val="240"/>
        </w:trPr>
        <w:tc>
          <w:tcPr>
            <w:tcW w:w="2534" w:type="dxa"/>
            <w:tcBorders>
              <w:top w:val="single" w:sz="8" w:space="0" w:color="auto"/>
              <w:left w:val="single" w:sz="8" w:space="0" w:color="auto"/>
              <w:bottom w:val="nil"/>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98" w:type="dxa"/>
            <w:tcBorders>
              <w:top w:val="single" w:sz="8" w:space="0" w:color="auto"/>
              <w:left w:val="nil"/>
              <w:bottom w:val="nil"/>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98" w:type="dxa"/>
            <w:tcBorders>
              <w:top w:val="single" w:sz="8" w:space="0" w:color="auto"/>
              <w:left w:val="nil"/>
              <w:bottom w:val="nil"/>
              <w:right w:val="single" w:sz="8" w:space="0" w:color="auto"/>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4338" w:type="dxa"/>
            <w:gridSpan w:val="2"/>
            <w:tcBorders>
              <w:top w:val="single" w:sz="8" w:space="0" w:color="auto"/>
              <w:left w:val="nil"/>
              <w:bottom w:val="single" w:sz="8" w:space="0" w:color="auto"/>
              <w:right w:val="single" w:sz="8" w:space="0" w:color="000000"/>
            </w:tcBorders>
            <w:shd w:val="clear" w:color="000000" w:fill="CCFFCC"/>
            <w:noWrap/>
            <w:vAlign w:val="center"/>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Euros</w:t>
            </w:r>
          </w:p>
        </w:tc>
      </w:tr>
      <w:tr w:rsidR="00737679" w:rsidRPr="00737679" w:rsidTr="00737679">
        <w:trPr>
          <w:trHeight w:val="240"/>
        </w:trPr>
        <w:tc>
          <w:tcPr>
            <w:tcW w:w="2534" w:type="dxa"/>
            <w:tcBorders>
              <w:top w:val="nil"/>
              <w:left w:val="single" w:sz="8" w:space="0" w:color="auto"/>
              <w:bottom w:val="single" w:sz="8" w:space="0" w:color="auto"/>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98" w:type="dxa"/>
            <w:tcBorders>
              <w:top w:val="nil"/>
              <w:left w:val="nil"/>
              <w:bottom w:val="single" w:sz="8" w:space="0" w:color="auto"/>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98" w:type="dxa"/>
            <w:tcBorders>
              <w:top w:val="nil"/>
              <w:left w:val="nil"/>
              <w:bottom w:val="single" w:sz="8" w:space="0" w:color="auto"/>
              <w:right w:val="single" w:sz="8" w:space="0" w:color="auto"/>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169" w:type="dxa"/>
            <w:tcBorders>
              <w:top w:val="nil"/>
              <w:left w:val="nil"/>
              <w:bottom w:val="single" w:sz="8" w:space="0" w:color="auto"/>
              <w:right w:val="single" w:sz="8" w:space="0" w:color="auto"/>
            </w:tcBorders>
            <w:shd w:val="clear" w:color="000000" w:fill="CCFFCC"/>
            <w:noWrap/>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2024</w:t>
            </w:r>
          </w:p>
        </w:tc>
        <w:tc>
          <w:tcPr>
            <w:tcW w:w="2169" w:type="dxa"/>
            <w:tcBorders>
              <w:top w:val="nil"/>
              <w:left w:val="nil"/>
              <w:bottom w:val="single" w:sz="8" w:space="0" w:color="auto"/>
              <w:right w:val="single" w:sz="8" w:space="0" w:color="auto"/>
            </w:tcBorders>
            <w:shd w:val="clear" w:color="000000" w:fill="CCFFCC"/>
            <w:noWrap/>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2023</w:t>
            </w:r>
          </w:p>
        </w:tc>
      </w:tr>
      <w:tr w:rsidR="00737679" w:rsidRPr="00737679" w:rsidTr="00737679">
        <w:trPr>
          <w:trHeight w:val="225"/>
        </w:trPr>
        <w:tc>
          <w:tcPr>
            <w:tcW w:w="293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Resultado contable antes de impuestos</w:t>
            </w:r>
          </w:p>
        </w:tc>
        <w:tc>
          <w:tcPr>
            <w:tcW w:w="2169"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45.329.044,96</w:t>
            </w:r>
          </w:p>
        </w:tc>
        <w:tc>
          <w:tcPr>
            <w:tcW w:w="2169"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47.050.375,18</w:t>
            </w:r>
          </w:p>
        </w:tc>
      </w:tr>
      <w:tr w:rsidR="00737679" w:rsidRPr="00737679" w:rsidTr="00737679">
        <w:trPr>
          <w:trHeight w:val="225"/>
        </w:trPr>
        <w:tc>
          <w:tcPr>
            <w:tcW w:w="2732" w:type="dxa"/>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Diferencias permanentes</w:t>
            </w:r>
          </w:p>
        </w:tc>
        <w:tc>
          <w:tcPr>
            <w:tcW w:w="19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169" w:type="dxa"/>
            <w:tcBorders>
              <w:top w:val="nil"/>
              <w:left w:val="nil"/>
              <w:bottom w:val="single" w:sz="4" w:space="0" w:color="auto"/>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(1.142.993,00)</w:t>
            </w:r>
          </w:p>
        </w:tc>
        <w:tc>
          <w:tcPr>
            <w:tcW w:w="2169" w:type="dxa"/>
            <w:tcBorders>
              <w:top w:val="nil"/>
              <w:left w:val="nil"/>
              <w:bottom w:val="single" w:sz="4" w:space="0" w:color="auto"/>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3.336.093,02</w:t>
            </w:r>
          </w:p>
        </w:tc>
      </w:tr>
      <w:tr w:rsidR="00737679" w:rsidRPr="00737679" w:rsidTr="00737679">
        <w:trPr>
          <w:trHeight w:val="225"/>
        </w:trPr>
        <w:tc>
          <w:tcPr>
            <w:tcW w:w="2534" w:type="dxa"/>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Subtotal</w:t>
            </w:r>
          </w:p>
        </w:tc>
        <w:tc>
          <w:tcPr>
            <w:tcW w:w="198"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9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44.186.051,96</w:t>
            </w:r>
          </w:p>
        </w:tc>
        <w:tc>
          <w:tcPr>
            <w:tcW w:w="2169"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50.386.468,20</w:t>
            </w:r>
          </w:p>
        </w:tc>
      </w:tr>
      <w:tr w:rsidR="00737679" w:rsidRPr="00737679" w:rsidTr="00737679">
        <w:trPr>
          <w:trHeight w:val="225"/>
        </w:trPr>
        <w:tc>
          <w:tcPr>
            <w:tcW w:w="2534" w:type="dxa"/>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Cuota al 25%</w:t>
            </w:r>
          </w:p>
        </w:tc>
        <w:tc>
          <w:tcPr>
            <w:tcW w:w="198"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9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11.046.512,99</w:t>
            </w:r>
          </w:p>
        </w:tc>
        <w:tc>
          <w:tcPr>
            <w:tcW w:w="2169"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12.596.617,05</w:t>
            </w:r>
          </w:p>
        </w:tc>
      </w:tr>
      <w:tr w:rsidR="00737679" w:rsidRPr="00737679" w:rsidTr="00737679">
        <w:trPr>
          <w:trHeight w:val="225"/>
        </w:trPr>
        <w:tc>
          <w:tcPr>
            <w:tcW w:w="2732" w:type="dxa"/>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Impacto diferencias temporarias</w:t>
            </w:r>
          </w:p>
        </w:tc>
        <w:tc>
          <w:tcPr>
            <w:tcW w:w="19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2534" w:type="dxa"/>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Deducciones:</w:t>
            </w:r>
          </w:p>
        </w:tc>
        <w:tc>
          <w:tcPr>
            <w:tcW w:w="198"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9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2732" w:type="dxa"/>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Por gastos no económicos</w:t>
            </w:r>
          </w:p>
        </w:tc>
        <w:tc>
          <w:tcPr>
            <w:tcW w:w="19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(4.258.519,11)</w:t>
            </w:r>
          </w:p>
        </w:tc>
        <w:tc>
          <w:tcPr>
            <w:tcW w:w="2169"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(4.394.710,22)</w:t>
            </w:r>
          </w:p>
        </w:tc>
      </w:tr>
      <w:tr w:rsidR="00737679" w:rsidRPr="00737679" w:rsidTr="00737679">
        <w:trPr>
          <w:trHeight w:val="225"/>
        </w:trPr>
        <w:tc>
          <w:tcPr>
            <w:tcW w:w="2732" w:type="dxa"/>
            <w:gridSpan w:val="2"/>
            <w:tcBorders>
              <w:top w:val="nil"/>
              <w:left w:val="single" w:sz="8" w:space="0" w:color="auto"/>
              <w:bottom w:val="nil"/>
              <w:right w:val="nil"/>
            </w:tcBorders>
            <w:shd w:val="clear" w:color="auto" w:fill="auto"/>
            <w:noWrap/>
            <w:vAlign w:val="bottom"/>
            <w:hideMark/>
          </w:tcPr>
          <w:p w:rsidR="00737679" w:rsidRPr="00737679" w:rsidRDefault="00737679" w:rsidP="0031200E">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Por inversiones no</w:t>
            </w:r>
            <w:r w:rsidRPr="0031200E">
              <w:rPr>
                <w:rFonts w:ascii="Lucida Bright" w:hAnsi="Lucida Bright" w:cs="Calibri"/>
                <w:color w:val="000000"/>
                <w:sz w:val="14"/>
                <w:szCs w:val="14"/>
                <w:lang w:val="es-ES"/>
              </w:rPr>
              <w:t xml:space="preserve"> econ</w:t>
            </w:r>
            <w:r w:rsidR="0031200E">
              <w:rPr>
                <w:rFonts w:ascii="Lucida Bright" w:hAnsi="Lucida Bright" w:cs="Calibri"/>
                <w:color w:val="000000"/>
                <w:sz w:val="14"/>
                <w:szCs w:val="14"/>
                <w:lang w:val="es-ES"/>
              </w:rPr>
              <w:t>ó</w:t>
            </w:r>
            <w:r w:rsidRPr="0031200E">
              <w:rPr>
                <w:rFonts w:ascii="Lucida Bright" w:hAnsi="Lucida Bright" w:cs="Calibri"/>
                <w:color w:val="000000"/>
                <w:sz w:val="14"/>
                <w:szCs w:val="14"/>
                <w:lang w:val="es-ES"/>
              </w:rPr>
              <w:t>mic</w:t>
            </w:r>
            <w:r w:rsidR="0031200E">
              <w:rPr>
                <w:rFonts w:ascii="Lucida Bright" w:hAnsi="Lucida Bright" w:cs="Calibri"/>
                <w:color w:val="000000"/>
                <w:sz w:val="14"/>
                <w:szCs w:val="14"/>
                <w:lang w:val="es-ES"/>
              </w:rPr>
              <w:t>a</w:t>
            </w:r>
            <w:r w:rsidRPr="0031200E">
              <w:rPr>
                <w:rFonts w:ascii="Lucida Bright" w:hAnsi="Lucida Bright" w:cs="Calibri"/>
                <w:color w:val="000000"/>
                <w:sz w:val="14"/>
                <w:szCs w:val="14"/>
                <w:lang w:val="es-ES"/>
              </w:rPr>
              <w:t>s</w:t>
            </w:r>
          </w:p>
        </w:tc>
        <w:tc>
          <w:tcPr>
            <w:tcW w:w="198"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(9.766.133,00)</w:t>
            </w:r>
          </w:p>
        </w:tc>
        <w:tc>
          <w:tcPr>
            <w:tcW w:w="2169"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(8.163.638,67)</w:t>
            </w:r>
          </w:p>
        </w:tc>
      </w:tr>
      <w:tr w:rsidR="00737679" w:rsidRPr="00737679" w:rsidTr="00737679">
        <w:trPr>
          <w:trHeight w:val="225"/>
        </w:trPr>
        <w:tc>
          <w:tcPr>
            <w:tcW w:w="2930" w:type="dxa"/>
            <w:gridSpan w:val="3"/>
            <w:tcBorders>
              <w:top w:val="nil"/>
              <w:left w:val="single" w:sz="8" w:space="0" w:color="auto"/>
              <w:bottom w:val="nil"/>
              <w:right w:val="single" w:sz="8" w:space="0" w:color="000000"/>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Compensación bases imponibles negativas</w:t>
            </w:r>
          </w:p>
        </w:tc>
        <w:tc>
          <w:tcPr>
            <w:tcW w:w="2169"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2930" w:type="dxa"/>
            <w:gridSpan w:val="3"/>
            <w:tcBorders>
              <w:top w:val="nil"/>
              <w:left w:val="single" w:sz="8" w:space="0" w:color="auto"/>
              <w:bottom w:val="nil"/>
              <w:right w:val="single" w:sz="8" w:space="0" w:color="000000"/>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Otros-Reserva Capitalización no</w:t>
            </w:r>
            <w:r w:rsidRPr="0031200E">
              <w:rPr>
                <w:rFonts w:ascii="Lucida Bright" w:hAnsi="Lucida Bright" w:cs="Calibri"/>
                <w:color w:val="000000"/>
                <w:sz w:val="14"/>
                <w:szCs w:val="14"/>
                <w:lang w:val="es-ES"/>
              </w:rPr>
              <w:t xml:space="preserve"> deduc</w:t>
            </w:r>
          </w:p>
        </w:tc>
        <w:tc>
          <w:tcPr>
            <w:tcW w:w="2169"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40"/>
        </w:trPr>
        <w:tc>
          <w:tcPr>
            <w:tcW w:w="2732" w:type="dxa"/>
            <w:gridSpan w:val="2"/>
            <w:tcBorders>
              <w:top w:val="nil"/>
              <w:left w:val="single" w:sz="8" w:space="0" w:color="auto"/>
              <w:bottom w:val="single" w:sz="8" w:space="0" w:color="auto"/>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Otros-Liquidación definitiva IS 2020</w:t>
            </w:r>
          </w:p>
        </w:tc>
        <w:tc>
          <w:tcPr>
            <w:tcW w:w="198" w:type="dxa"/>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169" w:type="dxa"/>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169" w:type="dxa"/>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495"/>
        </w:trPr>
        <w:tc>
          <w:tcPr>
            <w:tcW w:w="293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37679" w:rsidRPr="00737679" w:rsidRDefault="00737679" w:rsidP="00737679">
            <w:pPr>
              <w:jc w:val="center"/>
              <w:rPr>
                <w:rFonts w:ascii="Lucida Bright" w:hAnsi="Lucida Bright" w:cs="Calibri"/>
                <w:b/>
                <w:bCs/>
                <w:color w:val="000000"/>
                <w:sz w:val="14"/>
                <w:szCs w:val="14"/>
                <w:lang w:val="es-ES"/>
              </w:rPr>
            </w:pPr>
            <w:r w:rsidRPr="00737679">
              <w:rPr>
                <w:rFonts w:ascii="Lucida Bright" w:hAnsi="Lucida Bright" w:cs="Calibri"/>
                <w:b/>
                <w:bCs/>
                <w:color w:val="000000"/>
                <w:sz w:val="14"/>
                <w:szCs w:val="14"/>
                <w:lang w:val="es-ES"/>
              </w:rPr>
              <w:t>Total gasto por impuesto reconocido en la cuenta de pérdidas y ganancias</w:t>
            </w:r>
          </w:p>
        </w:tc>
        <w:tc>
          <w:tcPr>
            <w:tcW w:w="2169" w:type="dxa"/>
            <w:tcBorders>
              <w:top w:val="nil"/>
              <w:left w:val="nil"/>
              <w:bottom w:val="single" w:sz="8" w:space="0" w:color="auto"/>
              <w:right w:val="single" w:sz="8" w:space="0" w:color="auto"/>
            </w:tcBorders>
            <w:shd w:val="clear" w:color="auto" w:fill="auto"/>
            <w:vAlign w:val="center"/>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(2.978.139,12)</w:t>
            </w:r>
          </w:p>
        </w:tc>
        <w:tc>
          <w:tcPr>
            <w:tcW w:w="2169" w:type="dxa"/>
            <w:tcBorders>
              <w:top w:val="nil"/>
              <w:left w:val="nil"/>
              <w:bottom w:val="single" w:sz="8" w:space="0" w:color="auto"/>
              <w:right w:val="single" w:sz="8" w:space="0" w:color="auto"/>
            </w:tcBorders>
            <w:shd w:val="clear" w:color="auto" w:fill="auto"/>
            <w:vAlign w:val="center"/>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38.268,16</w:t>
            </w:r>
          </w:p>
        </w:tc>
      </w:tr>
    </w:tbl>
    <w:p w:rsidR="00B450EE" w:rsidRDefault="00B450EE">
      <w:pPr>
        <w:tabs>
          <w:tab w:val="right" w:pos="8364"/>
        </w:tabs>
        <w:ind w:firstLine="540"/>
        <w:jc w:val="both"/>
        <w:rPr>
          <w:rFonts w:ascii="NewBaskerville" w:hAnsi="NewBaskerville"/>
          <w:bCs/>
        </w:rPr>
      </w:pPr>
    </w:p>
    <w:p w:rsidR="006C0EE0" w:rsidRDefault="006C0EE0">
      <w:pPr>
        <w:tabs>
          <w:tab w:val="right" w:pos="8364"/>
        </w:tabs>
        <w:ind w:firstLine="540"/>
        <w:jc w:val="both"/>
        <w:rPr>
          <w:bCs/>
        </w:rPr>
      </w:pPr>
    </w:p>
    <w:p w:rsidR="00C82D5D" w:rsidRDefault="00C82D5D">
      <w:pPr>
        <w:tabs>
          <w:tab w:val="right" w:pos="8364"/>
        </w:tabs>
        <w:ind w:firstLine="540"/>
        <w:jc w:val="both"/>
        <w:rPr>
          <w:bCs/>
          <w:u w:val="single"/>
        </w:rPr>
      </w:pPr>
    </w:p>
    <w:p w:rsidR="0087318F" w:rsidRPr="007C68BE" w:rsidRDefault="00964DBB">
      <w:pPr>
        <w:tabs>
          <w:tab w:val="right" w:pos="8364"/>
        </w:tabs>
        <w:ind w:firstLine="540"/>
        <w:jc w:val="both"/>
        <w:rPr>
          <w:rFonts w:ascii="NewBaskerville" w:hAnsi="NewBaskerville"/>
          <w:bCs/>
        </w:rPr>
      </w:pPr>
      <w:r w:rsidRPr="007C68BE">
        <w:rPr>
          <w:rFonts w:ascii="NewBaskerville" w:hAnsi="NewBaskerville"/>
          <w:bCs/>
          <w:u w:val="single"/>
        </w:rPr>
        <w:t>Desglose del gasto por Impuesto sobre Sociedades.</w:t>
      </w:r>
    </w:p>
    <w:p w:rsidR="0010198F" w:rsidRPr="007C68BE" w:rsidRDefault="0010198F">
      <w:pPr>
        <w:tabs>
          <w:tab w:val="right" w:pos="8364"/>
        </w:tabs>
        <w:ind w:firstLine="540"/>
        <w:jc w:val="both"/>
        <w:rPr>
          <w:rFonts w:ascii="NewBaskerville" w:hAnsi="NewBaskerville"/>
          <w:bCs/>
        </w:rPr>
      </w:pPr>
    </w:p>
    <w:p w:rsidR="0010198F" w:rsidRPr="007C68BE" w:rsidRDefault="0010198F">
      <w:pPr>
        <w:tabs>
          <w:tab w:val="right" w:pos="8364"/>
        </w:tabs>
        <w:ind w:firstLine="540"/>
        <w:jc w:val="both"/>
        <w:rPr>
          <w:rFonts w:ascii="NewBaskerville" w:hAnsi="NewBaskerville"/>
          <w:bCs/>
        </w:rPr>
      </w:pPr>
      <w:r w:rsidRPr="007C68BE">
        <w:rPr>
          <w:rFonts w:ascii="NewBaskerville" w:hAnsi="NewBaskerville"/>
          <w:bCs/>
        </w:rPr>
        <w:t>El desglose del gasto por Impuesto sobre Sociedades es el siguiente:</w:t>
      </w:r>
    </w:p>
    <w:p w:rsidR="006C0EE0" w:rsidRPr="0010198F" w:rsidRDefault="006C0EE0">
      <w:pPr>
        <w:tabs>
          <w:tab w:val="right" w:pos="8364"/>
        </w:tabs>
        <w:ind w:firstLine="540"/>
        <w:jc w:val="both"/>
        <w:rPr>
          <w:bCs/>
        </w:rPr>
      </w:pPr>
    </w:p>
    <w:tbl>
      <w:tblPr>
        <w:tblW w:w="0" w:type="auto"/>
        <w:tblInd w:w="55" w:type="dxa"/>
        <w:tblLayout w:type="fixed"/>
        <w:tblCellMar>
          <w:left w:w="70" w:type="dxa"/>
          <w:right w:w="70" w:type="dxa"/>
        </w:tblCellMar>
        <w:tblLook w:val="04A0" w:firstRow="1" w:lastRow="0" w:firstColumn="1" w:lastColumn="0" w:noHBand="0" w:noVBand="1"/>
      </w:tblPr>
      <w:tblGrid>
        <w:gridCol w:w="1141"/>
        <w:gridCol w:w="1141"/>
        <w:gridCol w:w="465"/>
        <w:gridCol w:w="1804"/>
        <w:gridCol w:w="1007"/>
        <w:gridCol w:w="811"/>
      </w:tblGrid>
      <w:tr w:rsidR="00737679" w:rsidRPr="00737679" w:rsidTr="00737679">
        <w:trPr>
          <w:trHeight w:val="240"/>
        </w:trPr>
        <w:tc>
          <w:tcPr>
            <w:tcW w:w="5558" w:type="dxa"/>
            <w:gridSpan w:val="5"/>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b/>
                <w:bCs/>
                <w:color w:val="000000"/>
                <w:sz w:val="16"/>
                <w:szCs w:val="16"/>
                <w:lang w:val="es-ES"/>
              </w:rPr>
            </w:pPr>
            <w:r w:rsidRPr="00737679">
              <w:rPr>
                <w:rFonts w:ascii="Lucida Bright" w:hAnsi="Lucida Bright" w:cs="Calibri"/>
                <w:b/>
                <w:bCs/>
                <w:color w:val="000000"/>
                <w:sz w:val="16"/>
                <w:szCs w:val="16"/>
                <w:lang w:val="es-ES"/>
              </w:rPr>
              <w:t>Desglose del gasto por Impuesto sobre Sociedades</w:t>
            </w:r>
          </w:p>
        </w:tc>
        <w:tc>
          <w:tcPr>
            <w:tcW w:w="811"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6"/>
                <w:szCs w:val="16"/>
                <w:lang w:val="es-ES"/>
              </w:rPr>
            </w:pPr>
          </w:p>
        </w:tc>
      </w:tr>
      <w:tr w:rsidR="00737679" w:rsidRPr="00737679" w:rsidTr="00737679">
        <w:trPr>
          <w:trHeight w:val="240"/>
        </w:trPr>
        <w:tc>
          <w:tcPr>
            <w:tcW w:w="1141" w:type="dxa"/>
            <w:tcBorders>
              <w:top w:val="single" w:sz="8" w:space="0" w:color="auto"/>
              <w:left w:val="single" w:sz="8" w:space="0" w:color="auto"/>
              <w:bottom w:val="nil"/>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41" w:type="dxa"/>
            <w:tcBorders>
              <w:top w:val="single" w:sz="8" w:space="0" w:color="auto"/>
              <w:left w:val="nil"/>
              <w:bottom w:val="nil"/>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465" w:type="dxa"/>
            <w:tcBorders>
              <w:top w:val="single" w:sz="8" w:space="0" w:color="auto"/>
              <w:left w:val="nil"/>
              <w:bottom w:val="nil"/>
              <w:right w:val="single" w:sz="8" w:space="0" w:color="auto"/>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3622" w:type="dxa"/>
            <w:gridSpan w:val="3"/>
            <w:tcBorders>
              <w:top w:val="single" w:sz="8" w:space="0" w:color="auto"/>
              <w:left w:val="nil"/>
              <w:bottom w:val="single" w:sz="8" w:space="0" w:color="auto"/>
              <w:right w:val="single" w:sz="8" w:space="0" w:color="000000"/>
            </w:tcBorders>
            <w:shd w:val="clear" w:color="000000" w:fill="CCFFCC"/>
            <w:noWrap/>
            <w:vAlign w:val="center"/>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Euros</w:t>
            </w:r>
          </w:p>
        </w:tc>
      </w:tr>
      <w:tr w:rsidR="00737679" w:rsidRPr="00737679" w:rsidTr="00737679">
        <w:trPr>
          <w:trHeight w:val="240"/>
        </w:trPr>
        <w:tc>
          <w:tcPr>
            <w:tcW w:w="1141" w:type="dxa"/>
            <w:tcBorders>
              <w:top w:val="nil"/>
              <w:left w:val="single" w:sz="8" w:space="0" w:color="auto"/>
              <w:bottom w:val="single" w:sz="8" w:space="0" w:color="auto"/>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41" w:type="dxa"/>
            <w:tcBorders>
              <w:top w:val="nil"/>
              <w:left w:val="nil"/>
              <w:bottom w:val="single" w:sz="8" w:space="0" w:color="auto"/>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465" w:type="dxa"/>
            <w:tcBorders>
              <w:top w:val="nil"/>
              <w:left w:val="nil"/>
              <w:bottom w:val="single" w:sz="8" w:space="0" w:color="auto"/>
              <w:right w:val="single" w:sz="8" w:space="0" w:color="auto"/>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804" w:type="dxa"/>
            <w:tcBorders>
              <w:top w:val="nil"/>
              <w:left w:val="nil"/>
              <w:bottom w:val="single" w:sz="8" w:space="0" w:color="auto"/>
              <w:right w:val="single" w:sz="8" w:space="0" w:color="auto"/>
            </w:tcBorders>
            <w:shd w:val="clear" w:color="000000" w:fill="CCFFCC"/>
            <w:noWrap/>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2024</w:t>
            </w:r>
          </w:p>
        </w:tc>
        <w:tc>
          <w:tcPr>
            <w:tcW w:w="1818" w:type="dxa"/>
            <w:gridSpan w:val="2"/>
            <w:tcBorders>
              <w:top w:val="nil"/>
              <w:left w:val="nil"/>
              <w:bottom w:val="single" w:sz="8" w:space="0" w:color="auto"/>
              <w:right w:val="single" w:sz="8" w:space="0" w:color="auto"/>
            </w:tcBorders>
            <w:shd w:val="clear" w:color="000000" w:fill="CCFFCC"/>
            <w:noWrap/>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2023</w:t>
            </w:r>
          </w:p>
        </w:tc>
      </w:tr>
      <w:tr w:rsidR="00737679" w:rsidRPr="00737679" w:rsidTr="00737679">
        <w:trPr>
          <w:trHeight w:val="225"/>
        </w:trPr>
        <w:tc>
          <w:tcPr>
            <w:tcW w:w="2282" w:type="dxa"/>
            <w:gridSpan w:val="2"/>
            <w:tcBorders>
              <w:top w:val="single" w:sz="8" w:space="0" w:color="auto"/>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b/>
                <w:bCs/>
                <w:color w:val="000000"/>
                <w:sz w:val="14"/>
                <w:szCs w:val="14"/>
                <w:lang w:val="es-ES"/>
              </w:rPr>
            </w:pPr>
            <w:r w:rsidRPr="00737679">
              <w:rPr>
                <w:rFonts w:ascii="Lucida Bright" w:hAnsi="Lucida Bright" w:cs="Calibri"/>
                <w:b/>
                <w:bCs/>
                <w:color w:val="000000"/>
                <w:sz w:val="14"/>
                <w:szCs w:val="14"/>
                <w:lang w:val="es-ES"/>
              </w:rPr>
              <w:t>Impuesto corriente:</w:t>
            </w:r>
          </w:p>
        </w:tc>
        <w:tc>
          <w:tcPr>
            <w:tcW w:w="465"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804"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818" w:type="dxa"/>
            <w:gridSpan w:val="2"/>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2282" w:type="dxa"/>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Por operaciones continuadas:</w:t>
            </w:r>
          </w:p>
        </w:tc>
        <w:tc>
          <w:tcPr>
            <w:tcW w:w="465"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804"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818" w:type="dxa"/>
            <w:gridSpan w:val="2"/>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2282" w:type="dxa"/>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Por operaciones interrumpidas</w:t>
            </w:r>
          </w:p>
        </w:tc>
        <w:tc>
          <w:tcPr>
            <w:tcW w:w="465"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804"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818" w:type="dxa"/>
            <w:gridSpan w:val="2"/>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1141" w:type="dxa"/>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41"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465"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804"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818" w:type="dxa"/>
            <w:gridSpan w:val="2"/>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2282" w:type="dxa"/>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b/>
                <w:bCs/>
                <w:color w:val="000000"/>
                <w:sz w:val="14"/>
                <w:szCs w:val="14"/>
                <w:lang w:val="es-ES"/>
              </w:rPr>
            </w:pPr>
            <w:r w:rsidRPr="00737679">
              <w:rPr>
                <w:rFonts w:ascii="Lucida Bright" w:hAnsi="Lucida Bright" w:cs="Calibri"/>
                <w:b/>
                <w:bCs/>
                <w:color w:val="000000"/>
                <w:sz w:val="14"/>
                <w:szCs w:val="14"/>
                <w:lang w:val="es-ES"/>
              </w:rPr>
              <w:t>Impuesto diferido:</w:t>
            </w:r>
          </w:p>
        </w:tc>
        <w:tc>
          <w:tcPr>
            <w:tcW w:w="465"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804"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818" w:type="dxa"/>
            <w:gridSpan w:val="2"/>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2282" w:type="dxa"/>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Por operaciones continuadas:</w:t>
            </w:r>
          </w:p>
        </w:tc>
        <w:tc>
          <w:tcPr>
            <w:tcW w:w="465"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804"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(2.978.139,12)</w:t>
            </w:r>
          </w:p>
        </w:tc>
        <w:tc>
          <w:tcPr>
            <w:tcW w:w="1818" w:type="dxa"/>
            <w:gridSpan w:val="2"/>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38.268,16</w:t>
            </w:r>
          </w:p>
        </w:tc>
      </w:tr>
      <w:tr w:rsidR="00737679" w:rsidRPr="00737679" w:rsidTr="00737679">
        <w:trPr>
          <w:trHeight w:val="225"/>
        </w:trPr>
        <w:tc>
          <w:tcPr>
            <w:tcW w:w="2282" w:type="dxa"/>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Por operaciones interrumpidas:</w:t>
            </w:r>
          </w:p>
        </w:tc>
        <w:tc>
          <w:tcPr>
            <w:tcW w:w="465"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804"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818" w:type="dxa"/>
            <w:gridSpan w:val="2"/>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40"/>
        </w:trPr>
        <w:tc>
          <w:tcPr>
            <w:tcW w:w="1141" w:type="dxa"/>
            <w:tcBorders>
              <w:top w:val="nil"/>
              <w:left w:val="single" w:sz="8" w:space="0" w:color="auto"/>
              <w:bottom w:val="single" w:sz="8" w:space="0" w:color="auto"/>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141" w:type="dxa"/>
            <w:tcBorders>
              <w:top w:val="nil"/>
              <w:left w:val="nil"/>
              <w:bottom w:val="single" w:sz="8" w:space="0" w:color="auto"/>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465" w:type="dxa"/>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804" w:type="dxa"/>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818" w:type="dxa"/>
            <w:gridSpan w:val="2"/>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40"/>
        </w:trPr>
        <w:tc>
          <w:tcPr>
            <w:tcW w:w="274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37679" w:rsidRPr="00737679" w:rsidRDefault="00737679" w:rsidP="00737679">
            <w:pPr>
              <w:jc w:val="center"/>
              <w:rPr>
                <w:rFonts w:ascii="Lucida Bright" w:hAnsi="Lucida Bright" w:cs="Calibri"/>
                <w:b/>
                <w:bCs/>
                <w:color w:val="000000"/>
                <w:sz w:val="14"/>
                <w:szCs w:val="14"/>
                <w:lang w:val="es-ES"/>
              </w:rPr>
            </w:pPr>
            <w:r w:rsidRPr="00737679">
              <w:rPr>
                <w:rFonts w:ascii="Lucida Bright" w:hAnsi="Lucida Bright" w:cs="Calibri"/>
                <w:b/>
                <w:bCs/>
                <w:color w:val="000000"/>
                <w:sz w:val="14"/>
                <w:szCs w:val="14"/>
                <w:lang w:val="es-ES"/>
              </w:rPr>
              <w:t xml:space="preserve">Total gasto por impuesto </w:t>
            </w:r>
          </w:p>
        </w:tc>
        <w:tc>
          <w:tcPr>
            <w:tcW w:w="1804" w:type="dxa"/>
            <w:tcBorders>
              <w:top w:val="nil"/>
              <w:left w:val="nil"/>
              <w:bottom w:val="single" w:sz="8" w:space="0" w:color="auto"/>
              <w:right w:val="single" w:sz="8" w:space="0" w:color="auto"/>
            </w:tcBorders>
            <w:shd w:val="clear" w:color="auto" w:fill="auto"/>
            <w:vAlign w:val="center"/>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(2.978.139,12)</w:t>
            </w:r>
          </w:p>
        </w:tc>
        <w:tc>
          <w:tcPr>
            <w:tcW w:w="1818" w:type="dxa"/>
            <w:gridSpan w:val="2"/>
            <w:tcBorders>
              <w:top w:val="nil"/>
              <w:left w:val="nil"/>
              <w:bottom w:val="single" w:sz="8" w:space="0" w:color="auto"/>
              <w:right w:val="single" w:sz="8" w:space="0" w:color="auto"/>
            </w:tcBorders>
            <w:shd w:val="clear" w:color="auto" w:fill="auto"/>
            <w:vAlign w:val="center"/>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38.268,16</w:t>
            </w:r>
          </w:p>
        </w:tc>
      </w:tr>
    </w:tbl>
    <w:p w:rsidR="00964DBB" w:rsidRDefault="00964DBB">
      <w:pPr>
        <w:tabs>
          <w:tab w:val="right" w:pos="8364"/>
        </w:tabs>
        <w:ind w:firstLine="540"/>
        <w:jc w:val="both"/>
        <w:rPr>
          <w:bCs/>
          <w:u w:val="single"/>
        </w:rPr>
      </w:pPr>
    </w:p>
    <w:p w:rsidR="00964DBB" w:rsidRDefault="00964DBB" w:rsidP="006C0EE0">
      <w:pPr>
        <w:tabs>
          <w:tab w:val="right" w:pos="8364"/>
        </w:tabs>
        <w:jc w:val="both"/>
        <w:rPr>
          <w:bCs/>
          <w:u w:val="single"/>
        </w:rPr>
      </w:pPr>
    </w:p>
    <w:p w:rsidR="006C0EE0" w:rsidRDefault="006C0EE0">
      <w:pPr>
        <w:tabs>
          <w:tab w:val="right" w:pos="8364"/>
        </w:tabs>
        <w:ind w:firstLine="540"/>
        <w:jc w:val="both"/>
        <w:rPr>
          <w:bCs/>
          <w:u w:val="single"/>
        </w:rPr>
      </w:pPr>
    </w:p>
    <w:p w:rsidR="00576038" w:rsidRDefault="00576038">
      <w:pPr>
        <w:tabs>
          <w:tab w:val="right" w:pos="8364"/>
        </w:tabs>
        <w:ind w:firstLine="540"/>
        <w:jc w:val="both"/>
        <w:rPr>
          <w:rFonts w:ascii="NewBaskerville" w:hAnsi="NewBaskerville"/>
          <w:bCs/>
          <w:u w:val="single"/>
        </w:rPr>
      </w:pPr>
    </w:p>
    <w:p w:rsidR="00576038" w:rsidRDefault="00576038">
      <w:pPr>
        <w:tabs>
          <w:tab w:val="right" w:pos="8364"/>
        </w:tabs>
        <w:ind w:firstLine="540"/>
        <w:jc w:val="both"/>
        <w:rPr>
          <w:rFonts w:ascii="NewBaskerville" w:hAnsi="NewBaskerville"/>
          <w:bCs/>
          <w:u w:val="single"/>
        </w:rPr>
      </w:pPr>
    </w:p>
    <w:p w:rsidR="00576038" w:rsidRDefault="00576038">
      <w:pPr>
        <w:tabs>
          <w:tab w:val="right" w:pos="8364"/>
        </w:tabs>
        <w:ind w:firstLine="540"/>
        <w:jc w:val="both"/>
        <w:rPr>
          <w:rFonts w:ascii="NewBaskerville" w:hAnsi="NewBaskerville"/>
          <w:bCs/>
          <w:u w:val="single"/>
        </w:rPr>
      </w:pPr>
    </w:p>
    <w:p w:rsidR="00576038" w:rsidRDefault="00576038">
      <w:pPr>
        <w:tabs>
          <w:tab w:val="right" w:pos="8364"/>
        </w:tabs>
        <w:ind w:firstLine="540"/>
        <w:jc w:val="both"/>
        <w:rPr>
          <w:rFonts w:ascii="NewBaskerville" w:hAnsi="NewBaskerville"/>
          <w:bCs/>
          <w:u w:val="single"/>
        </w:rPr>
      </w:pPr>
    </w:p>
    <w:p w:rsidR="00576038" w:rsidRDefault="00576038">
      <w:pPr>
        <w:tabs>
          <w:tab w:val="right" w:pos="8364"/>
        </w:tabs>
        <w:ind w:firstLine="540"/>
        <w:jc w:val="both"/>
        <w:rPr>
          <w:rFonts w:ascii="NewBaskerville" w:hAnsi="NewBaskerville"/>
          <w:bCs/>
          <w:u w:val="single"/>
        </w:rPr>
      </w:pPr>
    </w:p>
    <w:p w:rsidR="00576038" w:rsidRDefault="00576038">
      <w:pPr>
        <w:tabs>
          <w:tab w:val="right" w:pos="8364"/>
        </w:tabs>
        <w:ind w:firstLine="540"/>
        <w:jc w:val="both"/>
        <w:rPr>
          <w:rFonts w:ascii="NewBaskerville" w:hAnsi="NewBaskerville"/>
          <w:bCs/>
          <w:u w:val="single"/>
        </w:rPr>
      </w:pPr>
    </w:p>
    <w:p w:rsidR="00576038" w:rsidRDefault="00576038">
      <w:pPr>
        <w:tabs>
          <w:tab w:val="right" w:pos="8364"/>
        </w:tabs>
        <w:ind w:firstLine="540"/>
        <w:jc w:val="both"/>
        <w:rPr>
          <w:rFonts w:ascii="NewBaskerville" w:hAnsi="NewBaskerville"/>
          <w:bCs/>
          <w:u w:val="single"/>
        </w:rPr>
      </w:pPr>
    </w:p>
    <w:p w:rsidR="00576038" w:rsidRDefault="00576038">
      <w:pPr>
        <w:tabs>
          <w:tab w:val="right" w:pos="8364"/>
        </w:tabs>
        <w:ind w:firstLine="540"/>
        <w:jc w:val="both"/>
        <w:rPr>
          <w:rFonts w:ascii="NewBaskerville" w:hAnsi="NewBaskerville"/>
          <w:bCs/>
          <w:u w:val="single"/>
        </w:rPr>
      </w:pPr>
    </w:p>
    <w:p w:rsidR="00576038" w:rsidRDefault="00576038">
      <w:pPr>
        <w:tabs>
          <w:tab w:val="right" w:pos="8364"/>
        </w:tabs>
        <w:ind w:firstLine="540"/>
        <w:jc w:val="both"/>
        <w:rPr>
          <w:rFonts w:ascii="NewBaskerville" w:hAnsi="NewBaskerville"/>
          <w:bCs/>
          <w:u w:val="single"/>
        </w:rPr>
      </w:pPr>
    </w:p>
    <w:p w:rsidR="00576038" w:rsidRDefault="00576038">
      <w:pPr>
        <w:tabs>
          <w:tab w:val="right" w:pos="8364"/>
        </w:tabs>
        <w:ind w:firstLine="540"/>
        <w:jc w:val="both"/>
        <w:rPr>
          <w:rFonts w:ascii="NewBaskerville" w:hAnsi="NewBaskerville"/>
          <w:bCs/>
          <w:u w:val="single"/>
        </w:rPr>
      </w:pPr>
    </w:p>
    <w:p w:rsidR="00964DBB" w:rsidRPr="007C68BE" w:rsidRDefault="00964DBB">
      <w:pPr>
        <w:tabs>
          <w:tab w:val="right" w:pos="8364"/>
        </w:tabs>
        <w:ind w:firstLine="540"/>
        <w:jc w:val="both"/>
        <w:rPr>
          <w:rFonts w:ascii="NewBaskerville" w:hAnsi="NewBaskerville"/>
          <w:bCs/>
        </w:rPr>
      </w:pPr>
      <w:r w:rsidRPr="007C68BE">
        <w:rPr>
          <w:rFonts w:ascii="NewBaskerville" w:hAnsi="NewBaskerville"/>
          <w:bCs/>
          <w:u w:val="single"/>
        </w:rPr>
        <w:lastRenderedPageBreak/>
        <w:t>Detalle del saldo de Activos por impuesto diferido registrados.</w:t>
      </w:r>
    </w:p>
    <w:p w:rsidR="0010198F" w:rsidRPr="007C68BE" w:rsidRDefault="0010198F">
      <w:pPr>
        <w:tabs>
          <w:tab w:val="right" w:pos="8364"/>
        </w:tabs>
        <w:ind w:firstLine="540"/>
        <w:jc w:val="both"/>
        <w:rPr>
          <w:rFonts w:ascii="NewBaskerville" w:hAnsi="NewBaskerville"/>
          <w:bCs/>
        </w:rPr>
      </w:pPr>
    </w:p>
    <w:p w:rsidR="0010198F" w:rsidRDefault="0010198F">
      <w:pPr>
        <w:tabs>
          <w:tab w:val="right" w:pos="8364"/>
        </w:tabs>
        <w:ind w:firstLine="540"/>
        <w:jc w:val="both"/>
        <w:rPr>
          <w:rFonts w:ascii="NewBaskerville" w:hAnsi="NewBaskerville"/>
          <w:bCs/>
        </w:rPr>
      </w:pPr>
      <w:r w:rsidRPr="007C68BE">
        <w:rPr>
          <w:rFonts w:ascii="NewBaskerville" w:hAnsi="NewBaskerville"/>
          <w:bCs/>
        </w:rPr>
        <w:t>El detalle del saldo de esta cuenta al cierre del ejercicio 202</w:t>
      </w:r>
      <w:r w:rsidR="00737679">
        <w:rPr>
          <w:rFonts w:ascii="NewBaskerville" w:hAnsi="NewBaskerville"/>
          <w:bCs/>
        </w:rPr>
        <w:t>4</w:t>
      </w:r>
      <w:r w:rsidRPr="007C68BE">
        <w:rPr>
          <w:rFonts w:ascii="NewBaskerville" w:hAnsi="NewBaskerville"/>
          <w:bCs/>
        </w:rPr>
        <w:t xml:space="preserve"> y 20</w:t>
      </w:r>
      <w:r w:rsidR="00333BDC" w:rsidRPr="007C68BE">
        <w:rPr>
          <w:rFonts w:ascii="NewBaskerville" w:hAnsi="NewBaskerville"/>
          <w:bCs/>
        </w:rPr>
        <w:t>2</w:t>
      </w:r>
      <w:r w:rsidR="00737679">
        <w:rPr>
          <w:rFonts w:ascii="NewBaskerville" w:hAnsi="NewBaskerville"/>
          <w:bCs/>
        </w:rPr>
        <w:t>3</w:t>
      </w:r>
      <w:r w:rsidRPr="007C68BE">
        <w:rPr>
          <w:rFonts w:ascii="NewBaskerville" w:hAnsi="NewBaskerville"/>
          <w:bCs/>
        </w:rPr>
        <w:t xml:space="preserve"> es el siguiente:</w:t>
      </w:r>
    </w:p>
    <w:p w:rsidR="00576038" w:rsidRDefault="00576038">
      <w:pPr>
        <w:tabs>
          <w:tab w:val="right" w:pos="8364"/>
        </w:tabs>
        <w:ind w:firstLine="540"/>
        <w:jc w:val="both"/>
        <w:rPr>
          <w:rFonts w:ascii="NewBaskerville" w:hAnsi="NewBaskerville"/>
          <w:bCs/>
        </w:rPr>
      </w:pPr>
    </w:p>
    <w:tbl>
      <w:tblPr>
        <w:tblW w:w="6394" w:type="dxa"/>
        <w:tblInd w:w="55" w:type="dxa"/>
        <w:tblCellMar>
          <w:left w:w="70" w:type="dxa"/>
          <w:right w:w="70" w:type="dxa"/>
        </w:tblCellMar>
        <w:tblLook w:val="04A0" w:firstRow="1" w:lastRow="0" w:firstColumn="1" w:lastColumn="0" w:noHBand="0" w:noVBand="1"/>
      </w:tblPr>
      <w:tblGrid>
        <w:gridCol w:w="1237"/>
        <w:gridCol w:w="1237"/>
        <w:gridCol w:w="1200"/>
        <w:gridCol w:w="1360"/>
        <w:gridCol w:w="1360"/>
      </w:tblGrid>
      <w:tr w:rsidR="00737679" w:rsidRPr="00737679" w:rsidTr="00737679">
        <w:trPr>
          <w:trHeight w:val="240"/>
        </w:trPr>
        <w:tc>
          <w:tcPr>
            <w:tcW w:w="3674" w:type="dxa"/>
            <w:gridSpan w:val="3"/>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b/>
                <w:bCs/>
                <w:color w:val="000000"/>
                <w:sz w:val="16"/>
                <w:szCs w:val="16"/>
                <w:lang w:val="es-ES"/>
              </w:rPr>
            </w:pPr>
            <w:r w:rsidRPr="00737679">
              <w:rPr>
                <w:rFonts w:ascii="Lucida Bright" w:hAnsi="Lucida Bright" w:cs="Calibri"/>
                <w:b/>
                <w:bCs/>
                <w:color w:val="000000"/>
                <w:sz w:val="16"/>
                <w:szCs w:val="16"/>
                <w:lang w:val="es-ES"/>
              </w:rPr>
              <w:t>Activos por impuesto diferido registrados</w:t>
            </w:r>
          </w:p>
        </w:tc>
        <w:tc>
          <w:tcPr>
            <w:tcW w:w="1360"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6"/>
                <w:szCs w:val="16"/>
                <w:lang w:val="es-ES"/>
              </w:rPr>
            </w:pPr>
          </w:p>
        </w:tc>
        <w:tc>
          <w:tcPr>
            <w:tcW w:w="1360"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6"/>
                <w:szCs w:val="16"/>
                <w:lang w:val="es-ES"/>
              </w:rPr>
            </w:pPr>
          </w:p>
        </w:tc>
      </w:tr>
      <w:tr w:rsidR="00737679" w:rsidRPr="00737679" w:rsidTr="00737679">
        <w:trPr>
          <w:trHeight w:val="240"/>
        </w:trPr>
        <w:tc>
          <w:tcPr>
            <w:tcW w:w="1237" w:type="dxa"/>
            <w:tcBorders>
              <w:top w:val="single" w:sz="8" w:space="0" w:color="auto"/>
              <w:left w:val="single" w:sz="8" w:space="0" w:color="auto"/>
              <w:bottom w:val="nil"/>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37" w:type="dxa"/>
            <w:tcBorders>
              <w:top w:val="single" w:sz="8" w:space="0" w:color="auto"/>
              <w:left w:val="nil"/>
              <w:bottom w:val="nil"/>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00" w:type="dxa"/>
            <w:tcBorders>
              <w:top w:val="single" w:sz="8" w:space="0" w:color="auto"/>
              <w:left w:val="nil"/>
              <w:bottom w:val="nil"/>
              <w:right w:val="single" w:sz="8" w:space="0" w:color="auto"/>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720" w:type="dxa"/>
            <w:gridSpan w:val="2"/>
            <w:tcBorders>
              <w:top w:val="single" w:sz="8" w:space="0" w:color="auto"/>
              <w:left w:val="nil"/>
              <w:bottom w:val="single" w:sz="8" w:space="0" w:color="auto"/>
              <w:right w:val="single" w:sz="8" w:space="0" w:color="000000"/>
            </w:tcBorders>
            <w:shd w:val="clear" w:color="000000" w:fill="CCFFCC"/>
            <w:noWrap/>
            <w:vAlign w:val="center"/>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Euros</w:t>
            </w:r>
          </w:p>
        </w:tc>
      </w:tr>
      <w:tr w:rsidR="00737679" w:rsidRPr="00737679" w:rsidTr="00737679">
        <w:trPr>
          <w:trHeight w:val="240"/>
        </w:trPr>
        <w:tc>
          <w:tcPr>
            <w:tcW w:w="1237" w:type="dxa"/>
            <w:tcBorders>
              <w:top w:val="nil"/>
              <w:left w:val="single" w:sz="8" w:space="0" w:color="auto"/>
              <w:bottom w:val="single" w:sz="8" w:space="0" w:color="auto"/>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37" w:type="dxa"/>
            <w:tcBorders>
              <w:top w:val="nil"/>
              <w:left w:val="nil"/>
              <w:bottom w:val="single" w:sz="8" w:space="0" w:color="auto"/>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00" w:type="dxa"/>
            <w:tcBorders>
              <w:top w:val="nil"/>
              <w:left w:val="nil"/>
              <w:bottom w:val="single" w:sz="8" w:space="0" w:color="auto"/>
              <w:right w:val="single" w:sz="8" w:space="0" w:color="auto"/>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single" w:sz="8" w:space="0" w:color="auto"/>
              <w:right w:val="single" w:sz="8" w:space="0" w:color="auto"/>
            </w:tcBorders>
            <w:shd w:val="clear" w:color="000000" w:fill="CCFFCC"/>
            <w:noWrap/>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2024</w:t>
            </w:r>
          </w:p>
        </w:tc>
        <w:tc>
          <w:tcPr>
            <w:tcW w:w="1360" w:type="dxa"/>
            <w:tcBorders>
              <w:top w:val="nil"/>
              <w:left w:val="nil"/>
              <w:bottom w:val="single" w:sz="8" w:space="0" w:color="auto"/>
              <w:right w:val="single" w:sz="8" w:space="0" w:color="auto"/>
            </w:tcBorders>
            <w:shd w:val="clear" w:color="000000" w:fill="CCFFCC"/>
            <w:noWrap/>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2023</w:t>
            </w:r>
          </w:p>
        </w:tc>
      </w:tr>
      <w:tr w:rsidR="00737679" w:rsidRPr="00737679" w:rsidTr="00737679">
        <w:trPr>
          <w:trHeight w:val="225"/>
        </w:trPr>
        <w:tc>
          <w:tcPr>
            <w:tcW w:w="2474" w:type="dxa"/>
            <w:gridSpan w:val="2"/>
            <w:tcBorders>
              <w:top w:val="single" w:sz="8" w:space="0" w:color="auto"/>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Diferencias temporarias deducibles:</w:t>
            </w:r>
          </w:p>
        </w:tc>
        <w:tc>
          <w:tcPr>
            <w:tcW w:w="120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3674" w:type="dxa"/>
            <w:gridSpan w:val="3"/>
            <w:tcBorders>
              <w:top w:val="nil"/>
              <w:left w:val="single" w:sz="8" w:space="0" w:color="auto"/>
              <w:bottom w:val="nil"/>
              <w:right w:val="single" w:sz="8" w:space="0" w:color="000000"/>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Deducc 30% gastos amortiz Art 7 L16/2012</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0,00</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11.113,13</w:t>
            </w:r>
          </w:p>
        </w:tc>
      </w:tr>
      <w:tr w:rsidR="00737679" w:rsidRPr="00737679" w:rsidTr="00737679">
        <w:trPr>
          <w:trHeight w:val="225"/>
        </w:trPr>
        <w:tc>
          <w:tcPr>
            <w:tcW w:w="3674" w:type="dxa"/>
            <w:gridSpan w:val="3"/>
            <w:tcBorders>
              <w:top w:val="nil"/>
              <w:left w:val="single" w:sz="8" w:space="0" w:color="auto"/>
              <w:bottom w:val="nil"/>
              <w:right w:val="single" w:sz="8" w:space="0" w:color="000000"/>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 xml:space="preserve">Diferencias </w:t>
            </w:r>
            <w:r w:rsidR="0031200E" w:rsidRPr="00737679">
              <w:rPr>
                <w:rFonts w:ascii="Lucida Bright" w:hAnsi="Lucida Bright" w:cs="Calibri"/>
                <w:i/>
                <w:iCs/>
                <w:color w:val="000000"/>
                <w:sz w:val="14"/>
                <w:szCs w:val="14"/>
                <w:lang w:val="es-ES"/>
              </w:rPr>
              <w:t>amortización</w:t>
            </w:r>
            <w:r w:rsidRPr="00737679">
              <w:rPr>
                <w:rFonts w:ascii="Lucida Bright" w:hAnsi="Lucida Bright" w:cs="Calibri"/>
                <w:i/>
                <w:iCs/>
                <w:color w:val="000000"/>
                <w:sz w:val="14"/>
                <w:szCs w:val="14"/>
                <w:lang w:val="es-ES"/>
              </w:rPr>
              <w:t xml:space="preserve"> contable y fiscal</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17.426,75</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18.165,35</w:t>
            </w:r>
          </w:p>
        </w:tc>
      </w:tr>
      <w:tr w:rsidR="00737679" w:rsidRPr="00737679" w:rsidTr="00737679">
        <w:trPr>
          <w:trHeight w:val="225"/>
        </w:trPr>
        <w:tc>
          <w:tcPr>
            <w:tcW w:w="3674" w:type="dxa"/>
            <w:gridSpan w:val="3"/>
            <w:tcBorders>
              <w:top w:val="nil"/>
              <w:left w:val="single" w:sz="8" w:space="0" w:color="auto"/>
              <w:bottom w:val="nil"/>
              <w:right w:val="single" w:sz="8" w:space="0" w:color="000000"/>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Por actualizaciones financieras no deducc</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31.299,82</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57.642,02</w:t>
            </w:r>
          </w:p>
        </w:tc>
      </w:tr>
      <w:tr w:rsidR="00737679" w:rsidRPr="00737679" w:rsidTr="00737679">
        <w:trPr>
          <w:trHeight w:val="225"/>
        </w:trPr>
        <w:tc>
          <w:tcPr>
            <w:tcW w:w="3674" w:type="dxa"/>
            <w:gridSpan w:val="3"/>
            <w:tcBorders>
              <w:top w:val="nil"/>
              <w:left w:val="single" w:sz="8" w:space="0" w:color="auto"/>
              <w:bottom w:val="nil"/>
              <w:right w:val="single" w:sz="8" w:space="0" w:color="000000"/>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Por Reserva de Capitalización no aplicada</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2474" w:type="dxa"/>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Por adquisiciones lucrativas</w:t>
            </w:r>
          </w:p>
        </w:tc>
        <w:tc>
          <w:tcPr>
            <w:tcW w:w="120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93.437,97</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120.011,20</w:t>
            </w:r>
          </w:p>
        </w:tc>
      </w:tr>
      <w:tr w:rsidR="00737679" w:rsidRPr="00737679" w:rsidTr="00737679">
        <w:trPr>
          <w:trHeight w:val="225"/>
        </w:trPr>
        <w:tc>
          <w:tcPr>
            <w:tcW w:w="2474" w:type="dxa"/>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Por concesiones revertidas</w:t>
            </w:r>
          </w:p>
        </w:tc>
        <w:tc>
          <w:tcPr>
            <w:tcW w:w="120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3.042.739,60</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0,00</w:t>
            </w:r>
          </w:p>
        </w:tc>
      </w:tr>
      <w:tr w:rsidR="00737679" w:rsidRPr="00737679" w:rsidTr="00737679">
        <w:trPr>
          <w:trHeight w:val="225"/>
        </w:trPr>
        <w:tc>
          <w:tcPr>
            <w:tcW w:w="2474" w:type="dxa"/>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Bases Imponibles negativas</w:t>
            </w:r>
          </w:p>
        </w:tc>
        <w:tc>
          <w:tcPr>
            <w:tcW w:w="120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2474" w:type="dxa"/>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Deducciones pendientes y otros</w:t>
            </w:r>
          </w:p>
        </w:tc>
        <w:tc>
          <w:tcPr>
            <w:tcW w:w="120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40"/>
        </w:trPr>
        <w:tc>
          <w:tcPr>
            <w:tcW w:w="1237" w:type="dxa"/>
            <w:tcBorders>
              <w:top w:val="nil"/>
              <w:left w:val="single" w:sz="8" w:space="0" w:color="auto"/>
              <w:bottom w:val="single" w:sz="8" w:space="0" w:color="auto"/>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37" w:type="dxa"/>
            <w:tcBorders>
              <w:top w:val="nil"/>
              <w:left w:val="nil"/>
              <w:bottom w:val="single" w:sz="8" w:space="0" w:color="auto"/>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00" w:type="dxa"/>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40"/>
        </w:trPr>
        <w:tc>
          <w:tcPr>
            <w:tcW w:w="367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37679" w:rsidRPr="00737679" w:rsidRDefault="00737679" w:rsidP="00737679">
            <w:pPr>
              <w:jc w:val="center"/>
              <w:rPr>
                <w:rFonts w:ascii="Lucida Bright" w:hAnsi="Lucida Bright" w:cs="Calibri"/>
                <w:b/>
                <w:bCs/>
                <w:color w:val="000000"/>
                <w:sz w:val="14"/>
                <w:szCs w:val="14"/>
                <w:lang w:val="es-ES"/>
              </w:rPr>
            </w:pPr>
            <w:r w:rsidRPr="00737679">
              <w:rPr>
                <w:rFonts w:ascii="Lucida Bright" w:hAnsi="Lucida Bright" w:cs="Calibri"/>
                <w:b/>
                <w:bCs/>
                <w:color w:val="000000"/>
                <w:sz w:val="14"/>
                <w:szCs w:val="14"/>
                <w:lang w:val="es-ES"/>
              </w:rPr>
              <w:t>Total activos por impuesto diferido</w:t>
            </w:r>
          </w:p>
        </w:tc>
        <w:tc>
          <w:tcPr>
            <w:tcW w:w="1360" w:type="dxa"/>
            <w:tcBorders>
              <w:top w:val="nil"/>
              <w:left w:val="nil"/>
              <w:bottom w:val="single" w:sz="8" w:space="0" w:color="auto"/>
              <w:right w:val="single" w:sz="8" w:space="0" w:color="auto"/>
            </w:tcBorders>
            <w:shd w:val="clear" w:color="auto" w:fill="auto"/>
            <w:noWrap/>
            <w:vAlign w:val="center"/>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3.184.904,14</w:t>
            </w:r>
          </w:p>
        </w:tc>
        <w:tc>
          <w:tcPr>
            <w:tcW w:w="1360" w:type="dxa"/>
            <w:tcBorders>
              <w:top w:val="nil"/>
              <w:left w:val="nil"/>
              <w:bottom w:val="single" w:sz="8" w:space="0" w:color="auto"/>
              <w:right w:val="single" w:sz="8" w:space="0" w:color="auto"/>
            </w:tcBorders>
            <w:shd w:val="clear" w:color="auto" w:fill="auto"/>
            <w:noWrap/>
            <w:vAlign w:val="center"/>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206.931,70</w:t>
            </w:r>
          </w:p>
        </w:tc>
      </w:tr>
    </w:tbl>
    <w:p w:rsidR="00576038" w:rsidRPr="007C68BE" w:rsidRDefault="00576038">
      <w:pPr>
        <w:tabs>
          <w:tab w:val="right" w:pos="8364"/>
        </w:tabs>
        <w:ind w:firstLine="540"/>
        <w:jc w:val="both"/>
        <w:rPr>
          <w:rFonts w:ascii="NewBaskerville" w:hAnsi="NewBaskerville"/>
          <w:bCs/>
        </w:rPr>
      </w:pPr>
    </w:p>
    <w:p w:rsidR="006C0EE0" w:rsidRDefault="006C0EE0">
      <w:pPr>
        <w:tabs>
          <w:tab w:val="right" w:pos="8364"/>
        </w:tabs>
        <w:ind w:firstLine="540"/>
        <w:jc w:val="both"/>
        <w:rPr>
          <w:bCs/>
        </w:rPr>
      </w:pPr>
    </w:p>
    <w:p w:rsidR="00964DBB" w:rsidRPr="007C68BE" w:rsidRDefault="00964DBB">
      <w:pPr>
        <w:tabs>
          <w:tab w:val="right" w:pos="8364"/>
        </w:tabs>
        <w:ind w:firstLine="540"/>
        <w:jc w:val="both"/>
        <w:rPr>
          <w:rFonts w:ascii="NewBaskerville" w:hAnsi="NewBaskerville"/>
          <w:bCs/>
        </w:rPr>
      </w:pPr>
      <w:r w:rsidRPr="007C68BE">
        <w:rPr>
          <w:rFonts w:ascii="NewBaskerville" w:hAnsi="NewBaskerville"/>
          <w:bCs/>
        </w:rPr>
        <w:t>Los activos por impuesto diferido indicados anteriormente han sido registrados en el balance de situación por</w:t>
      </w:r>
      <w:r w:rsidR="005A503C" w:rsidRPr="007C68BE">
        <w:rPr>
          <w:rFonts w:ascii="NewBaskerville" w:hAnsi="NewBaskerville"/>
          <w:bCs/>
        </w:rPr>
        <w:t xml:space="preserve"> considerar la AP</w:t>
      </w:r>
      <w:r w:rsidR="00A861CC">
        <w:rPr>
          <w:rFonts w:ascii="NewBaskerville" w:hAnsi="NewBaskerville"/>
          <w:bCs/>
        </w:rPr>
        <w:t>B</w:t>
      </w:r>
      <w:r w:rsidR="005A503C" w:rsidRPr="007C68BE">
        <w:rPr>
          <w:rFonts w:ascii="NewBaskerville" w:hAnsi="NewBaskerville"/>
          <w:bCs/>
        </w:rPr>
        <w:t xml:space="preserve"> que, conforme a la mejor estimación sobre los resultados futuros de la </w:t>
      </w:r>
      <w:r w:rsidR="00A861CC">
        <w:rPr>
          <w:rFonts w:ascii="NewBaskerville" w:hAnsi="NewBaskerville"/>
          <w:bCs/>
        </w:rPr>
        <w:t>misma</w:t>
      </w:r>
      <w:r w:rsidR="005A503C" w:rsidRPr="007C68BE">
        <w:rPr>
          <w:rFonts w:ascii="NewBaskerville" w:hAnsi="NewBaskerville"/>
          <w:bCs/>
        </w:rPr>
        <w:t xml:space="preserve">, incluyendo determinadas actuaciones de planificación fiscal, es probable que </w:t>
      </w:r>
      <w:r w:rsidR="003F24D6" w:rsidRPr="007C68BE">
        <w:rPr>
          <w:rFonts w:ascii="NewBaskerville" w:hAnsi="NewBaskerville"/>
          <w:bCs/>
        </w:rPr>
        <w:t>dichos</w:t>
      </w:r>
      <w:r w:rsidR="005A503C" w:rsidRPr="007C68BE">
        <w:rPr>
          <w:rFonts w:ascii="NewBaskerville" w:hAnsi="NewBaskerville"/>
          <w:bCs/>
        </w:rPr>
        <w:t xml:space="preserve"> activos sean recuperados.</w:t>
      </w:r>
    </w:p>
    <w:p w:rsidR="0010198F" w:rsidRDefault="0010198F">
      <w:pPr>
        <w:tabs>
          <w:tab w:val="right" w:pos="8364"/>
        </w:tabs>
        <w:ind w:firstLine="540"/>
        <w:jc w:val="both"/>
        <w:rPr>
          <w:bCs/>
          <w:u w:val="single"/>
        </w:rPr>
      </w:pPr>
    </w:p>
    <w:p w:rsidR="005A503C" w:rsidRPr="007C68BE" w:rsidRDefault="005A503C">
      <w:pPr>
        <w:tabs>
          <w:tab w:val="right" w:pos="8364"/>
        </w:tabs>
        <w:ind w:firstLine="540"/>
        <w:jc w:val="both"/>
        <w:rPr>
          <w:rFonts w:ascii="NewBaskerville" w:hAnsi="NewBaskerville"/>
          <w:bCs/>
        </w:rPr>
      </w:pPr>
      <w:r w:rsidRPr="007C68BE">
        <w:rPr>
          <w:rFonts w:ascii="NewBaskerville" w:hAnsi="NewBaskerville"/>
          <w:bCs/>
          <w:u w:val="single"/>
        </w:rPr>
        <w:t>Activos por impuesto diferido no registrados.</w:t>
      </w:r>
    </w:p>
    <w:p w:rsidR="005A503C" w:rsidRPr="007C68BE" w:rsidRDefault="005A503C">
      <w:pPr>
        <w:tabs>
          <w:tab w:val="right" w:pos="8364"/>
        </w:tabs>
        <w:ind w:firstLine="540"/>
        <w:jc w:val="both"/>
        <w:rPr>
          <w:rFonts w:ascii="NewBaskerville" w:hAnsi="NewBaskerville"/>
          <w:bCs/>
        </w:rPr>
      </w:pPr>
    </w:p>
    <w:p w:rsidR="005A503C" w:rsidRDefault="005A503C">
      <w:pPr>
        <w:tabs>
          <w:tab w:val="right" w:pos="8364"/>
        </w:tabs>
        <w:ind w:firstLine="540"/>
        <w:jc w:val="both"/>
        <w:rPr>
          <w:rFonts w:ascii="NewBaskerville" w:hAnsi="NewBaskerville"/>
          <w:bCs/>
        </w:rPr>
      </w:pPr>
      <w:r w:rsidRPr="007C68BE">
        <w:rPr>
          <w:rFonts w:ascii="NewBaskerville" w:hAnsi="NewBaskerville"/>
          <w:bCs/>
        </w:rPr>
        <w:t>La Autoridad Portuaria no ha registrado en el balance de situación determinados activos por impuesto diferido. Al considerar que su compensación futura no cumple, o cumplía, con los requisitos de probabilidad previstos en la norma contable.</w:t>
      </w:r>
    </w:p>
    <w:p w:rsidR="007C68BE" w:rsidRPr="007C68BE" w:rsidRDefault="007C68BE">
      <w:pPr>
        <w:tabs>
          <w:tab w:val="right" w:pos="8364"/>
        </w:tabs>
        <w:ind w:firstLine="540"/>
        <w:jc w:val="both"/>
        <w:rPr>
          <w:rFonts w:ascii="NewBaskerville" w:hAnsi="NewBaskerville"/>
          <w:bCs/>
        </w:rPr>
      </w:pPr>
    </w:p>
    <w:p w:rsidR="005A503C" w:rsidRPr="007C68BE" w:rsidRDefault="005A503C">
      <w:pPr>
        <w:tabs>
          <w:tab w:val="right" w:pos="8364"/>
        </w:tabs>
        <w:ind w:firstLine="540"/>
        <w:jc w:val="both"/>
        <w:rPr>
          <w:rFonts w:ascii="NewBaskerville" w:hAnsi="NewBaskerville"/>
          <w:bCs/>
        </w:rPr>
      </w:pPr>
      <w:r w:rsidRPr="007C68BE">
        <w:rPr>
          <w:rFonts w:ascii="NewBaskerville" w:hAnsi="NewBaskerville"/>
          <w:bCs/>
        </w:rPr>
        <w:t>El detalle de dichos activos no registrados es el siguiente:</w:t>
      </w:r>
    </w:p>
    <w:p w:rsidR="005A503C" w:rsidRDefault="005A503C">
      <w:pPr>
        <w:tabs>
          <w:tab w:val="right" w:pos="8364"/>
        </w:tabs>
        <w:ind w:firstLine="540"/>
        <w:jc w:val="both"/>
        <w:rPr>
          <w:bCs/>
        </w:rPr>
      </w:pPr>
    </w:p>
    <w:p w:rsidR="007B24DE" w:rsidRDefault="007B24DE">
      <w:pPr>
        <w:tabs>
          <w:tab w:val="right" w:pos="8364"/>
        </w:tabs>
        <w:ind w:firstLine="540"/>
        <w:jc w:val="both"/>
        <w:rPr>
          <w:rFonts w:ascii="NewBaskerville" w:hAnsi="NewBaskerville"/>
          <w:bCs/>
        </w:rPr>
      </w:pPr>
    </w:p>
    <w:p w:rsidR="007B24DE" w:rsidRDefault="00737679">
      <w:pPr>
        <w:tabs>
          <w:tab w:val="right" w:pos="8364"/>
        </w:tabs>
        <w:ind w:firstLine="540"/>
        <w:jc w:val="both"/>
        <w:rPr>
          <w:rFonts w:ascii="NewBaskerville" w:hAnsi="NewBaskerville"/>
          <w:bCs/>
        </w:rPr>
      </w:pPr>
      <w:r>
        <w:rPr>
          <w:rFonts w:ascii="NewBaskerville" w:hAnsi="NewBaskerville"/>
          <w:bCs/>
        </w:rPr>
        <w:t>Ejercicio 2024.</w:t>
      </w:r>
    </w:p>
    <w:p w:rsidR="00737679" w:rsidRDefault="00737679">
      <w:pPr>
        <w:tabs>
          <w:tab w:val="right" w:pos="8364"/>
        </w:tabs>
        <w:ind w:firstLine="540"/>
        <w:jc w:val="both"/>
        <w:rPr>
          <w:rFonts w:ascii="NewBaskerville" w:hAnsi="NewBaskerville"/>
          <w:bCs/>
        </w:rPr>
      </w:pPr>
    </w:p>
    <w:tbl>
      <w:tblPr>
        <w:tblW w:w="8430" w:type="dxa"/>
        <w:tblInd w:w="55" w:type="dxa"/>
        <w:tblCellMar>
          <w:left w:w="70" w:type="dxa"/>
          <w:right w:w="70" w:type="dxa"/>
        </w:tblCellMar>
        <w:tblLook w:val="04A0" w:firstRow="1" w:lastRow="0" w:firstColumn="1" w:lastColumn="0" w:noHBand="0" w:noVBand="1"/>
      </w:tblPr>
      <w:tblGrid>
        <w:gridCol w:w="1237"/>
        <w:gridCol w:w="1237"/>
        <w:gridCol w:w="183"/>
        <w:gridCol w:w="2934"/>
        <w:gridCol w:w="2840"/>
      </w:tblGrid>
      <w:tr w:rsidR="003E1013" w:rsidRPr="003E1013" w:rsidTr="003E1013">
        <w:trPr>
          <w:trHeight w:val="240"/>
        </w:trPr>
        <w:tc>
          <w:tcPr>
            <w:tcW w:w="8430" w:type="dxa"/>
            <w:gridSpan w:val="5"/>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b/>
                <w:bCs/>
                <w:color w:val="000000"/>
                <w:sz w:val="16"/>
                <w:szCs w:val="16"/>
                <w:lang w:val="es-ES"/>
              </w:rPr>
            </w:pPr>
            <w:r w:rsidRPr="003E1013">
              <w:rPr>
                <w:rFonts w:ascii="Lucida Bright" w:hAnsi="Lucida Bright" w:cs="Calibri"/>
                <w:b/>
                <w:bCs/>
                <w:color w:val="000000"/>
                <w:sz w:val="16"/>
                <w:szCs w:val="16"/>
                <w:lang w:val="es-ES"/>
              </w:rPr>
              <w:t>Ejercicio 2024. Activos por impuesto diferido no registrados</w:t>
            </w:r>
          </w:p>
        </w:tc>
      </w:tr>
      <w:tr w:rsidR="003E1013" w:rsidRPr="003E1013" w:rsidTr="003E1013">
        <w:trPr>
          <w:trHeight w:val="240"/>
        </w:trPr>
        <w:tc>
          <w:tcPr>
            <w:tcW w:w="1237" w:type="dxa"/>
            <w:tcBorders>
              <w:top w:val="single" w:sz="8" w:space="0" w:color="auto"/>
              <w:left w:val="single" w:sz="8" w:space="0" w:color="auto"/>
              <w:bottom w:val="nil"/>
              <w:right w:val="nil"/>
            </w:tcBorders>
            <w:shd w:val="clear" w:color="000000" w:fill="CCFFCC"/>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1237" w:type="dxa"/>
            <w:tcBorders>
              <w:top w:val="single" w:sz="8" w:space="0" w:color="auto"/>
              <w:left w:val="nil"/>
              <w:bottom w:val="nil"/>
              <w:right w:val="nil"/>
            </w:tcBorders>
            <w:shd w:val="clear" w:color="000000" w:fill="CCFFCC"/>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182" w:type="dxa"/>
            <w:tcBorders>
              <w:top w:val="single" w:sz="8" w:space="0" w:color="auto"/>
              <w:left w:val="nil"/>
              <w:bottom w:val="nil"/>
              <w:right w:val="single" w:sz="8" w:space="0" w:color="auto"/>
            </w:tcBorders>
            <w:shd w:val="clear" w:color="000000" w:fill="CCFFCC"/>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2934" w:type="dxa"/>
            <w:tcBorders>
              <w:top w:val="single" w:sz="8" w:space="0" w:color="auto"/>
              <w:left w:val="nil"/>
              <w:bottom w:val="single" w:sz="8" w:space="0" w:color="auto"/>
              <w:right w:val="nil"/>
            </w:tcBorders>
            <w:shd w:val="clear" w:color="000000" w:fill="CCFFCC"/>
            <w:noWrap/>
            <w:vAlign w:val="center"/>
            <w:hideMark/>
          </w:tcPr>
          <w:p w:rsidR="003E1013" w:rsidRPr="003E1013" w:rsidRDefault="003E1013" w:rsidP="003E1013">
            <w:pPr>
              <w:jc w:val="center"/>
              <w:rPr>
                <w:rFonts w:ascii="Lucida Bright" w:hAnsi="Lucida Bright" w:cs="Calibri"/>
                <w:b/>
                <w:bCs/>
                <w:color w:val="000000"/>
                <w:sz w:val="14"/>
                <w:szCs w:val="14"/>
                <w:lang w:val="es-ES"/>
              </w:rPr>
            </w:pPr>
            <w:r w:rsidRPr="003E1013">
              <w:rPr>
                <w:rFonts w:ascii="Lucida Bright" w:hAnsi="Lucida Bright" w:cs="Calibri"/>
                <w:b/>
                <w:bCs/>
                <w:color w:val="000000"/>
                <w:sz w:val="14"/>
                <w:szCs w:val="14"/>
                <w:lang w:val="es-ES"/>
              </w:rPr>
              <w:t>Euros</w:t>
            </w:r>
          </w:p>
        </w:tc>
        <w:tc>
          <w:tcPr>
            <w:tcW w:w="2840" w:type="dxa"/>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3E1013" w:rsidRPr="003E1013" w:rsidRDefault="003E1013" w:rsidP="003E1013">
            <w:pPr>
              <w:jc w:val="center"/>
              <w:rPr>
                <w:rFonts w:ascii="Lucida Bright" w:hAnsi="Lucida Bright" w:cs="Calibri"/>
                <w:b/>
                <w:bCs/>
                <w:color w:val="000000"/>
                <w:sz w:val="14"/>
                <w:szCs w:val="14"/>
                <w:lang w:val="es-ES"/>
              </w:rPr>
            </w:pPr>
            <w:r w:rsidRPr="003E1013">
              <w:rPr>
                <w:rFonts w:ascii="Lucida Bright" w:hAnsi="Lucida Bright" w:cs="Calibri"/>
                <w:b/>
                <w:bCs/>
                <w:color w:val="000000"/>
                <w:sz w:val="14"/>
                <w:szCs w:val="14"/>
                <w:lang w:val="es-ES"/>
              </w:rPr>
              <w:t>Vencimiento</w:t>
            </w:r>
          </w:p>
        </w:tc>
      </w:tr>
      <w:tr w:rsidR="003E1013" w:rsidRPr="003E1013" w:rsidTr="003E1013">
        <w:trPr>
          <w:trHeight w:val="225"/>
        </w:trPr>
        <w:tc>
          <w:tcPr>
            <w:tcW w:w="2474" w:type="dxa"/>
            <w:gridSpan w:val="2"/>
            <w:tcBorders>
              <w:top w:val="single" w:sz="8" w:space="0" w:color="auto"/>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Diferencias temporarias deducibles:</w:t>
            </w:r>
          </w:p>
        </w:tc>
        <w:tc>
          <w:tcPr>
            <w:tcW w:w="182" w:type="dxa"/>
            <w:tcBorders>
              <w:top w:val="single" w:sz="8" w:space="0" w:color="auto"/>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2934" w:type="dxa"/>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2840" w:type="dxa"/>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1237" w:type="dxa"/>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i/>
                <w:iCs/>
                <w:color w:val="000000"/>
                <w:sz w:val="14"/>
                <w:szCs w:val="14"/>
                <w:lang w:val="es-ES"/>
              </w:rPr>
            </w:pPr>
            <w:r w:rsidRPr="003E1013">
              <w:rPr>
                <w:rFonts w:ascii="Lucida Bright" w:hAnsi="Lucida Bright" w:cs="Calibri"/>
                <w:i/>
                <w:iCs/>
                <w:color w:val="000000"/>
                <w:sz w:val="14"/>
                <w:szCs w:val="14"/>
                <w:lang w:val="es-ES"/>
              </w:rPr>
              <w:t> </w:t>
            </w:r>
          </w:p>
        </w:tc>
        <w:tc>
          <w:tcPr>
            <w:tcW w:w="1237" w:type="dxa"/>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182" w:type="dxa"/>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2934" w:type="dxa"/>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2840" w:type="dxa"/>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2474" w:type="dxa"/>
            <w:gridSpan w:val="2"/>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Bases Imponibles negativas</w:t>
            </w:r>
          </w:p>
        </w:tc>
        <w:tc>
          <w:tcPr>
            <w:tcW w:w="182" w:type="dxa"/>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2934" w:type="dxa"/>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2840" w:type="dxa"/>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1237" w:type="dxa"/>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1237" w:type="dxa"/>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182" w:type="dxa"/>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2934" w:type="dxa"/>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2840" w:type="dxa"/>
            <w:tcBorders>
              <w:top w:val="nil"/>
              <w:left w:val="nil"/>
              <w:bottom w:val="nil"/>
              <w:right w:val="single" w:sz="8" w:space="0" w:color="auto"/>
            </w:tcBorders>
            <w:shd w:val="clear" w:color="auto" w:fill="auto"/>
            <w:noWrap/>
            <w:vAlign w:val="bottom"/>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2474" w:type="dxa"/>
            <w:gridSpan w:val="2"/>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Deducciones pendientes y otros</w:t>
            </w:r>
          </w:p>
        </w:tc>
        <w:tc>
          <w:tcPr>
            <w:tcW w:w="182" w:type="dxa"/>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2934" w:type="dxa"/>
            <w:tcBorders>
              <w:top w:val="nil"/>
              <w:left w:val="nil"/>
              <w:bottom w:val="nil"/>
              <w:right w:val="single" w:sz="8" w:space="0" w:color="auto"/>
            </w:tcBorders>
            <w:shd w:val="clear" w:color="auto" w:fill="auto"/>
            <w:noWrap/>
            <w:vAlign w:val="bottom"/>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7.253.963,70</w:t>
            </w:r>
          </w:p>
        </w:tc>
        <w:tc>
          <w:tcPr>
            <w:tcW w:w="2840" w:type="dxa"/>
            <w:tcBorders>
              <w:top w:val="nil"/>
              <w:left w:val="nil"/>
              <w:bottom w:val="nil"/>
              <w:right w:val="single" w:sz="8" w:space="0" w:color="auto"/>
            </w:tcBorders>
            <w:shd w:val="clear" w:color="auto" w:fill="auto"/>
            <w:noWrap/>
            <w:vAlign w:val="bottom"/>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225"/>
        </w:trPr>
        <w:tc>
          <w:tcPr>
            <w:tcW w:w="2474" w:type="dxa"/>
            <w:gridSpan w:val="2"/>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Deducciones pendientes y otros</w:t>
            </w:r>
          </w:p>
        </w:tc>
        <w:tc>
          <w:tcPr>
            <w:tcW w:w="182" w:type="dxa"/>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2934" w:type="dxa"/>
            <w:tcBorders>
              <w:top w:val="nil"/>
              <w:left w:val="nil"/>
              <w:bottom w:val="nil"/>
              <w:right w:val="single" w:sz="8" w:space="0" w:color="auto"/>
            </w:tcBorders>
            <w:shd w:val="clear" w:color="auto" w:fill="auto"/>
            <w:noWrap/>
            <w:vAlign w:val="bottom"/>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4.856.327,00</w:t>
            </w:r>
          </w:p>
        </w:tc>
        <w:tc>
          <w:tcPr>
            <w:tcW w:w="2840" w:type="dxa"/>
            <w:tcBorders>
              <w:top w:val="nil"/>
              <w:left w:val="nil"/>
              <w:bottom w:val="nil"/>
              <w:right w:val="single" w:sz="8" w:space="0" w:color="auto"/>
            </w:tcBorders>
            <w:shd w:val="clear" w:color="auto" w:fill="auto"/>
            <w:noWrap/>
            <w:vAlign w:val="bottom"/>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225"/>
        </w:trPr>
        <w:tc>
          <w:tcPr>
            <w:tcW w:w="2474" w:type="dxa"/>
            <w:gridSpan w:val="2"/>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Deducciones pendientes y otros</w:t>
            </w:r>
          </w:p>
        </w:tc>
        <w:tc>
          <w:tcPr>
            <w:tcW w:w="182" w:type="dxa"/>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2934" w:type="dxa"/>
            <w:tcBorders>
              <w:top w:val="nil"/>
              <w:left w:val="nil"/>
              <w:bottom w:val="nil"/>
              <w:right w:val="single" w:sz="8" w:space="0" w:color="auto"/>
            </w:tcBorders>
            <w:shd w:val="clear" w:color="auto" w:fill="auto"/>
            <w:noWrap/>
            <w:vAlign w:val="bottom"/>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4.449.947,04</w:t>
            </w:r>
          </w:p>
        </w:tc>
        <w:tc>
          <w:tcPr>
            <w:tcW w:w="2840" w:type="dxa"/>
            <w:tcBorders>
              <w:top w:val="nil"/>
              <w:left w:val="nil"/>
              <w:bottom w:val="nil"/>
              <w:right w:val="single" w:sz="8" w:space="0" w:color="auto"/>
            </w:tcBorders>
            <w:shd w:val="clear" w:color="auto" w:fill="auto"/>
            <w:noWrap/>
            <w:vAlign w:val="bottom"/>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225"/>
        </w:trPr>
        <w:tc>
          <w:tcPr>
            <w:tcW w:w="2474" w:type="dxa"/>
            <w:gridSpan w:val="2"/>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Deducciones pendientes y otros</w:t>
            </w:r>
          </w:p>
        </w:tc>
        <w:tc>
          <w:tcPr>
            <w:tcW w:w="182" w:type="dxa"/>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2934" w:type="dxa"/>
            <w:tcBorders>
              <w:top w:val="nil"/>
              <w:left w:val="nil"/>
              <w:bottom w:val="nil"/>
              <w:right w:val="single" w:sz="8" w:space="0" w:color="auto"/>
            </w:tcBorders>
            <w:shd w:val="clear" w:color="auto" w:fill="auto"/>
            <w:noWrap/>
            <w:vAlign w:val="bottom"/>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15.522.660,51</w:t>
            </w:r>
          </w:p>
        </w:tc>
        <w:tc>
          <w:tcPr>
            <w:tcW w:w="2840" w:type="dxa"/>
            <w:tcBorders>
              <w:top w:val="nil"/>
              <w:left w:val="nil"/>
              <w:bottom w:val="nil"/>
              <w:right w:val="single" w:sz="8" w:space="0" w:color="auto"/>
            </w:tcBorders>
            <w:shd w:val="clear" w:color="auto" w:fill="auto"/>
            <w:noWrap/>
            <w:vAlign w:val="bottom"/>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240"/>
        </w:trPr>
        <w:tc>
          <w:tcPr>
            <w:tcW w:w="2474" w:type="dxa"/>
            <w:gridSpan w:val="2"/>
            <w:tcBorders>
              <w:top w:val="nil"/>
              <w:left w:val="single" w:sz="8" w:space="0" w:color="auto"/>
              <w:bottom w:val="single" w:sz="8" w:space="0" w:color="auto"/>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Deducciones pendientes y otros</w:t>
            </w:r>
          </w:p>
        </w:tc>
        <w:tc>
          <w:tcPr>
            <w:tcW w:w="182" w:type="dxa"/>
            <w:tcBorders>
              <w:top w:val="nil"/>
              <w:left w:val="nil"/>
              <w:bottom w:val="single" w:sz="8" w:space="0" w:color="auto"/>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2934" w:type="dxa"/>
            <w:tcBorders>
              <w:top w:val="nil"/>
              <w:left w:val="nil"/>
              <w:bottom w:val="single" w:sz="8" w:space="0" w:color="auto"/>
              <w:right w:val="single" w:sz="8" w:space="0" w:color="auto"/>
            </w:tcBorders>
            <w:shd w:val="clear" w:color="auto" w:fill="auto"/>
            <w:noWrap/>
            <w:vAlign w:val="bottom"/>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18.326.746,60</w:t>
            </w:r>
          </w:p>
        </w:tc>
        <w:tc>
          <w:tcPr>
            <w:tcW w:w="2840" w:type="dxa"/>
            <w:tcBorders>
              <w:top w:val="nil"/>
              <w:left w:val="nil"/>
              <w:bottom w:val="single" w:sz="8" w:space="0" w:color="auto"/>
              <w:right w:val="single" w:sz="8" w:space="0" w:color="auto"/>
            </w:tcBorders>
            <w:shd w:val="clear" w:color="auto" w:fill="auto"/>
            <w:noWrap/>
            <w:vAlign w:val="bottom"/>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225"/>
        </w:trPr>
        <w:tc>
          <w:tcPr>
            <w:tcW w:w="265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E1013" w:rsidRPr="003E1013" w:rsidRDefault="003E1013" w:rsidP="003E1013">
            <w:pPr>
              <w:jc w:val="center"/>
              <w:rPr>
                <w:rFonts w:ascii="Lucida Bright" w:hAnsi="Lucida Bright" w:cs="Calibri"/>
                <w:b/>
                <w:bCs/>
                <w:color w:val="000000"/>
                <w:sz w:val="14"/>
                <w:szCs w:val="14"/>
                <w:lang w:val="es-ES"/>
              </w:rPr>
            </w:pPr>
            <w:r w:rsidRPr="003E1013">
              <w:rPr>
                <w:rFonts w:ascii="Lucida Bright" w:hAnsi="Lucida Bright" w:cs="Calibri"/>
                <w:b/>
                <w:bCs/>
                <w:color w:val="000000"/>
                <w:sz w:val="14"/>
                <w:szCs w:val="14"/>
                <w:lang w:val="es-ES"/>
              </w:rPr>
              <w:t>Total activos por impuesto diferido no registrados</w:t>
            </w:r>
          </w:p>
        </w:tc>
        <w:tc>
          <w:tcPr>
            <w:tcW w:w="2934" w:type="dxa"/>
            <w:vMerge w:val="restart"/>
            <w:tcBorders>
              <w:top w:val="nil"/>
              <w:left w:val="single" w:sz="8" w:space="0" w:color="auto"/>
              <w:bottom w:val="single" w:sz="8" w:space="0" w:color="000000"/>
              <w:right w:val="single" w:sz="8" w:space="0" w:color="auto"/>
            </w:tcBorders>
            <w:shd w:val="clear" w:color="auto" w:fill="auto"/>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50.409.644,85</w:t>
            </w:r>
          </w:p>
        </w:tc>
        <w:tc>
          <w:tcPr>
            <w:tcW w:w="2840" w:type="dxa"/>
            <w:vMerge w:val="restart"/>
            <w:tcBorders>
              <w:top w:val="nil"/>
              <w:left w:val="single" w:sz="8" w:space="0" w:color="auto"/>
              <w:bottom w:val="single" w:sz="8" w:space="0" w:color="000000"/>
              <w:right w:val="single" w:sz="8" w:space="0" w:color="auto"/>
            </w:tcBorders>
            <w:shd w:val="clear" w:color="auto" w:fill="auto"/>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40"/>
        </w:trPr>
        <w:tc>
          <w:tcPr>
            <w:tcW w:w="2656" w:type="dxa"/>
            <w:gridSpan w:val="3"/>
            <w:vMerge/>
            <w:tcBorders>
              <w:top w:val="single" w:sz="8" w:space="0" w:color="auto"/>
              <w:left w:val="single" w:sz="8" w:space="0" w:color="auto"/>
              <w:bottom w:val="single" w:sz="8" w:space="0" w:color="000000"/>
              <w:right w:val="single" w:sz="8" w:space="0" w:color="000000"/>
            </w:tcBorders>
            <w:vAlign w:val="center"/>
            <w:hideMark/>
          </w:tcPr>
          <w:p w:rsidR="003E1013" w:rsidRPr="003E1013" w:rsidRDefault="003E1013" w:rsidP="003E1013">
            <w:pPr>
              <w:rPr>
                <w:rFonts w:ascii="Lucida Bright" w:hAnsi="Lucida Bright" w:cs="Calibri"/>
                <w:b/>
                <w:bCs/>
                <w:color w:val="000000"/>
                <w:sz w:val="14"/>
                <w:szCs w:val="14"/>
                <w:lang w:val="es-ES"/>
              </w:rPr>
            </w:pPr>
          </w:p>
        </w:tc>
        <w:tc>
          <w:tcPr>
            <w:tcW w:w="2934" w:type="dxa"/>
            <w:vMerge/>
            <w:tcBorders>
              <w:top w:val="nil"/>
              <w:left w:val="single" w:sz="8" w:space="0" w:color="auto"/>
              <w:bottom w:val="single" w:sz="8" w:space="0" w:color="000000"/>
              <w:right w:val="single" w:sz="8" w:space="0" w:color="auto"/>
            </w:tcBorders>
            <w:vAlign w:val="center"/>
            <w:hideMark/>
          </w:tcPr>
          <w:p w:rsidR="003E1013" w:rsidRPr="003E1013" w:rsidRDefault="003E1013" w:rsidP="003E1013">
            <w:pPr>
              <w:rPr>
                <w:rFonts w:ascii="Lucida Bright" w:hAnsi="Lucida Bright" w:cs="Calibri"/>
                <w:color w:val="000000"/>
                <w:sz w:val="14"/>
                <w:szCs w:val="14"/>
                <w:lang w:val="es-ES"/>
              </w:rPr>
            </w:pPr>
          </w:p>
        </w:tc>
        <w:tc>
          <w:tcPr>
            <w:tcW w:w="2840" w:type="dxa"/>
            <w:vMerge/>
            <w:tcBorders>
              <w:top w:val="nil"/>
              <w:left w:val="single" w:sz="8" w:space="0" w:color="auto"/>
              <w:bottom w:val="single" w:sz="8" w:space="0" w:color="000000"/>
              <w:right w:val="single" w:sz="8" w:space="0" w:color="auto"/>
            </w:tcBorders>
            <w:vAlign w:val="center"/>
            <w:hideMark/>
          </w:tcPr>
          <w:p w:rsidR="003E1013" w:rsidRPr="003E1013" w:rsidRDefault="003E1013" w:rsidP="003E1013">
            <w:pPr>
              <w:rPr>
                <w:rFonts w:ascii="Lucida Bright" w:hAnsi="Lucida Bright" w:cs="Calibri"/>
                <w:color w:val="000000"/>
                <w:sz w:val="14"/>
                <w:szCs w:val="14"/>
                <w:lang w:val="es-ES"/>
              </w:rPr>
            </w:pPr>
          </w:p>
        </w:tc>
      </w:tr>
    </w:tbl>
    <w:p w:rsidR="00737679" w:rsidRDefault="00737679">
      <w:pPr>
        <w:tabs>
          <w:tab w:val="right" w:pos="8364"/>
        </w:tabs>
        <w:ind w:firstLine="540"/>
        <w:jc w:val="both"/>
        <w:rPr>
          <w:rFonts w:ascii="NewBaskerville" w:hAnsi="NewBaskerville"/>
          <w:bCs/>
        </w:rPr>
      </w:pPr>
    </w:p>
    <w:p w:rsidR="00737679" w:rsidRDefault="00737679">
      <w:pPr>
        <w:tabs>
          <w:tab w:val="right" w:pos="8364"/>
        </w:tabs>
        <w:ind w:firstLine="540"/>
        <w:jc w:val="both"/>
        <w:rPr>
          <w:rFonts w:ascii="NewBaskerville" w:hAnsi="NewBaskerville"/>
          <w:bCs/>
        </w:rPr>
      </w:pPr>
    </w:p>
    <w:p w:rsidR="00914209" w:rsidRDefault="00914209">
      <w:pPr>
        <w:tabs>
          <w:tab w:val="right" w:pos="8364"/>
        </w:tabs>
        <w:ind w:firstLine="540"/>
        <w:jc w:val="both"/>
        <w:rPr>
          <w:rFonts w:ascii="NewBaskerville" w:hAnsi="NewBaskerville"/>
          <w:bCs/>
        </w:rPr>
      </w:pPr>
    </w:p>
    <w:p w:rsidR="00914209" w:rsidRDefault="00914209">
      <w:pPr>
        <w:tabs>
          <w:tab w:val="right" w:pos="8364"/>
        </w:tabs>
        <w:ind w:firstLine="540"/>
        <w:jc w:val="both"/>
        <w:rPr>
          <w:rFonts w:ascii="NewBaskerville" w:hAnsi="NewBaskerville"/>
          <w:bCs/>
        </w:rPr>
      </w:pPr>
    </w:p>
    <w:p w:rsidR="00914209" w:rsidRDefault="00914209">
      <w:pPr>
        <w:tabs>
          <w:tab w:val="right" w:pos="8364"/>
        </w:tabs>
        <w:ind w:firstLine="540"/>
        <w:jc w:val="both"/>
        <w:rPr>
          <w:rFonts w:ascii="NewBaskerville" w:hAnsi="NewBaskerville"/>
          <w:bCs/>
        </w:rPr>
      </w:pPr>
    </w:p>
    <w:p w:rsidR="005A503C" w:rsidRDefault="005A503C">
      <w:pPr>
        <w:tabs>
          <w:tab w:val="right" w:pos="8364"/>
        </w:tabs>
        <w:ind w:firstLine="540"/>
        <w:jc w:val="both"/>
        <w:rPr>
          <w:bCs/>
        </w:rPr>
      </w:pPr>
      <w:r w:rsidRPr="00185A81">
        <w:rPr>
          <w:rFonts w:ascii="NewBaskerville" w:hAnsi="NewBaskerville"/>
          <w:bCs/>
        </w:rPr>
        <w:t>Ejercicio 202</w:t>
      </w:r>
      <w:r w:rsidR="007131C1">
        <w:rPr>
          <w:rFonts w:ascii="NewBaskerville" w:hAnsi="NewBaskerville"/>
          <w:bCs/>
        </w:rPr>
        <w:t>3</w:t>
      </w:r>
      <w:r>
        <w:rPr>
          <w:bCs/>
        </w:rPr>
        <w:t>.</w:t>
      </w:r>
    </w:p>
    <w:p w:rsidR="005F35CD" w:rsidRDefault="005F35CD">
      <w:pPr>
        <w:tabs>
          <w:tab w:val="right" w:pos="8364"/>
        </w:tabs>
        <w:ind w:firstLine="540"/>
        <w:jc w:val="both"/>
        <w:rPr>
          <w:bCs/>
        </w:rPr>
      </w:pPr>
    </w:p>
    <w:p w:rsidR="00C82D5D" w:rsidRDefault="00C82D5D">
      <w:pPr>
        <w:tabs>
          <w:tab w:val="right" w:pos="8364"/>
        </w:tabs>
        <w:ind w:firstLine="540"/>
        <w:jc w:val="both"/>
        <w:rPr>
          <w:bCs/>
        </w:rPr>
      </w:pPr>
    </w:p>
    <w:tbl>
      <w:tblPr>
        <w:tblW w:w="0" w:type="auto"/>
        <w:tblInd w:w="55" w:type="dxa"/>
        <w:tblCellMar>
          <w:left w:w="70" w:type="dxa"/>
          <w:right w:w="70" w:type="dxa"/>
        </w:tblCellMar>
        <w:tblLook w:val="04A0" w:firstRow="1" w:lastRow="0" w:firstColumn="1" w:lastColumn="0" w:noHBand="0" w:noVBand="1"/>
      </w:tblPr>
      <w:tblGrid>
        <w:gridCol w:w="1636"/>
        <w:gridCol w:w="1635"/>
        <w:gridCol w:w="434"/>
        <w:gridCol w:w="2066"/>
        <w:gridCol w:w="1926"/>
      </w:tblGrid>
      <w:tr w:rsidR="007131C1" w:rsidRPr="007131C1" w:rsidTr="007131C1">
        <w:trPr>
          <w:trHeight w:val="240"/>
        </w:trPr>
        <w:tc>
          <w:tcPr>
            <w:tcW w:w="0" w:type="auto"/>
            <w:gridSpan w:val="5"/>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b/>
                <w:bCs/>
                <w:color w:val="000000"/>
                <w:sz w:val="16"/>
                <w:szCs w:val="16"/>
                <w:lang w:val="es-ES"/>
              </w:rPr>
            </w:pPr>
            <w:r w:rsidRPr="007131C1">
              <w:rPr>
                <w:rFonts w:ascii="Lucida Bright" w:hAnsi="Lucida Bright" w:cs="Calibri"/>
                <w:b/>
                <w:bCs/>
                <w:color w:val="000000"/>
                <w:sz w:val="16"/>
                <w:szCs w:val="16"/>
                <w:lang w:val="es-ES"/>
              </w:rPr>
              <w:t>Ejercicio 2023. Activos por impuesto diferido no registrados</w:t>
            </w:r>
          </w:p>
        </w:tc>
      </w:tr>
      <w:tr w:rsidR="007131C1" w:rsidRPr="007131C1" w:rsidTr="007131C1">
        <w:trPr>
          <w:trHeight w:val="240"/>
        </w:trPr>
        <w:tc>
          <w:tcPr>
            <w:tcW w:w="0" w:type="auto"/>
            <w:tcBorders>
              <w:top w:val="single" w:sz="8" w:space="0" w:color="auto"/>
              <w:left w:val="single" w:sz="8" w:space="0" w:color="auto"/>
              <w:bottom w:val="nil"/>
              <w:right w:val="nil"/>
            </w:tcBorders>
            <w:shd w:val="clear" w:color="000000" w:fill="CCFFCC"/>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single" w:sz="8" w:space="0" w:color="auto"/>
              <w:left w:val="nil"/>
              <w:bottom w:val="nil"/>
              <w:right w:val="nil"/>
            </w:tcBorders>
            <w:shd w:val="clear" w:color="000000" w:fill="CCFFCC"/>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single" w:sz="8" w:space="0" w:color="auto"/>
              <w:left w:val="nil"/>
              <w:bottom w:val="nil"/>
              <w:right w:val="single" w:sz="8" w:space="0" w:color="auto"/>
            </w:tcBorders>
            <w:shd w:val="clear" w:color="000000" w:fill="CCFFCC"/>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single" w:sz="8" w:space="0" w:color="auto"/>
              <w:left w:val="nil"/>
              <w:bottom w:val="single" w:sz="8" w:space="0" w:color="auto"/>
              <w:right w:val="nil"/>
            </w:tcBorders>
            <w:shd w:val="clear" w:color="000000" w:fill="CCFFCC"/>
            <w:noWrap/>
            <w:vAlign w:val="center"/>
            <w:hideMark/>
          </w:tcPr>
          <w:p w:rsidR="007131C1" w:rsidRPr="007131C1" w:rsidRDefault="007131C1" w:rsidP="007131C1">
            <w:pPr>
              <w:jc w:val="center"/>
              <w:rPr>
                <w:rFonts w:ascii="Lucida Bright" w:hAnsi="Lucida Bright" w:cs="Calibri"/>
                <w:b/>
                <w:bCs/>
                <w:color w:val="000000"/>
                <w:sz w:val="14"/>
                <w:szCs w:val="14"/>
                <w:lang w:val="es-ES"/>
              </w:rPr>
            </w:pPr>
            <w:r w:rsidRPr="007131C1">
              <w:rPr>
                <w:rFonts w:ascii="Lucida Bright" w:hAnsi="Lucida Bright" w:cs="Calibri"/>
                <w:b/>
                <w:bCs/>
                <w:color w:val="000000"/>
                <w:sz w:val="14"/>
                <w:szCs w:val="14"/>
                <w:lang w:val="es-ES"/>
              </w:rPr>
              <w:t>Euros</w:t>
            </w:r>
          </w:p>
        </w:tc>
        <w:tc>
          <w:tcPr>
            <w:tcW w:w="0" w:type="auto"/>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7131C1" w:rsidRPr="007131C1" w:rsidRDefault="007131C1" w:rsidP="007131C1">
            <w:pPr>
              <w:jc w:val="center"/>
              <w:rPr>
                <w:rFonts w:ascii="Lucida Bright" w:hAnsi="Lucida Bright" w:cs="Calibri"/>
                <w:b/>
                <w:bCs/>
                <w:color w:val="000000"/>
                <w:sz w:val="14"/>
                <w:szCs w:val="14"/>
                <w:lang w:val="es-ES"/>
              </w:rPr>
            </w:pPr>
            <w:r w:rsidRPr="007131C1">
              <w:rPr>
                <w:rFonts w:ascii="Lucida Bright" w:hAnsi="Lucida Bright" w:cs="Calibri"/>
                <w:b/>
                <w:bCs/>
                <w:color w:val="000000"/>
                <w:sz w:val="14"/>
                <w:szCs w:val="14"/>
                <w:lang w:val="es-ES"/>
              </w:rPr>
              <w:t>Vencimiento</w:t>
            </w:r>
          </w:p>
        </w:tc>
      </w:tr>
      <w:tr w:rsidR="007131C1" w:rsidRPr="007131C1" w:rsidTr="007131C1">
        <w:trPr>
          <w:trHeight w:val="225"/>
        </w:trPr>
        <w:tc>
          <w:tcPr>
            <w:tcW w:w="0" w:type="auto"/>
            <w:gridSpan w:val="2"/>
            <w:tcBorders>
              <w:top w:val="single" w:sz="8" w:space="0" w:color="auto"/>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Diferencias temporarias deducibles:</w:t>
            </w:r>
          </w:p>
        </w:tc>
        <w:tc>
          <w:tcPr>
            <w:tcW w:w="0" w:type="auto"/>
            <w:tcBorders>
              <w:top w:val="single" w:sz="8" w:space="0" w:color="auto"/>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0" w:type="auto"/>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i/>
                <w:iCs/>
                <w:color w:val="000000"/>
                <w:sz w:val="14"/>
                <w:szCs w:val="14"/>
                <w:lang w:val="es-ES"/>
              </w:rPr>
            </w:pPr>
            <w:r w:rsidRPr="007131C1">
              <w:rPr>
                <w:rFonts w:ascii="Lucida Bright" w:hAnsi="Lucida Bright" w:cs="Calibri"/>
                <w:i/>
                <w:iCs/>
                <w:color w:val="000000"/>
                <w:sz w:val="14"/>
                <w:szCs w:val="14"/>
                <w:lang w:val="es-ES"/>
              </w:rPr>
              <w:t> </w:t>
            </w:r>
          </w:p>
        </w:tc>
        <w:tc>
          <w:tcPr>
            <w:tcW w:w="0" w:type="auto"/>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0" w:type="auto"/>
            <w:gridSpan w:val="2"/>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Bases Imponibles negativas</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0" w:type="auto"/>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0" w:type="auto"/>
            <w:gridSpan w:val="2"/>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Deducciones pendientes y otros</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7.272.114,96</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225"/>
        </w:trPr>
        <w:tc>
          <w:tcPr>
            <w:tcW w:w="0" w:type="auto"/>
            <w:gridSpan w:val="2"/>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Deducciones pendientes y otros</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4.870.243,10</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225"/>
        </w:trPr>
        <w:tc>
          <w:tcPr>
            <w:tcW w:w="0" w:type="auto"/>
            <w:gridSpan w:val="2"/>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Deducciones pendientes y otros</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4.523.896,61</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225"/>
        </w:trPr>
        <w:tc>
          <w:tcPr>
            <w:tcW w:w="0" w:type="auto"/>
            <w:gridSpan w:val="2"/>
            <w:tcBorders>
              <w:top w:val="nil"/>
              <w:left w:val="single" w:sz="8" w:space="0" w:color="auto"/>
              <w:bottom w:val="single" w:sz="8" w:space="0" w:color="auto"/>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Deducciones pendientes y otros</w:t>
            </w:r>
          </w:p>
        </w:tc>
        <w:tc>
          <w:tcPr>
            <w:tcW w:w="0" w:type="auto"/>
            <w:tcBorders>
              <w:top w:val="nil"/>
              <w:left w:val="nil"/>
              <w:bottom w:val="single" w:sz="8" w:space="0" w:color="auto"/>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single" w:sz="8" w:space="0" w:color="auto"/>
              <w:right w:val="single" w:sz="8" w:space="0" w:color="auto"/>
            </w:tcBorders>
            <w:shd w:val="clear" w:color="auto" w:fill="auto"/>
            <w:noWrap/>
            <w:vAlign w:val="bottom"/>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15.697.248,40</w:t>
            </w:r>
          </w:p>
        </w:tc>
        <w:tc>
          <w:tcPr>
            <w:tcW w:w="0" w:type="auto"/>
            <w:tcBorders>
              <w:top w:val="nil"/>
              <w:left w:val="nil"/>
              <w:bottom w:val="single" w:sz="8" w:space="0" w:color="auto"/>
              <w:right w:val="single" w:sz="8" w:space="0" w:color="auto"/>
            </w:tcBorders>
            <w:shd w:val="clear" w:color="auto" w:fill="auto"/>
            <w:noWrap/>
            <w:vAlign w:val="bottom"/>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225"/>
        </w:trPr>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131C1" w:rsidRPr="007131C1" w:rsidRDefault="007131C1" w:rsidP="007131C1">
            <w:pPr>
              <w:jc w:val="center"/>
              <w:rPr>
                <w:rFonts w:ascii="Lucida Bright" w:hAnsi="Lucida Bright" w:cs="Calibri"/>
                <w:b/>
                <w:bCs/>
                <w:color w:val="000000"/>
                <w:sz w:val="14"/>
                <w:szCs w:val="14"/>
                <w:lang w:val="es-ES"/>
              </w:rPr>
            </w:pPr>
            <w:r w:rsidRPr="007131C1">
              <w:rPr>
                <w:rFonts w:ascii="Lucida Bright" w:hAnsi="Lucida Bright" w:cs="Calibri"/>
                <w:b/>
                <w:bCs/>
                <w:color w:val="000000"/>
                <w:sz w:val="14"/>
                <w:szCs w:val="14"/>
                <w:lang w:val="es-ES"/>
              </w:rPr>
              <w:t>Total activos por impuesto diferido no registrados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32.363.503,07</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3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rsidR="007131C1" w:rsidRPr="007131C1" w:rsidRDefault="007131C1" w:rsidP="007131C1">
            <w:pPr>
              <w:rPr>
                <w:rFonts w:ascii="Lucida Bright" w:hAnsi="Lucida Bright" w:cs="Calibri"/>
                <w:b/>
                <w:bCs/>
                <w:color w:val="000000"/>
                <w:sz w:val="14"/>
                <w:szCs w:val="14"/>
                <w:lang w:val="es-ES"/>
              </w:rPr>
            </w:pPr>
          </w:p>
        </w:tc>
        <w:tc>
          <w:tcPr>
            <w:tcW w:w="0" w:type="auto"/>
            <w:vMerge/>
            <w:tcBorders>
              <w:top w:val="nil"/>
              <w:left w:val="single" w:sz="8" w:space="0" w:color="auto"/>
              <w:bottom w:val="single" w:sz="8" w:space="0" w:color="000000"/>
              <w:right w:val="single" w:sz="8" w:space="0" w:color="auto"/>
            </w:tcBorders>
            <w:vAlign w:val="center"/>
            <w:hideMark/>
          </w:tcPr>
          <w:p w:rsidR="007131C1" w:rsidRPr="007131C1" w:rsidRDefault="007131C1" w:rsidP="007131C1">
            <w:pPr>
              <w:rPr>
                <w:rFonts w:ascii="Lucida Bright" w:hAnsi="Lucida Bright" w:cs="Calibri"/>
                <w:color w:val="000000"/>
                <w:sz w:val="14"/>
                <w:szCs w:val="14"/>
                <w:lang w:val="es-ES"/>
              </w:rPr>
            </w:pPr>
          </w:p>
        </w:tc>
        <w:tc>
          <w:tcPr>
            <w:tcW w:w="0" w:type="auto"/>
            <w:vMerge/>
            <w:tcBorders>
              <w:top w:val="nil"/>
              <w:left w:val="single" w:sz="8" w:space="0" w:color="auto"/>
              <w:bottom w:val="single" w:sz="8" w:space="0" w:color="000000"/>
              <w:right w:val="single" w:sz="8" w:space="0" w:color="auto"/>
            </w:tcBorders>
            <w:vAlign w:val="center"/>
            <w:hideMark/>
          </w:tcPr>
          <w:p w:rsidR="007131C1" w:rsidRPr="007131C1" w:rsidRDefault="007131C1" w:rsidP="007131C1">
            <w:pPr>
              <w:rPr>
                <w:rFonts w:ascii="Lucida Bright" w:hAnsi="Lucida Bright" w:cs="Calibri"/>
                <w:color w:val="000000"/>
                <w:sz w:val="14"/>
                <w:szCs w:val="14"/>
                <w:lang w:val="es-ES"/>
              </w:rPr>
            </w:pPr>
          </w:p>
        </w:tc>
      </w:tr>
    </w:tbl>
    <w:p w:rsidR="00C82D5D" w:rsidRDefault="00C82D5D">
      <w:pPr>
        <w:tabs>
          <w:tab w:val="right" w:pos="8364"/>
        </w:tabs>
        <w:ind w:firstLine="540"/>
        <w:jc w:val="both"/>
        <w:rPr>
          <w:bCs/>
        </w:rPr>
      </w:pPr>
    </w:p>
    <w:p w:rsidR="007B24DE" w:rsidRDefault="007B24DE">
      <w:pPr>
        <w:tabs>
          <w:tab w:val="right" w:pos="8364"/>
        </w:tabs>
        <w:ind w:firstLine="540"/>
        <w:jc w:val="both"/>
        <w:rPr>
          <w:rFonts w:ascii="NewBaskerville" w:hAnsi="NewBaskerville"/>
          <w:bCs/>
        </w:rPr>
      </w:pPr>
    </w:p>
    <w:p w:rsidR="007B24DE" w:rsidRDefault="007B24DE">
      <w:pPr>
        <w:tabs>
          <w:tab w:val="right" w:pos="8364"/>
        </w:tabs>
        <w:ind w:firstLine="540"/>
        <w:jc w:val="both"/>
        <w:rPr>
          <w:rFonts w:ascii="NewBaskerville" w:hAnsi="NewBaskerville"/>
          <w:bCs/>
        </w:rPr>
      </w:pPr>
    </w:p>
    <w:p w:rsidR="007B24DE" w:rsidRDefault="007B24DE">
      <w:pPr>
        <w:tabs>
          <w:tab w:val="right" w:pos="8364"/>
        </w:tabs>
        <w:ind w:firstLine="540"/>
        <w:jc w:val="both"/>
        <w:rPr>
          <w:rFonts w:ascii="NewBaskerville" w:hAnsi="NewBaskerville"/>
          <w:bCs/>
        </w:rPr>
      </w:pPr>
    </w:p>
    <w:p w:rsidR="00E0015A" w:rsidRPr="00185A81" w:rsidRDefault="005A503C" w:rsidP="00E0015A">
      <w:pPr>
        <w:tabs>
          <w:tab w:val="right" w:pos="8364"/>
        </w:tabs>
        <w:ind w:firstLine="540"/>
        <w:jc w:val="both"/>
        <w:rPr>
          <w:rFonts w:ascii="NewBaskerville" w:hAnsi="NewBaskerville"/>
          <w:bCs/>
          <w:noProof/>
          <w:lang w:val="es-ES"/>
        </w:rPr>
      </w:pPr>
      <w:r w:rsidRPr="00185A81">
        <w:rPr>
          <w:rFonts w:ascii="NewBaskerville" w:hAnsi="NewBaskerville"/>
          <w:bCs/>
        </w:rPr>
        <w:t>Al cierre del ejercicio 202</w:t>
      </w:r>
      <w:r w:rsidR="00737679">
        <w:rPr>
          <w:rFonts w:ascii="NewBaskerville" w:hAnsi="NewBaskerville"/>
          <w:bCs/>
        </w:rPr>
        <w:t>4</w:t>
      </w:r>
      <w:r w:rsidRPr="00185A81">
        <w:rPr>
          <w:rFonts w:ascii="NewBaskerville" w:hAnsi="NewBaskerville"/>
          <w:bCs/>
        </w:rPr>
        <w:t>, el vencimiento de las deducciones pendientes de tomar no registradas en</w:t>
      </w:r>
      <w:r w:rsidR="00E0015A" w:rsidRPr="00185A81">
        <w:rPr>
          <w:rFonts w:ascii="NewBaskerville" w:hAnsi="NewBaskerville"/>
          <w:bCs/>
        </w:rPr>
        <w:t xml:space="preserve"> </w:t>
      </w:r>
      <w:r w:rsidRPr="00185A81">
        <w:rPr>
          <w:rFonts w:ascii="NewBaskerville" w:hAnsi="NewBaskerville"/>
          <w:bCs/>
        </w:rPr>
        <w:t>el balance de situación era el siguiente:</w:t>
      </w:r>
    </w:p>
    <w:p w:rsidR="003C1CA3" w:rsidRDefault="003C1CA3" w:rsidP="00E0015A">
      <w:pPr>
        <w:tabs>
          <w:tab w:val="right" w:pos="8364"/>
        </w:tabs>
        <w:ind w:firstLine="540"/>
        <w:jc w:val="both"/>
        <w:rPr>
          <w:bCs/>
        </w:rPr>
      </w:pPr>
    </w:p>
    <w:tbl>
      <w:tblPr>
        <w:tblW w:w="4963" w:type="pct"/>
        <w:tblLayout w:type="fixed"/>
        <w:tblCellMar>
          <w:left w:w="70" w:type="dxa"/>
          <w:right w:w="70" w:type="dxa"/>
        </w:tblCellMar>
        <w:tblLook w:val="04A0" w:firstRow="1" w:lastRow="0" w:firstColumn="1" w:lastColumn="0" w:noHBand="0" w:noVBand="1"/>
      </w:tblPr>
      <w:tblGrid>
        <w:gridCol w:w="912"/>
        <w:gridCol w:w="1433"/>
        <w:gridCol w:w="1368"/>
        <w:gridCol w:w="1307"/>
        <w:gridCol w:w="1274"/>
        <w:gridCol w:w="863"/>
        <w:gridCol w:w="1135"/>
        <w:gridCol w:w="351"/>
        <w:gridCol w:w="641"/>
      </w:tblGrid>
      <w:tr w:rsidR="003E1013" w:rsidRPr="003E1013" w:rsidTr="003E1013">
        <w:trPr>
          <w:trHeight w:val="240"/>
        </w:trPr>
        <w:tc>
          <w:tcPr>
            <w:tcW w:w="4655" w:type="pct"/>
            <w:gridSpan w:val="8"/>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b/>
                <w:bCs/>
                <w:color w:val="000000"/>
                <w:sz w:val="16"/>
                <w:szCs w:val="16"/>
                <w:lang w:val="es-ES"/>
              </w:rPr>
            </w:pPr>
            <w:r w:rsidRPr="003E1013">
              <w:rPr>
                <w:rFonts w:ascii="Lucida Bright" w:hAnsi="Lucida Bright" w:cs="Calibri"/>
                <w:b/>
                <w:bCs/>
                <w:color w:val="000000"/>
                <w:sz w:val="16"/>
                <w:szCs w:val="16"/>
                <w:lang w:val="es-ES"/>
              </w:rPr>
              <w:t>Detalle de las deducciones pendientes de tomar no registradas en balance de situación</w:t>
            </w:r>
          </w:p>
        </w:tc>
        <w:tc>
          <w:tcPr>
            <w:tcW w:w="345"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r>
      <w:tr w:rsidR="003E1013" w:rsidRPr="003E1013" w:rsidTr="003E1013">
        <w:trPr>
          <w:trHeight w:val="240"/>
        </w:trPr>
        <w:tc>
          <w:tcPr>
            <w:tcW w:w="491" w:type="pct"/>
            <w:tcBorders>
              <w:top w:val="single" w:sz="8" w:space="0" w:color="auto"/>
              <w:left w:val="single" w:sz="8" w:space="0" w:color="auto"/>
              <w:bottom w:val="nil"/>
              <w:right w:val="nil"/>
            </w:tcBorders>
            <w:shd w:val="clear" w:color="000000" w:fill="CCFFCC"/>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single" w:sz="8" w:space="0" w:color="auto"/>
              <w:left w:val="nil"/>
              <w:bottom w:val="nil"/>
              <w:right w:val="nil"/>
            </w:tcBorders>
            <w:shd w:val="clear" w:color="000000" w:fill="CCFFCC"/>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37" w:type="pct"/>
            <w:tcBorders>
              <w:top w:val="single" w:sz="8" w:space="0" w:color="auto"/>
              <w:left w:val="nil"/>
              <w:bottom w:val="nil"/>
              <w:right w:val="nil"/>
            </w:tcBorders>
            <w:shd w:val="clear" w:color="000000" w:fill="CCFFCC"/>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04" w:type="pct"/>
            <w:tcBorders>
              <w:top w:val="single" w:sz="8" w:space="0" w:color="auto"/>
              <w:left w:val="nil"/>
              <w:bottom w:val="nil"/>
              <w:right w:val="nil"/>
            </w:tcBorders>
            <w:shd w:val="clear" w:color="000000" w:fill="CCFFCC"/>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86" w:type="pct"/>
            <w:tcBorders>
              <w:top w:val="single" w:sz="8" w:space="0" w:color="auto"/>
              <w:left w:val="nil"/>
              <w:bottom w:val="nil"/>
              <w:right w:val="nil"/>
            </w:tcBorders>
            <w:shd w:val="clear" w:color="000000" w:fill="CCFFCC"/>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464" w:type="pct"/>
            <w:tcBorders>
              <w:top w:val="single" w:sz="8" w:space="0" w:color="auto"/>
              <w:left w:val="nil"/>
              <w:bottom w:val="nil"/>
              <w:right w:val="single" w:sz="8" w:space="0" w:color="auto"/>
            </w:tcBorders>
            <w:shd w:val="clear" w:color="000000" w:fill="CCFFCC"/>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1145" w:type="pct"/>
            <w:gridSpan w:val="3"/>
            <w:tcBorders>
              <w:top w:val="single" w:sz="8" w:space="0" w:color="auto"/>
              <w:left w:val="nil"/>
              <w:bottom w:val="single" w:sz="8" w:space="0" w:color="auto"/>
              <w:right w:val="single" w:sz="8" w:space="0" w:color="000000"/>
            </w:tcBorders>
            <w:shd w:val="clear" w:color="000000" w:fill="CCFFCC"/>
            <w:vAlign w:val="bottom"/>
            <w:hideMark/>
          </w:tcPr>
          <w:p w:rsidR="003E1013" w:rsidRPr="003E1013" w:rsidRDefault="003E1013" w:rsidP="003E1013">
            <w:pPr>
              <w:jc w:val="center"/>
              <w:rPr>
                <w:rFonts w:ascii="Lucida Bright" w:hAnsi="Lucida Bright" w:cs="Calibri"/>
                <w:b/>
                <w:bCs/>
                <w:color w:val="000000"/>
                <w:sz w:val="14"/>
                <w:szCs w:val="14"/>
                <w:lang w:val="es-ES"/>
              </w:rPr>
            </w:pPr>
            <w:r w:rsidRPr="003E1013">
              <w:rPr>
                <w:rFonts w:ascii="Lucida Bright" w:hAnsi="Lucida Bright" w:cs="Calibri"/>
                <w:b/>
                <w:bCs/>
                <w:color w:val="000000"/>
                <w:sz w:val="14"/>
                <w:szCs w:val="14"/>
                <w:lang w:val="es-ES"/>
              </w:rPr>
              <w:t>31/12/2024</w:t>
            </w:r>
          </w:p>
        </w:tc>
      </w:tr>
      <w:tr w:rsidR="003E1013" w:rsidRPr="003E1013" w:rsidTr="003E1013">
        <w:trPr>
          <w:trHeight w:val="240"/>
        </w:trPr>
        <w:tc>
          <w:tcPr>
            <w:tcW w:w="491" w:type="pct"/>
            <w:tcBorders>
              <w:top w:val="nil"/>
              <w:left w:val="single" w:sz="8" w:space="0" w:color="auto"/>
              <w:bottom w:val="single" w:sz="8" w:space="0" w:color="auto"/>
              <w:right w:val="nil"/>
            </w:tcBorders>
            <w:shd w:val="clear" w:color="000000" w:fill="CCFFCC"/>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single" w:sz="8" w:space="0" w:color="auto"/>
              <w:right w:val="nil"/>
            </w:tcBorders>
            <w:shd w:val="clear" w:color="000000" w:fill="CCFFCC"/>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37" w:type="pct"/>
            <w:tcBorders>
              <w:top w:val="nil"/>
              <w:left w:val="nil"/>
              <w:bottom w:val="single" w:sz="8" w:space="0" w:color="auto"/>
              <w:right w:val="nil"/>
            </w:tcBorders>
            <w:shd w:val="clear" w:color="000000" w:fill="CCFFCC"/>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04" w:type="pct"/>
            <w:tcBorders>
              <w:top w:val="nil"/>
              <w:left w:val="nil"/>
              <w:bottom w:val="single" w:sz="8" w:space="0" w:color="auto"/>
              <w:right w:val="nil"/>
            </w:tcBorders>
            <w:shd w:val="clear" w:color="000000" w:fill="CCFFCC"/>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86" w:type="pct"/>
            <w:tcBorders>
              <w:top w:val="nil"/>
              <w:left w:val="nil"/>
              <w:bottom w:val="single" w:sz="8" w:space="0" w:color="auto"/>
              <w:right w:val="nil"/>
            </w:tcBorders>
            <w:shd w:val="clear" w:color="000000" w:fill="CCFFCC"/>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464" w:type="pct"/>
            <w:tcBorders>
              <w:top w:val="nil"/>
              <w:left w:val="nil"/>
              <w:bottom w:val="single" w:sz="8" w:space="0" w:color="auto"/>
              <w:right w:val="single" w:sz="8" w:space="0" w:color="auto"/>
            </w:tcBorders>
            <w:shd w:val="clear" w:color="000000" w:fill="CCFFCC"/>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single" w:sz="8" w:space="0" w:color="auto"/>
              <w:right w:val="single" w:sz="8" w:space="0" w:color="auto"/>
            </w:tcBorders>
            <w:shd w:val="clear" w:color="000000" w:fill="CCFFCC"/>
            <w:noWrap/>
            <w:vAlign w:val="bottom"/>
            <w:hideMark/>
          </w:tcPr>
          <w:p w:rsidR="003E1013" w:rsidRPr="003E1013" w:rsidRDefault="003E1013" w:rsidP="003E1013">
            <w:pPr>
              <w:jc w:val="center"/>
              <w:rPr>
                <w:rFonts w:ascii="Lucida Bright" w:hAnsi="Lucida Bright" w:cs="Calibri"/>
                <w:b/>
                <w:bCs/>
                <w:color w:val="000000"/>
                <w:sz w:val="14"/>
                <w:szCs w:val="14"/>
                <w:lang w:val="es-ES"/>
              </w:rPr>
            </w:pPr>
            <w:r w:rsidRPr="003E1013">
              <w:rPr>
                <w:rFonts w:ascii="Lucida Bright" w:hAnsi="Lucida Bright" w:cs="Calibri"/>
                <w:b/>
                <w:bCs/>
                <w:color w:val="000000"/>
                <w:sz w:val="14"/>
                <w:szCs w:val="14"/>
                <w:lang w:val="es-ES"/>
              </w:rPr>
              <w:t>Euros</w:t>
            </w:r>
          </w:p>
        </w:tc>
        <w:tc>
          <w:tcPr>
            <w:tcW w:w="534" w:type="pct"/>
            <w:gridSpan w:val="2"/>
            <w:tcBorders>
              <w:top w:val="nil"/>
              <w:left w:val="nil"/>
              <w:bottom w:val="single" w:sz="8" w:space="0" w:color="auto"/>
              <w:right w:val="single" w:sz="8" w:space="0" w:color="auto"/>
            </w:tcBorders>
            <w:shd w:val="clear" w:color="000000" w:fill="CCFFCC"/>
            <w:noWrap/>
            <w:vAlign w:val="bottom"/>
            <w:hideMark/>
          </w:tcPr>
          <w:p w:rsidR="003E1013" w:rsidRPr="003E1013" w:rsidRDefault="003E1013" w:rsidP="003E1013">
            <w:pPr>
              <w:jc w:val="center"/>
              <w:rPr>
                <w:rFonts w:ascii="Lucida Bright" w:hAnsi="Lucida Bright" w:cs="Calibri"/>
                <w:b/>
                <w:bCs/>
                <w:color w:val="000000"/>
                <w:sz w:val="14"/>
                <w:szCs w:val="14"/>
                <w:lang w:val="es-ES"/>
              </w:rPr>
            </w:pPr>
            <w:r w:rsidRPr="003E1013">
              <w:rPr>
                <w:rFonts w:ascii="Lucida Bright" w:hAnsi="Lucida Bright" w:cs="Calibri"/>
                <w:b/>
                <w:bCs/>
                <w:color w:val="000000"/>
                <w:sz w:val="14"/>
                <w:szCs w:val="14"/>
                <w:lang w:val="es-ES"/>
              </w:rPr>
              <w:t>Vencimiento</w:t>
            </w:r>
          </w:p>
        </w:tc>
      </w:tr>
      <w:tr w:rsidR="003E1013" w:rsidRPr="003E1013" w:rsidTr="003E1013">
        <w:trPr>
          <w:trHeight w:val="225"/>
        </w:trPr>
        <w:tc>
          <w:tcPr>
            <w:tcW w:w="2000" w:type="pct"/>
            <w:gridSpan w:val="3"/>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b/>
                <w:bCs/>
                <w:color w:val="000000"/>
                <w:sz w:val="14"/>
                <w:szCs w:val="14"/>
                <w:lang w:val="es-ES"/>
              </w:rPr>
            </w:pPr>
            <w:r w:rsidRPr="003E1013">
              <w:rPr>
                <w:rFonts w:ascii="Lucida Bright" w:hAnsi="Lucida Bright" w:cs="Calibri"/>
                <w:b/>
                <w:bCs/>
                <w:color w:val="000000"/>
                <w:sz w:val="14"/>
                <w:szCs w:val="14"/>
                <w:lang w:val="es-ES"/>
              </w:rPr>
              <w:t>Deducciones pendientes y otros:</w:t>
            </w: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2000" w:type="pct"/>
            <w:gridSpan w:val="3"/>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Deducciones por inversiones no económicas:</w:t>
            </w: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90.18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Acondicionamiento y reparación del muelle des Jonquet del Cos Nou del puerto de Maó</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54.710,90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52.18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redacción del proyecto constructivo y dirección de obra para la remodelación urbanística del paseo marítimo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276.280,01</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1093-G</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Pantalanes para embarcaciones deportivas en Cala Corb</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502.506,06</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1344</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xml:space="preserve">A.T. para la redacción de los proyectos constructivos y la correspondiente tramitación ambiental de los nuevos atraques y explanadas para el </w:t>
            </w:r>
            <w:r w:rsidR="00AA27CF" w:rsidRPr="003E1013">
              <w:rPr>
                <w:rFonts w:ascii="Lucida Bright" w:hAnsi="Lucida Bright" w:cs="Calibri"/>
                <w:color w:val="000000"/>
                <w:sz w:val="14"/>
                <w:szCs w:val="14"/>
                <w:lang w:val="es-ES"/>
              </w:rPr>
              <w:t>tráfico</w:t>
            </w:r>
            <w:r w:rsidRPr="003E1013">
              <w:rPr>
                <w:rFonts w:ascii="Lucida Bright" w:hAnsi="Lucida Bright" w:cs="Calibri"/>
                <w:color w:val="000000"/>
                <w:sz w:val="14"/>
                <w:szCs w:val="14"/>
                <w:lang w:val="es-ES"/>
              </w:rPr>
              <w:t xml:space="preserve"> de ferrys en el dique del Oeste</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365.077,83</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1345</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Remodelación del Paseo Marítimo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11.202.710,96</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lastRenderedPageBreak/>
              <w:t>P.O. 1095-G</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Rehabilitación de los elementos de protección de la cimentación del Dique de Botafoc</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1.710.801,23</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28.21</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Mejora del sistema de monitorización de la calidad del aire y Plataforma Smart Ambiental.</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131.864,89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54.21</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 las defensas del Puerto de Alcudia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115.951,06</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45.21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Instalación de una red de puntos de recarga de vehículos eléctricos en los puertos de Palma, Alcúdia, Maó, Eivissa y La Savina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282.180,69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41.21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Instalación de marquesinas fotovoltaicas para la recarga de vehículos eléctricos en los puertos de Palma, Alcudia, Mao y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500.658,17</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05.22 (LOTE1)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xml:space="preserve">Suministro, instalación y mantenimiento de 7 nuevos escáneres y arcos de seguridad para las estaciones marítimas de los puertos de Eivissa y Palma. LOTE 1 Estación Marítima </w:t>
            </w:r>
            <w:r w:rsidR="00AA27CF" w:rsidRPr="003E1013">
              <w:rPr>
                <w:rFonts w:ascii="Lucida Bright" w:hAnsi="Lucida Bright" w:cs="Calibri"/>
                <w:color w:val="000000"/>
                <w:sz w:val="14"/>
                <w:szCs w:val="14"/>
                <w:lang w:val="es-ES"/>
              </w:rPr>
              <w:t>número</w:t>
            </w:r>
            <w:r w:rsidRPr="003E1013">
              <w:rPr>
                <w:rFonts w:ascii="Lucida Bright" w:hAnsi="Lucida Bright" w:cs="Calibri"/>
                <w:color w:val="000000"/>
                <w:sz w:val="14"/>
                <w:szCs w:val="14"/>
                <w:lang w:val="es-ES"/>
              </w:rPr>
              <w:t xml:space="preserve"> 2 en el Muelle de Paraires,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3.341,59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05.22 (LOTE2)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Suministro, instalación y mantenimiento de 7 nuevos escáneres y arcos de seguridad para las estaciones marítimas de los puertos de Eivissa y Palma. LOTE 2 Estación Marítima en el Muelle de Botafoc, Puerto de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8.792,30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21.21</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Recuperación de calados en la 1A alineación de los Muelles de Poniente del Puerto de Alcúdia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92.826,50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82.22</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a la dirección de obra, control de calidad y vigilancia ambiental en obras del epígrafe de obras varias y menores de la APB (2023-2024)</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305.441,58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02.21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Acondicionamiento estructural del carril de rodadura de la pasarela móvil n.5 del Muelle Ribera Botafoc en el Puerto de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11.470,12</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55.21</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Demolición de pasarela y pérgola en el Paseo Marítimo del Puerto de Alcúdia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191.715,44</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78.20</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Rehabilitación de las infraestructuras de atraque del Muelle de Ribera del Puerto de Alcúdia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164.476,90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1109-G</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Plan de accesibilidad en los puertos de Eivissa, La Savina, Maó y Alcudia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11.351,51</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1098-G</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Mejora de la carretera Me-3 entre el PK+0,00 y el PK+800, para el acceso al Cós Nou</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8.895,39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lastRenderedPageBreak/>
              <w:t>P.O. 75.19</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del tramo tanque de tormentas del Muelle Ribera en el Puerto de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227.491,03</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98.19</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Reposición de la barandilla del espaldón del Dique del Oeste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361.170,57</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03.21</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Proyecto para la mejora de la red eléctrica de baja tensión en el Puerto de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119.247,14</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92.20</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dirección de obra de la Rehabilitación de los elementos de protección de la cimentación del Dique de Botafoc en el puerto de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297.425,74</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22.22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Actualización del sistema de control de accesos a los muelles comerciales en el Puerto de Alcúdia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49.194,41</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87.22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Prospección geotécnica para el muelle de la Base Naval del Puerto de Maó</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8.139,88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63.22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Pantalanes flotantes para la ubicación de embarcaciones en situación de contingencia en el Puerto de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415.938,00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18.21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del tren de fondeo y pantalanes flotantes del Muelle Pesquero del Puerto de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317.797,99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53.23</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redacción del proyecto de "Mejora de la zona verde situada entre las c/ Gabriel Roca y c/ Moll Comercial del Puerto de Alcúdia"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9.490,00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55.23</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Translocación de colonias de Cladócera Caespitosa afectadas por las obras de "Ampliación del muelle sur de la Isla del Rey, Adecuación del muelle y urbanización de Cala Fonduco y Ampliación de superficie del Muelle de Pasajeros" (P.O.1076-G)</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30.296,62</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89.23</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Sustitución de barandillas metálicas en el carril bici de la autovía Adolfo Suárez en el Puerto de Palma. Fase 2</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245.547,34</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104.23</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 calados en el Molinar de Levante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207.653,15</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41.17 (LOTE1)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redacción del proyecto y dirección de obra de los proyectos de rehabilitación de las infraestructuras de atraque en varios muelles del puerto de Eivissa y la Savina - Lote 1</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18.146,18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1360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Nuevos elementos de atraque en 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37.829,19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lastRenderedPageBreak/>
              <w:t>P.O. 1122-G</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Acondicionamiento y mejora del paramento exterior del espaldón del Dique de Botafoc en el Puerto de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40.326,23</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31/12/2039</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36.21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Contrato de colaboración en I+D entre la Autoridad Portuaria de Baleares y la Universitat Politècnica de Catalunya para el desarrollo de un plan de adaptación al cambio climático para los puertos de la Autoridad Portuaria de Baleares.</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73.800,00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40.17 (LOTE3)</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A.T.para la redacción del proyecto y dirección de obra de los proyectos de rehabilitación de las infraestructuras de atraque en los muelles Paraires y Poniente Sur alin.1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8.380,54</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49.21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Adquisición de pantalanes flotantes de hormigón para la zona pesquera del puerto de Mahón.</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147.369,33</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23.20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Nuevo laser rotativo del sistema de monitorización de atraques de los muelles transversales del Botafoc en el puerto de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29.400,00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1095-G</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Rehabilitación de los elementos de protección de la cimentación del dique de Botafoc</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11.301.014,18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01.20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Actuaciones para la mejora de la accesibilidad de las estaciones marítimas, pasarelas de embarque y oficinas de la APB en 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15.666,20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1344</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xml:space="preserve">A.T. para la redacción de los proyectos constructivos y la correspondiente tramitación ambiental de los nuevos atraques y explanadas para el </w:t>
            </w:r>
            <w:r w:rsidR="00AA27CF" w:rsidRPr="003E1013">
              <w:rPr>
                <w:rFonts w:ascii="Lucida Bright" w:hAnsi="Lucida Bright" w:cs="Calibri"/>
                <w:color w:val="000000"/>
                <w:sz w:val="14"/>
                <w:szCs w:val="14"/>
                <w:lang w:val="es-ES"/>
              </w:rPr>
              <w:t>tráfico</w:t>
            </w:r>
            <w:r w:rsidRPr="003E1013">
              <w:rPr>
                <w:rFonts w:ascii="Lucida Bright" w:hAnsi="Lucida Bright" w:cs="Calibri"/>
                <w:color w:val="000000"/>
                <w:sz w:val="14"/>
                <w:szCs w:val="14"/>
                <w:lang w:val="es-ES"/>
              </w:rPr>
              <w:t xml:space="preserve"> de ferrys en el dique del Oeste</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422.865,98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1340.1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Actuaciones para la mejora de la accesibilidad de los viales y espacios públicos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277.226,49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80.19</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del pavimento de las rotondas de Botafoc en el puerto de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183.424,97</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03.21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Proyecto para la mejora de la red eléctrica de baja tensión en el puerto de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178.891,93</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28.21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Mejora del sistema de monitorización de la calidad del aire y Plataforma Smart Ambiental.</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376.984,81</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lastRenderedPageBreak/>
              <w:t>P.O. 11.20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Conexión del faro de Portopi a la red OTN de la Autoridad Portuaria de Baleares mediante fibra óptica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87.795,89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1345</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Remodelación del Paseo Marítimo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27.561,64</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54.21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 las defensas del puerto de Alcudia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281.239,52</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45.21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Instalación de una red de puntos de recarga de vehículos eléctricos en los puertos de Palma, Alcudia, Mao, Eivissa y La Savina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184.901,12</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41.21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Instalación de marquesinas fotovoltaicas para la recarga de vehículos eléctricos en los puertos de Palma, Alcudia, Mao y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25.595,55</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05.21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Eliminación de barreras arquitectónicas en las aceras y dotación de un parque infantil en el muelle de Cruceros del puerto de Mao</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391.618,49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08.22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Sustitución de la cubierta inclinada del faro de Cala Figuera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71.846,59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18.22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Desarrollo de una propuesta para la biorremediacion con bivalvos en una dársena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12.396,28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21.22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Identificación de suelos contaminados y elaboración de una propuesta para la descontaminación de la zona de Ribera de San Carlos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12.641,00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14.22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Instalación fotovoltaica para autoconsumo de 100KW para la Estación Marítima de Botafoc en el puerto de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80.987,46</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05.22 (LOTE1)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xml:space="preserve">Suministro, instalación y mantenimiento de 7 nuevos escáneres y arcos de seguridad para las estaciones marítimas de los puertos de Eivissa y Palma. LOTE 1 Estación Marítima </w:t>
            </w:r>
            <w:r w:rsidR="00AA27CF" w:rsidRPr="003E1013">
              <w:rPr>
                <w:rFonts w:ascii="Lucida Bright" w:hAnsi="Lucida Bright" w:cs="Calibri"/>
                <w:color w:val="000000"/>
                <w:sz w:val="14"/>
                <w:szCs w:val="14"/>
                <w:lang w:val="es-ES"/>
              </w:rPr>
              <w:t>número</w:t>
            </w:r>
            <w:r w:rsidRPr="003E1013">
              <w:rPr>
                <w:rFonts w:ascii="Lucida Bright" w:hAnsi="Lucida Bright" w:cs="Calibri"/>
                <w:color w:val="000000"/>
                <w:sz w:val="14"/>
                <w:szCs w:val="14"/>
                <w:lang w:val="es-ES"/>
              </w:rPr>
              <w:t xml:space="preserve"> 2 en el muelle de Peraires,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68.304,88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05.22 (LOTE2)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Suministro, instalación y mantenimiento de 7 nuevos escáneres y arcos de seguridad para las estaciones marítimas de los puertos de Eivissa y Palma. LOTE 2 Estación Marítima en el muelle de Botafoc, puerto de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162.229,65</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84.22 (LOTE1)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Suministro de baterías para las señales marítimas de la Autoridad Portuaria de Balears. Lote 1: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5.181,83</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84.22 (LOTE2)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Suministro de baterías para las señales marítimas de la Autoridad Portuaria de Balears. Lote 2: Mao</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3.454,55</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lastRenderedPageBreak/>
              <w:t>P.O. 84.22 (LOTE3)</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Suministro de baterías para las señales marítimas de la Autoridad Portuaria de Balears. Lote 3: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6.909,10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89.22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Prospección geotécnica complementaria del muelle de la Rama Corta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6.651,37</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56.22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Nuevos bolardos de 150 t. en el muelle del Cos Nou del Puerto de Mao.</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46.649,76</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21.21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Recuperación de calados en la 1A alineación de los muelles de Poniente del puerto de Alcudia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123.452,66</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82.22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a la dirección de obra, control de calidad y vigilancia ambiental en obras del epígrafe de obras varias y menores de la APB (2023-2024)</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15.306,12</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02.21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Acondicionamiento estructural del carril de rodadura de la pasarela móvil n.5 del Muelle Ribera Botafoc en el puerto de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139.728,00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92.22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Translocación de colonias de Cladócera Caespitosa afectadas por las obras de los "pantalanes para embarcaciones deportivas en Cala Corb (PO 1093-G) del puerto de Mao.</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63.852,13</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55.21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Demolición de pasarela y pérgola en el paseo marítimo del Puerto de Alcudia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78.509,13</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111.22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Nueva sirena de niebla en el dique del Oeste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25.560,00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78.20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Rehabilitación de las infraestructuras de atraque del muelle de Ribera del puerto de Alcudia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16.270,90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124.15</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el estudio de alternativas, tramitación ambiental y redacción del proyecto constructivo de "Ampliación de la explanada de Poniente del puerto de Alcudia"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19.469,35</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52.18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redacción del proyecto constructivo y dirección de obra para la remodelación urbanística del paseo marítimo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185.442,19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56.18 (LOTE3)</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a la Dirección de obra de “Estación Marítima en Explanada y Muelles Comerciales al abrigo del Dique de Botafoc (P.O. 1087-G)"</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75.182,49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1353</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 accesos superficies y viales en los Muelles de Poniente y Paraires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25.753,78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lastRenderedPageBreak/>
              <w:t>P.O. 1347</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Acondicionamiento de los diques del Portixol y del Molinar</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21.144,01</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1342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Modificación de las pasarelas fijas en los Muelles de Poniente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90.252,10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1337</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Acondicionamiento y mejora estructural del Muelle de San Magín en 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6.481,84</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1116-G</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xml:space="preserve">Rehabilitación de la cubierta y de elementos estructurales del faro de Tagomago </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18.487,39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1109-G</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Plan de accesibilidad en los puertos de Eivissa, La Savina, Maó y Alcudia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28.413,59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1102-G</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del vial de la Ribera de Poniente del puerto de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19.934,47</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1101-G</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Renovación de los sistemas de defensa de los muelles del puerto de Eivissa (Lote 1: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28.519,80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1098-G</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Mejora de la carretera Me-3 entre el PK+0,00 y el PK+800, para el acceso al Cós Nou</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22.554,62</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90.18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Acondicionamiento y reparación del muelle des Jonquet del Cos Nou del puerto de Maó</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xml:space="preserve">27.356,83 </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31/12/2038</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40.17 (LOTE3)</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A.T.para la redacción del proyecto y dirección de obra de los proyectos de rehabilitación de las infraestructuras de atraque en los muelles Paraires y Poniente Sur alin.1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24.915,13</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75.22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Suministro y montaje de tren de fondeo sobre los testeros de los pantalanes B,C y D del Moll de Llevant en el puerto de Mao.</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28.240,00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61.19</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 la urbanización del entorno del edificio de oficinas de la APB en el puerto de Eivissa-Ibiza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517.117,68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lastRenderedPageBreak/>
              <w:t>P.O. 93.19 (LOTE2)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Adquisición de barreras de contención en los puertos de Palma, Eivissa-Ibiza y Maó-Mahón. Lote 2. Mao-Mahón</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101.840,00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09.20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Sustitución de cerramiento del recinto controlado del Puerto de Eivissa-Ibiza.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254.816,43</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28.20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el levantamiento topográfico y redacción del proyecto de actualización y mejora de las redes de pluviales y residuales de los puertos de la APB</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42.635,99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01.20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Actuaciones para la mejora de la accesibilidad de las estaciones marítimas, pasarelas de embarque y oficinas de la APB en 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271.496,29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1344</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xml:space="preserve">A.T. para la redacción de los proyectos constructivos y la correspondiente tramitación ambiental de los nuevos atraques y explanadas para el </w:t>
            </w:r>
            <w:r w:rsidR="00AA27CF" w:rsidRPr="003E1013">
              <w:rPr>
                <w:rFonts w:ascii="Lucida Bright" w:hAnsi="Lucida Bright" w:cs="Calibri"/>
                <w:color w:val="000000"/>
                <w:sz w:val="14"/>
                <w:szCs w:val="14"/>
                <w:lang w:val="es-ES"/>
              </w:rPr>
              <w:t>tráfico</w:t>
            </w:r>
            <w:r w:rsidRPr="003E1013">
              <w:rPr>
                <w:rFonts w:ascii="Lucida Bright" w:hAnsi="Lucida Bright" w:cs="Calibri"/>
                <w:color w:val="000000"/>
                <w:sz w:val="14"/>
                <w:szCs w:val="14"/>
                <w:lang w:val="es-ES"/>
              </w:rPr>
              <w:t xml:space="preserve"> de ferrys en el dique del Oeste</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323.833,62</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1340.1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Actuaciones para la mejora de la accesibilidad de los viales y espacios públicos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238.751,93</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40.19</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 las pilas de la pasarela de conexión entre las estaciones marítimas 1 y 2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115.194,43</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93.20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del parque infantil en la dársena del Molinar de Levante</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13.456,90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99.20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Rehabilitación estructural del cajón situado bajo la rampa RO-RO de los muelles comerciales-dique del puerto de La Savina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73.195,74</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19.21 (LOTE1)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 las dependencias del Cuerpo Nacional de Policía y de la Guardia Civil en la Estación Marítima n.2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16.974,12</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19.21 (LOTE2)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 las dependencias del Cuerpo Nacional de Policía y de la Guardia Civil en la Estación Marítima n.2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3.742,68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07.21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Instalación de un punto de recarga para vehículos eléctricos en el Moll Vell n. 9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8.137,72</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1345</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Remodelación del Paseo Marítimo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829.101,92</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43.21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 la línea aérea de media tensión del faro de Cala Figuera para la protección de la avifauna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11.783,86</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lastRenderedPageBreak/>
              <w:t>P.O. 04.22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Suministro de material anticontaminación para los puertos de Eivissa-Ibiza y La Savina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14.495,45</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30.22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Elaboración de un video representativo y divulgativo del proyecto constructivo para la remodelación del Paseo Marítimo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14.900,00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16.22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del muelle colindante a la Estación Marítima para las operaciones de los transportes turísticos en el Puerto de la Savina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30.732,60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50.22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Suministro de nuevos equipos para balizamiento de naufragios para los puertos de la Autoridad Portuaria de Baleares - Lote 3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15.300,00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1079-G</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Acondicionamiento y mejora estructural del atraque de Levante del Muelle de pasajeros</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296.271,02</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1095-G</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Rehabilitación de los elementos de protección de la cimentación del dique de Botafoc</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147.526,72</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1097-G</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Mejora de la urbanización de las calles Teodoro Canet y Gabriel Roca en el puerto de Alcúdia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11.566,01</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1330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Ampliación de la explanada del Muelle de Poniente Norte en 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412.876,34</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1335</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Actuaciones para la mejora de la operatividad y el entorno Puerto-Ciudad en la dársena del Molinar de Levante</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122.769,32</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144.15</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dirección de obra del proyecto "Ampliación de la explanada del Muelle de Poniente Norte del puerto de Palma"(P.O. 1330)</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41.017,51</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52.18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redacción del proyecto constructivo y dirección de obra para la remodelación urbanística del paseo marítimo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6.822,99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56.18 (LOTE2)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dirección de obra de varias obras incluidas en el plan de inversiones de la APB)- A.T.a la dirección de obra de “Acondicionamiento de viales y zonas peatonales de acceso al puerto de la Savina(p.o.1085-G)</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43.949,65</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56.18 (LOTE3)</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a la Dirección de obra de “Estación Marítima en Explanada y Muelles Comerciales al abrigo del Dique de Botafoc (P.O.1087-G)</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153.785,03</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75.18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Nueva red de drenaje y saneamiento del pavimento del vial de circulación del muelle de ribera del puerto de Alcúdia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32.929,69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lastRenderedPageBreak/>
              <w:t>P.O. 84.18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Sistema de monitorización de la calidad del aire de los puertos de la APB</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15.936,74</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90.18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Acondicionamiento y reparación del muelle des Jonquet del Cos Nou del puerto de Maó</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213.833,53</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31/12/2037</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36.21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Contrato de colaboración en I+D entre la Autoridad Portuaria de Baleares y la Universitat Politècnica de Catalunya para el desarrollo de un plan de adaptación al cambio climático para los puertos de la Autoridad Portuaria de Baleares.</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49.200,00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40.17 (LOTE3)</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A.T.para la redacción del proyecto y dirección de obra de los proyectos de rehabilitación de las infraestructuras de atraque en los muelles Paraires y Poniente Sur alin.1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7.469,81</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52.21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ENCARGO AL CENTRO DE ESTUDIOS Y EXPERIMENTACIÓN DE OBRAS PÚBLICAS O.A. Y M.P. (CEDEX) PARA LA REALIZACIÓN DE UNA VALORACIÓN GLOBAL DE LOS INFORMES REALIZADOS PARA EL ESTUDIO DEL ESTADO DE CORROSIÓN DEL DIQUE BOTAFOC, EN EL PUERTO DE IBIZA.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11.312,00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70.18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Mejora del puesto de inspección al pasajero en la EM del Puerto de Alcudia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45.470,98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93.19 (LOTE1)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Adquisición de barreras de contención en los puertos de Palma, Eivissa y Mao. Lote 1.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97.407,00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93.19 (LOTE3)</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Adquisición de barreras de contención en los puertos de Palma, Eivissa y Mao. Lote 3.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125.440,80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06.15</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Mejora de la pavimentación de la acera del lado mar del camino de la escollera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325.276,31</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28.20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el levantamiento topográfico y redacción del proyecto de actualización y mejora de las redes de pluviales y residuales de los puertos de la APB</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245.685,39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1344</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xml:space="preserve">A.T. para la redacción de los proyectos constructivos y la correspondiente tramitación ambiental de los nuevos atraques y explanadas para el </w:t>
            </w:r>
            <w:r w:rsidR="00AA27CF" w:rsidRPr="003E1013">
              <w:rPr>
                <w:rFonts w:ascii="Lucida Bright" w:hAnsi="Lucida Bright" w:cs="Calibri"/>
                <w:color w:val="000000"/>
                <w:sz w:val="14"/>
                <w:szCs w:val="14"/>
                <w:lang w:val="es-ES"/>
              </w:rPr>
              <w:t>tráfico</w:t>
            </w:r>
            <w:r w:rsidRPr="003E1013">
              <w:rPr>
                <w:rFonts w:ascii="Lucida Bright" w:hAnsi="Lucida Bright" w:cs="Calibri"/>
                <w:color w:val="000000"/>
                <w:sz w:val="14"/>
                <w:szCs w:val="14"/>
                <w:lang w:val="es-ES"/>
              </w:rPr>
              <w:t xml:space="preserve"> de ferrys en el dique del Oeste</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233.267,39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55.20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xml:space="preserve">Estudio de micro simulación de los efectos en el </w:t>
            </w:r>
            <w:r w:rsidR="00AA27CF" w:rsidRPr="003E1013">
              <w:rPr>
                <w:rFonts w:ascii="Lucida Bright" w:hAnsi="Lucida Bright" w:cs="Calibri"/>
                <w:color w:val="000000"/>
                <w:sz w:val="14"/>
                <w:szCs w:val="14"/>
                <w:lang w:val="es-ES"/>
              </w:rPr>
              <w:t>tráfico</w:t>
            </w:r>
            <w:r w:rsidRPr="003E1013">
              <w:rPr>
                <w:rFonts w:ascii="Lucida Bright" w:hAnsi="Lucida Bright" w:cs="Calibri"/>
                <w:color w:val="000000"/>
                <w:sz w:val="14"/>
                <w:szCs w:val="14"/>
                <w:lang w:val="es-ES"/>
              </w:rPr>
              <w:t xml:space="preserve"> de la reducción de un carril en la capacidad del paseo Marítimo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4.633,22</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lastRenderedPageBreak/>
              <w:t>P.O. 33.18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Nuevos recintos para el control de pasaportes en las estaciones marítimas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57.799,00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68.20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Nueva instalación fotovoltaica para el faro dels Penjats</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7.454,08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49.20</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Reposición de la baliza de punta de s'Espero</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59.895,00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84.20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Adquisición de equipos luminosos para la marca lateral de babor 34540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5.989,50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26.19</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Suministro y montaje de sistema de compensación de marea para barrera flotante y lonas de protección para carrete y equipo hidráulico en el puerto de Alcudia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19.987,24</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88.20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Sustitución de la linterna del faro de Tramuntana en la isla de Dragonera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88.100,10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86.20</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Nuevo grupo electrógeno para el faro de Cala Figuera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15.719,88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93.20</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del parque infantil en la dársena del Molinar de Levante</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155.652,22</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100.20</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Sustitución de las baterías del faro de la Isla del Aire</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33.174,36</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19.21 (LOTE1)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 las dependencias del Cuerpo Nacional de Policía y de la Guardia Civil en la Estación Marítima n.2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43.475,88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19.21 (LOTE2)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 las dependencias del Cuerpo Nacional de Policía y de la Guardia Civil en la Estación Marítima n.2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8.008,29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27.21</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Sustitución de la marca lateral de babor de la bocana del Molinar</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7.150,00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32.21</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Colocación de defensas en el Muelle de Levante del puerto de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18.400,00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53.21</w:t>
            </w:r>
          </w:p>
        </w:tc>
        <w:tc>
          <w:tcPr>
            <w:tcW w:w="3364" w:type="pct"/>
            <w:gridSpan w:val="5"/>
            <w:tcBorders>
              <w:top w:val="nil"/>
              <w:left w:val="nil"/>
              <w:bottom w:val="nil"/>
              <w:right w:val="single" w:sz="8" w:space="0" w:color="000000"/>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Sustitución de las baterías del faro Den Pou</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8.570,64</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lastRenderedPageBreak/>
              <w:t>P.O. 1079-G</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Acondicionamiento y mejora estructural del atraque de Levante del Muelle de pasajeros</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2.079,04</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109.18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Suministro, instalación y monitorización de tres puertas correderas para acceso a la zona restringida del muelle de cruceros en el puerto de Maó</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11.809,44</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1091-G</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Actuaciones para la mejora de la eficiencia energética del alumbrado público en el puerto de Maó</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741.157,29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1097-G</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Mejora de la urbanización de las calles Teodoro Canet y Gabriel Roca en el puerto de Alcúdia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802.725,13</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11.19</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Canalización de servicios en los muelles de Paraires y de Poniente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203.265,48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125.18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redacción del proyecto básico para la integración puerto-ciudad en la zona del contramuelle Mollet y redacción del proyecto constructivo de los espacios libres de edificación de los jardines de Sant Elm</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50.567,10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1335</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Actuaciones para la mejora de la operatividad y el entorno Puerto-Ciudad en la dársena del Molinar de Levante</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259.383,17</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14.19</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Sustitución de la antena y su estructura soporte de la estación transmisora DGPS del faro de Maó en la punta de Sant Carles</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16.810,75</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27.18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redacción del proyecto constructivo de mejora del entorno puerto-ciudad y de la operatividad en el puerto del Molinar</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7.292,54</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31.19</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Suministro y colocación de puertas para el acceso restringido a pantalanes de gestión directa en el puerto de Maó</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5.199,98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34.19</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Nuevo recinto para el aparcamiento de vehículos en la parcela del antiguo economato de marina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154.631,86</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40.17 (LOTE2)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redacción del proyecto y dirección de obra de los proyectos de rehabilitación de las estructuras de atraque en los muelles dique Oeste alin. 2 y Ribera San Carlos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31.468,58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40.17 (LOTE1)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redacción del proyecto y dirección de obra de los proyectos de rehabilitación de las infraestructuras de atraque en el muelle adosado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8.084,60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52.18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redacción del proyecto constructivo y dirección de obra para la remodelación urbanística del paseo marítimo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44.858,78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lastRenderedPageBreak/>
              <w:t>P.O. 56.18 (LOTE2)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dirección de obra de varias obras incluidas en el plan de inversiones de la APB)- A.T.a la dirección de obra de “Acondicionamiento de viales y zonas peatonales de acceso al puerto de la Savina(p.o.1085-G)</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70.722,04</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56.18 (LOTE3)</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a la Dirección de obra de Estación Marítima en Explanada y Muelles Comerciales al abrigo del Dique de Botafoc (P.O. 1087-G)</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130.514,93</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64.18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Prolongación del muelle de Ses Figuerasses en el puerto de Maó</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38.389,57</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78.19</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Protección de la banqueta del muelle de transición en la ampliación del muelle de Poniente Norte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85.768,49</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77.19</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Actuaciones para la estabilización del acantilado de Ses Figuerasses en el puerto de Maó</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311.466,85</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82.18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Instalación de un sistema de control de accesos para vehículos al área de operación en la estación marítima nº6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12.135,51</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84.18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Sistema de monitorización de la calidad del aire de los puertos de la APB</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39.260,27</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90.18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Acondicionamiento y reparación del muelle des Jonquet del Cos Nou del puerto de Maó</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19.989,34</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98.17</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Sustitución de la tubería de agua potable en galería de servicios y tendido de la red de Media Tensión en una nueva canalización en el dique del Oeste y el muelle de Ribera de San Carlos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134.207,17</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31/12/2036</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22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61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c>
          <w:tcPr>
            <w:tcW w:w="534" w:type="pct"/>
            <w:gridSpan w:val="2"/>
            <w:tcBorders>
              <w:top w:val="nil"/>
              <w:left w:val="single" w:sz="8" w:space="0" w:color="auto"/>
              <w:bottom w:val="nil"/>
              <w:right w:val="single" w:sz="8" w:space="0" w:color="auto"/>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14.20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Mejora de canalizaciones pluviales en diversas dependencias del Muelle Comercial del puerto de Mao</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6.090,00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1091-G</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Actuaciones para la mejora de la eficiencia energética del alumbrado público en el puerto de Maó</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389.333,28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1092-G</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 superficies en el Muelle Ribera del puerto de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84.591,22</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lastRenderedPageBreak/>
              <w:t>P.O. 1093-G</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Pantalanes para embarcaciones deportivas en Cala Corb</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348.853,74</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110.18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Suministro e instalación de trenes de fondeo para embarcaciones recreativas en el muelle de Ses Figuerasses y la pasarela de Cala Corb del Puerto de Maó</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216.469,54</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122.18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Mejora y adecuación del itinerario peatonal en el interior de los muelles de Poniente y de Paraires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31.545,41</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129.18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del cerramiento de acceso y de la barandilla en el paseo lado mar del Dique del Oeste y en el torrente de Sa Riera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489.803,08</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1335</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Actuaciones para la mejora de la operatividad y el entorno Puerto-Ciudad en la dársena del Molinar de Levante</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1.646.487,60</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1336</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sz w:val="14"/>
                <w:szCs w:val="14"/>
                <w:lang w:val="es-ES"/>
              </w:rPr>
            </w:pPr>
            <w:r w:rsidRPr="003E1013">
              <w:rPr>
                <w:rFonts w:ascii="Lucida Bright" w:hAnsi="Lucida Bright" w:cs="Calibri"/>
                <w:sz w:val="14"/>
                <w:szCs w:val="14"/>
                <w:lang w:val="es-ES"/>
              </w:rPr>
              <w:t>Infraestructuras eléctricas para la conexión eléctrica de los buques a tierra en 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17.560,62</w:t>
            </w:r>
          </w:p>
        </w:tc>
        <w:tc>
          <w:tcPr>
            <w:tcW w:w="534" w:type="pct"/>
            <w:gridSpan w:val="2"/>
            <w:tcBorders>
              <w:top w:val="nil"/>
              <w:left w:val="single" w:sz="8"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1342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Modificación de las pasarelas fijas en los Muelles de Poniente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40.840,34</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16.19</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sz w:val="14"/>
                <w:szCs w:val="14"/>
                <w:lang w:val="es-ES"/>
              </w:rPr>
            </w:pPr>
            <w:r w:rsidRPr="003E1013">
              <w:rPr>
                <w:rFonts w:ascii="Lucida Bright" w:hAnsi="Lucida Bright" w:cs="Calibri"/>
                <w:sz w:val="14"/>
                <w:szCs w:val="14"/>
                <w:lang w:val="es-ES"/>
              </w:rPr>
              <w:t xml:space="preserve">Puerto-ciudad en la dársena del Molinar de Levante  </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187.562,74</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20.12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del recinto controlado del puerto de la Savina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29.973,37</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29.20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Acondicionamiento estructural del tramo del carril bici del puente de Sa Riera en 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30.445,00</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31.18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Instalación de un sistema de control de accesos para vehículos en los Muelles Sur del puerto de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44.359,68</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32.18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Instalación de puntos de recarga de vehículo eléctrico en el puerto de Eivissa y La Savina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9.055,36</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32.19</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Acondicionamiento estructural de la pasarela de Cales Fonts en el puerto de Maó</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93.246,19</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33.19</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Plataforma adosada al muelle Testero del Martillo en el puerto de Eivissa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131.778,90</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lastRenderedPageBreak/>
              <w:t>P.O. 37.18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Limpieza de fondos en la dársena del Molinar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2.900,30</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39.18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Limpieza de fondos en la dársena comercial del puerto de Alcudia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36.590,07</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47.20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Peatonalización parcial de los viales del Moll de Llevant y Moll de Creuers en el puerto de Mao, a raíz de la contingencia ocurrida del COVID-19, que ha desencadenado en el Estado de Alarma nacional declarado por el RD 463/202</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150.362,29</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62.20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Trabajos para la ocupación del carril derecho de circulación del Paseo Marítimo de Palma en sentido aeropuerto por desplazamiento del carril bici y aparcamientos</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39.917,26</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64.18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Prolongación del muelle de Ses Figuerasses en el Puerto de Maó</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383.933,63</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68.18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Actualización y mejoras del sistema de control de accesos de la Estación Marítima nº 6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16.779,80</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69.18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 las salas destinadas a Policía Nacional, Guardia Civil y cuarto de registro de equipajes en la estación marítima nº6 del Puerto de Palma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20.469,42</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71.19</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del balizamiento de los puertos de Eivissa y La Savina</w:t>
            </w:r>
          </w:p>
        </w:tc>
        <w:tc>
          <w:tcPr>
            <w:tcW w:w="611" w:type="pct"/>
            <w:tcBorders>
              <w:top w:val="nil"/>
              <w:left w:val="nil"/>
              <w:bottom w:val="nil"/>
              <w:right w:val="nil"/>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22.542,30</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74.18 (LOTE1)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Renovación de instalaciones de servicios y torretas de suministro en Muelle Viejo, Muelle de tráfico local y Muelle pesquero del puerto de Alcúdia</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274.207,64</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74.18 (LOTE2)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Renovación de instalaciones de servicios y torretas de suministro en Muelle Viejo, Muelle de tráfico local y Muelle pesquero del puerto de Alcúdia</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104.905,05</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75.18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Nueva red de drenaje y saneo del pavimento del vial de circulación del muelle de Ribera del Puerto de Alcudia</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386.746,41</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77.19</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Actuaciones para la estabilización del acantilado de Ses Figuerasses en el puerto de Maó</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25.289,96</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78.19</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Protección de la banqueta del muelle de Transición en la ampliación del muelle de Poniente Norte del puerto de Palma</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17.255,70</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82.18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Instalación de un sistema de control de accesos para vehículos al área de operación en la estación marítima nº6 del puerto de Palma</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92.760,80</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lastRenderedPageBreak/>
              <w:t>P.O. 90.18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Acondicionamiento y reparación del muelle des Jonquet del Cos Nou del puerto de Maó</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316.927,25</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98.17</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Sustitución de la tubería de agua potable en galería de servicios y tendido de la red de Media Tensión en una nueva canalización en el Dique del Oeste y el Muelle de Ribera de San Carlos del puerto de Palma</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392.104,26</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126.18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Adecuación de la pasarela nº5 del muelle Ribera de Botafoc en el puerto de Eivissa</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139.332,17</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40.17 (LOTE1)</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redacción del proyecto y dirección de obra de los proyectos de rehabilitación de las infraestructuras de atraque en el muelle adosado del Puerto de Palma</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6.063,46</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40.17 (LOTE2)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redacción del proyecto y dirección de obra de los proyectos de rehabilitación de las estructuras de atraque en los muelles Dique del oeste alin. 2 y Ribera San Carlos Puerto de Palma</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17.269,99</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40.17 (LOTE3)</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A.T.para la redacción del proyecto y dirección de obra de los proyectos de rehabilitación de las infraestructuras de atraque en los muelles Paraires y Poniente Sur alin.1 del Puerto de Palma</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7.469,81</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69.20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redacción del estudio de alternativas para la mejora de la operatividad para el uso pesquero en el Muelle Ro-Ro Sur del puerto de Eivissa</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9.768,00</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124.15</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el estudio de alternativas, tramitación ambiental y redacción del proyecto constructivo de "Ampliación de la explanada de Poniente del puerto de Alcudia"</w:t>
            </w:r>
          </w:p>
        </w:tc>
        <w:tc>
          <w:tcPr>
            <w:tcW w:w="611" w:type="pct"/>
            <w:tcBorders>
              <w:top w:val="nil"/>
              <w:left w:val="nil"/>
              <w:bottom w:val="nil"/>
              <w:right w:val="single" w:sz="4" w:space="0" w:color="auto"/>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4.288,76</w:t>
            </w:r>
          </w:p>
        </w:tc>
        <w:tc>
          <w:tcPr>
            <w:tcW w:w="534" w:type="pct"/>
            <w:gridSpan w:val="2"/>
            <w:tcBorders>
              <w:top w:val="nil"/>
              <w:left w:val="nil"/>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125.18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redacción del proyecto básico para la integración puerto-ciudad en la zona del contramuelle Mollet y redacción del proyecto constructivo de los espacios libres de edificación de los jardines de Sant Elm</w:t>
            </w:r>
          </w:p>
        </w:tc>
        <w:tc>
          <w:tcPr>
            <w:tcW w:w="611" w:type="pct"/>
            <w:tcBorders>
              <w:top w:val="nil"/>
              <w:left w:val="nil"/>
              <w:bottom w:val="nil"/>
              <w:right w:val="single" w:sz="4" w:space="0" w:color="auto"/>
            </w:tcBorders>
            <w:shd w:val="clear" w:color="auto" w:fill="auto"/>
            <w:noWrap/>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39.326,93</w:t>
            </w:r>
          </w:p>
        </w:tc>
        <w:tc>
          <w:tcPr>
            <w:tcW w:w="534" w:type="pct"/>
            <w:gridSpan w:val="2"/>
            <w:tcBorders>
              <w:top w:val="nil"/>
              <w:left w:val="nil"/>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144.15</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dirección de obra del proyecto "Ampliación de la explanada del Muelle de Poniente Norte del puerto de Palma"(P.O. 1330)</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86.282,18</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52.18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redacción del proyecto constructivo y dirección de obra para la remodelación urbanística del paseo marítimo de Palma</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210.950,51</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56.18 (LOTE2)</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dirección de obra de varias obras incluidas en el plan de inversiones de la APB)- A.T.a la dirección de obra de “Acondicionamiento de viales y zonas peatonales de acceso al puerto de la Savina(p.o.1085-G)</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90.288,68</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56.18 (LOTE3)</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a la Dirección de obra de “Estación Marítima en Explanada y Muelles Comerciales al abrigo del Dique de Botafoc (P.O. 1087-G)</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128.177,28</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63.17</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A.T. para la realización del plan de vigilancia ambiental, en fase de explotación, del proyecto de "Explanada de los Muelles Comerciales al abrigo del Dique de Botafoc" del puerto de Eivissa en el periodo 2017-2019</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50.800,00</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lastRenderedPageBreak/>
              <w:t>P.O. 36.20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xml:space="preserve">Suministro de cámara termo gráfica de gran capacidad para el control de temperatura (COVID-19) colectivo en el puerto de Ibiza, para el </w:t>
            </w:r>
            <w:r w:rsidR="00AA27CF" w:rsidRPr="003E1013">
              <w:rPr>
                <w:rFonts w:ascii="Lucida Bright" w:hAnsi="Lucida Bright" w:cs="Calibri"/>
                <w:color w:val="000000"/>
                <w:sz w:val="14"/>
                <w:szCs w:val="14"/>
                <w:lang w:val="es-ES"/>
              </w:rPr>
              <w:t>tráfico</w:t>
            </w:r>
            <w:r w:rsidRPr="003E1013">
              <w:rPr>
                <w:rFonts w:ascii="Lucida Bright" w:hAnsi="Lucida Bright" w:cs="Calibri"/>
                <w:color w:val="000000"/>
                <w:sz w:val="14"/>
                <w:szCs w:val="14"/>
                <w:lang w:val="es-ES"/>
              </w:rPr>
              <w:t xml:space="preserve"> Eivissa-la Savina</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14.910,00</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35.20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 xml:space="preserve">Suministro de cámaras termo gráficas de mano para el control individual de temperatura (COVID-19) en el puerto de Ibiza, para el </w:t>
            </w:r>
            <w:r w:rsidR="00AA27CF" w:rsidRPr="003E1013">
              <w:rPr>
                <w:rFonts w:ascii="Lucida Bright" w:hAnsi="Lucida Bright" w:cs="Calibri"/>
                <w:color w:val="000000"/>
                <w:sz w:val="14"/>
                <w:szCs w:val="14"/>
                <w:lang w:val="es-ES"/>
              </w:rPr>
              <w:t>tráfico</w:t>
            </w:r>
            <w:r w:rsidRPr="003E1013">
              <w:rPr>
                <w:rFonts w:ascii="Lucida Bright" w:hAnsi="Lucida Bright" w:cs="Calibri"/>
                <w:color w:val="000000"/>
                <w:sz w:val="14"/>
                <w:szCs w:val="14"/>
                <w:lang w:val="es-ES"/>
              </w:rPr>
              <w:t xml:space="preserve"> Eivissa-La Savina</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6.230,00</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39.20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Suministro de equipamiento para la toma de temperatura en cumplimiento del Decreto 2/2020 de la CAIB, en los puertos de Palma, Alcudia y Mao</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10.725,00</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46.20</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Suministro de módulos de sombra para las colas de espera del pasaje en exterior durante los controles sanitarios en cumplimiento del Decreto 2/2020 de la CAIB, en los puertos de Eivissa y La Savina.</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12.900,00</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109.18</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Suministro, instalación y monitorización de tres puertas correderas para acceso a la zona restringida del muelle de cruceros en el puerto de Maó</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122.228,06</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nil"/>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14.19</w:t>
            </w:r>
          </w:p>
        </w:tc>
        <w:tc>
          <w:tcPr>
            <w:tcW w:w="3364" w:type="pct"/>
            <w:gridSpan w:val="5"/>
            <w:tcBorders>
              <w:top w:val="nil"/>
              <w:left w:val="nil"/>
              <w:bottom w:val="nil"/>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Sustitución de la antena y su estructura soporte de la estación transmisora DGPS del faro de Maó en la punta de Sant Carles</w:t>
            </w:r>
          </w:p>
        </w:tc>
        <w:tc>
          <w:tcPr>
            <w:tcW w:w="611" w:type="pct"/>
            <w:tcBorders>
              <w:top w:val="nil"/>
              <w:left w:val="nil"/>
              <w:bottom w:val="nil"/>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162.564,66</w:t>
            </w:r>
          </w:p>
        </w:tc>
        <w:tc>
          <w:tcPr>
            <w:tcW w:w="534" w:type="pct"/>
            <w:gridSpan w:val="2"/>
            <w:tcBorders>
              <w:top w:val="nil"/>
              <w:left w:val="single" w:sz="4" w:space="0" w:color="auto"/>
              <w:bottom w:val="nil"/>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885"/>
        </w:trPr>
        <w:tc>
          <w:tcPr>
            <w:tcW w:w="491" w:type="pct"/>
            <w:tcBorders>
              <w:top w:val="nil"/>
              <w:left w:val="single" w:sz="8" w:space="0" w:color="auto"/>
              <w:bottom w:val="single" w:sz="8" w:space="0" w:color="auto"/>
              <w:right w:val="nil"/>
            </w:tcBorders>
            <w:shd w:val="clear" w:color="auto" w:fill="auto"/>
            <w:noWrap/>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P.O. 31.19</w:t>
            </w:r>
          </w:p>
        </w:tc>
        <w:tc>
          <w:tcPr>
            <w:tcW w:w="3364" w:type="pct"/>
            <w:gridSpan w:val="5"/>
            <w:tcBorders>
              <w:top w:val="nil"/>
              <w:left w:val="nil"/>
              <w:bottom w:val="single" w:sz="8" w:space="0" w:color="auto"/>
              <w:right w:val="single" w:sz="8" w:space="0" w:color="000000"/>
            </w:tcBorders>
            <w:shd w:val="clear" w:color="auto" w:fill="auto"/>
            <w:vAlign w:val="center"/>
            <w:hideMark/>
          </w:tcPr>
          <w:p w:rsidR="003E1013" w:rsidRPr="003E1013" w:rsidRDefault="003E1013" w:rsidP="003E1013">
            <w:pP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Suministro y colocación de puertas para el acceso restringido a pantalanes de gestión directa en el puerto de Maó</w:t>
            </w:r>
          </w:p>
        </w:tc>
        <w:tc>
          <w:tcPr>
            <w:tcW w:w="611" w:type="pct"/>
            <w:tcBorders>
              <w:top w:val="nil"/>
              <w:left w:val="nil"/>
              <w:bottom w:val="single" w:sz="8" w:space="0" w:color="auto"/>
              <w:right w:val="nil"/>
            </w:tcBorders>
            <w:shd w:val="clear" w:color="auto" w:fill="auto"/>
            <w:vAlign w:val="center"/>
            <w:hideMark/>
          </w:tcPr>
          <w:p w:rsidR="003E1013" w:rsidRPr="003E1013" w:rsidRDefault="003E1013" w:rsidP="003E1013">
            <w:pPr>
              <w:jc w:val="right"/>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52.700,00</w:t>
            </w:r>
          </w:p>
        </w:tc>
        <w:tc>
          <w:tcPr>
            <w:tcW w:w="534" w:type="pct"/>
            <w:gridSpan w:val="2"/>
            <w:tcBorders>
              <w:top w:val="nil"/>
              <w:left w:val="single" w:sz="4" w:space="0" w:color="auto"/>
              <w:bottom w:val="single" w:sz="8" w:space="0" w:color="auto"/>
              <w:right w:val="single" w:sz="8" w:space="0" w:color="auto"/>
            </w:tcBorders>
            <w:shd w:val="clear" w:color="auto" w:fill="auto"/>
            <w:noWrap/>
            <w:vAlign w:val="center"/>
            <w:hideMark/>
          </w:tcPr>
          <w:p w:rsidR="003E1013" w:rsidRPr="003E1013" w:rsidRDefault="003E1013" w:rsidP="003E1013">
            <w:pPr>
              <w:jc w:val="center"/>
              <w:rPr>
                <w:rFonts w:ascii="Lucida Bright" w:hAnsi="Lucida Bright" w:cs="Calibri"/>
                <w:color w:val="000000"/>
                <w:sz w:val="14"/>
                <w:szCs w:val="14"/>
                <w:lang w:val="es-ES"/>
              </w:rPr>
            </w:pPr>
            <w:r w:rsidRPr="003E1013">
              <w:rPr>
                <w:rFonts w:ascii="Lucida Bright" w:hAnsi="Lucida Bright" w:cs="Calibri"/>
                <w:color w:val="000000"/>
                <w:sz w:val="14"/>
                <w:szCs w:val="14"/>
                <w:lang w:val="es-ES"/>
              </w:rPr>
              <w:t>31/12/2035</w:t>
            </w:r>
          </w:p>
        </w:tc>
      </w:tr>
      <w:tr w:rsidR="003E1013" w:rsidRPr="003E1013" w:rsidTr="003E1013">
        <w:trPr>
          <w:trHeight w:val="240"/>
        </w:trPr>
        <w:tc>
          <w:tcPr>
            <w:tcW w:w="491"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72"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37"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70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86"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464" w:type="pct"/>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c>
          <w:tcPr>
            <w:tcW w:w="611" w:type="pct"/>
            <w:tcBorders>
              <w:top w:val="nil"/>
              <w:left w:val="single" w:sz="8" w:space="0" w:color="auto"/>
              <w:bottom w:val="single" w:sz="8" w:space="0" w:color="auto"/>
              <w:right w:val="single" w:sz="8" w:space="0" w:color="auto"/>
            </w:tcBorders>
            <w:shd w:val="clear" w:color="auto" w:fill="auto"/>
            <w:noWrap/>
            <w:vAlign w:val="bottom"/>
            <w:hideMark/>
          </w:tcPr>
          <w:p w:rsidR="003E1013" w:rsidRPr="003E1013" w:rsidRDefault="003E1013" w:rsidP="003E1013">
            <w:pPr>
              <w:jc w:val="right"/>
              <w:rPr>
                <w:rFonts w:ascii="Lucida Bright" w:hAnsi="Lucida Bright" w:cs="Calibri"/>
                <w:b/>
                <w:bCs/>
                <w:color w:val="000000"/>
                <w:sz w:val="14"/>
                <w:szCs w:val="14"/>
                <w:lang w:val="es-ES"/>
              </w:rPr>
            </w:pPr>
            <w:r w:rsidRPr="003E1013">
              <w:rPr>
                <w:rFonts w:ascii="Lucida Bright" w:hAnsi="Lucida Bright" w:cs="Calibri"/>
                <w:b/>
                <w:bCs/>
                <w:color w:val="000000"/>
                <w:sz w:val="14"/>
                <w:szCs w:val="14"/>
                <w:lang w:val="es-ES"/>
              </w:rPr>
              <w:t>50.409.644,85</w:t>
            </w:r>
          </w:p>
        </w:tc>
        <w:tc>
          <w:tcPr>
            <w:tcW w:w="534" w:type="pct"/>
            <w:gridSpan w:val="2"/>
            <w:tcBorders>
              <w:top w:val="nil"/>
              <w:left w:val="nil"/>
              <w:bottom w:val="nil"/>
              <w:right w:val="nil"/>
            </w:tcBorders>
            <w:shd w:val="clear" w:color="auto" w:fill="auto"/>
            <w:noWrap/>
            <w:vAlign w:val="bottom"/>
            <w:hideMark/>
          </w:tcPr>
          <w:p w:rsidR="003E1013" w:rsidRPr="003E1013" w:rsidRDefault="003E1013" w:rsidP="003E1013">
            <w:pPr>
              <w:rPr>
                <w:rFonts w:ascii="Lucida Bright" w:hAnsi="Lucida Bright" w:cs="Calibri"/>
                <w:color w:val="000000"/>
                <w:sz w:val="14"/>
                <w:szCs w:val="14"/>
                <w:lang w:val="es-ES"/>
              </w:rPr>
            </w:pPr>
          </w:p>
        </w:tc>
      </w:tr>
    </w:tbl>
    <w:p w:rsidR="003C1CA3" w:rsidRDefault="003C1CA3" w:rsidP="00BD6CD8">
      <w:pPr>
        <w:tabs>
          <w:tab w:val="right" w:pos="8364"/>
        </w:tabs>
        <w:jc w:val="both"/>
        <w:rPr>
          <w:bCs/>
        </w:rPr>
      </w:pPr>
    </w:p>
    <w:p w:rsidR="003C1CA3" w:rsidRDefault="003C1CA3">
      <w:pPr>
        <w:tabs>
          <w:tab w:val="right" w:pos="8364"/>
        </w:tabs>
        <w:ind w:firstLine="540"/>
        <w:jc w:val="both"/>
        <w:rPr>
          <w:bCs/>
          <w:noProof/>
          <w:lang w:val="es-ES"/>
        </w:rPr>
      </w:pPr>
    </w:p>
    <w:p w:rsidR="00BD6CD8" w:rsidRDefault="00BD6CD8" w:rsidP="00BD6CD8">
      <w:pPr>
        <w:tabs>
          <w:tab w:val="right" w:pos="8364"/>
        </w:tabs>
        <w:jc w:val="both"/>
        <w:rPr>
          <w:bCs/>
          <w:noProof/>
          <w:lang w:val="es-ES"/>
        </w:rPr>
      </w:pPr>
    </w:p>
    <w:p w:rsidR="007131C1" w:rsidRPr="00B24373" w:rsidRDefault="007131C1">
      <w:pPr>
        <w:tabs>
          <w:tab w:val="right" w:pos="8364"/>
        </w:tabs>
        <w:ind w:firstLine="540"/>
        <w:jc w:val="both"/>
        <w:rPr>
          <w:rFonts w:ascii="NewBaskerville" w:hAnsi="NewBaskerville"/>
          <w:bCs/>
        </w:rPr>
      </w:pPr>
      <w:r w:rsidRPr="00B24373">
        <w:rPr>
          <w:rFonts w:ascii="NewBaskerville" w:hAnsi="NewBaskerville"/>
          <w:bCs/>
        </w:rPr>
        <w:t>No se han aplicado en el ejercicio 202</w:t>
      </w:r>
      <w:r w:rsidR="00753A94" w:rsidRPr="00B24373">
        <w:rPr>
          <w:rFonts w:ascii="NewBaskerville" w:hAnsi="NewBaskerville"/>
          <w:bCs/>
        </w:rPr>
        <w:t>4</w:t>
      </w:r>
      <w:r w:rsidRPr="00B24373">
        <w:rPr>
          <w:rFonts w:ascii="NewBaskerville" w:hAnsi="NewBaskerville"/>
          <w:bCs/>
        </w:rPr>
        <w:t xml:space="preserve"> deducciones pendientes de tomar de ejercicios anteriores.</w:t>
      </w:r>
    </w:p>
    <w:p w:rsidR="003C1CA3" w:rsidRDefault="003C1CA3">
      <w:pPr>
        <w:tabs>
          <w:tab w:val="right" w:pos="8364"/>
        </w:tabs>
        <w:ind w:firstLine="540"/>
        <w:jc w:val="both"/>
        <w:rPr>
          <w:bCs/>
        </w:rPr>
      </w:pPr>
    </w:p>
    <w:p w:rsidR="00BD6CD8" w:rsidRDefault="00BD6CD8" w:rsidP="00D14CEC">
      <w:pPr>
        <w:tabs>
          <w:tab w:val="right" w:pos="8364"/>
        </w:tabs>
        <w:jc w:val="both"/>
        <w:rPr>
          <w:bCs/>
        </w:rPr>
      </w:pPr>
    </w:p>
    <w:p w:rsidR="005A503C" w:rsidRPr="00865CED" w:rsidRDefault="005A503C">
      <w:pPr>
        <w:tabs>
          <w:tab w:val="right" w:pos="8364"/>
        </w:tabs>
        <w:ind w:firstLine="540"/>
        <w:jc w:val="both"/>
        <w:rPr>
          <w:rFonts w:ascii="NewBaskerville" w:hAnsi="NewBaskerville"/>
          <w:bCs/>
        </w:rPr>
      </w:pPr>
      <w:r w:rsidRPr="00865CED">
        <w:rPr>
          <w:rFonts w:ascii="NewBaskerville" w:hAnsi="NewBaskerville"/>
          <w:bCs/>
          <w:u w:val="single"/>
        </w:rPr>
        <w:t>Pasivos por impuesto diferido.</w:t>
      </w:r>
    </w:p>
    <w:p w:rsidR="005A503C" w:rsidRPr="00865CED" w:rsidRDefault="005A503C">
      <w:pPr>
        <w:tabs>
          <w:tab w:val="right" w:pos="8364"/>
        </w:tabs>
        <w:ind w:firstLine="540"/>
        <w:jc w:val="both"/>
        <w:rPr>
          <w:rFonts w:ascii="NewBaskerville" w:hAnsi="NewBaskerville"/>
          <w:bCs/>
        </w:rPr>
      </w:pPr>
    </w:p>
    <w:p w:rsidR="005A503C" w:rsidRDefault="005A503C">
      <w:pPr>
        <w:tabs>
          <w:tab w:val="right" w:pos="8364"/>
        </w:tabs>
        <w:ind w:firstLine="540"/>
        <w:jc w:val="both"/>
        <w:rPr>
          <w:rFonts w:ascii="NewBaskerville" w:hAnsi="NewBaskerville"/>
          <w:bCs/>
        </w:rPr>
      </w:pPr>
      <w:r w:rsidRPr="00865CED">
        <w:rPr>
          <w:rFonts w:ascii="NewBaskerville" w:hAnsi="NewBaskerville"/>
          <w:bCs/>
        </w:rPr>
        <w:t>El detalle del saldo de esta cuenta al cierre del ejercicio 202</w:t>
      </w:r>
      <w:r w:rsidR="00737679">
        <w:rPr>
          <w:rFonts w:ascii="NewBaskerville" w:hAnsi="NewBaskerville"/>
          <w:bCs/>
        </w:rPr>
        <w:t>4</w:t>
      </w:r>
      <w:r w:rsidRPr="00865CED">
        <w:rPr>
          <w:rFonts w:ascii="NewBaskerville" w:hAnsi="NewBaskerville"/>
          <w:bCs/>
        </w:rPr>
        <w:t xml:space="preserve"> y 20</w:t>
      </w:r>
      <w:r w:rsidR="00865CED">
        <w:rPr>
          <w:rFonts w:ascii="NewBaskerville" w:hAnsi="NewBaskerville"/>
          <w:bCs/>
        </w:rPr>
        <w:t>2</w:t>
      </w:r>
      <w:r w:rsidR="00737679">
        <w:rPr>
          <w:rFonts w:ascii="NewBaskerville" w:hAnsi="NewBaskerville"/>
          <w:bCs/>
        </w:rPr>
        <w:t>3</w:t>
      </w:r>
      <w:r w:rsidRPr="00865CED">
        <w:rPr>
          <w:rFonts w:ascii="NewBaskerville" w:hAnsi="NewBaskerville"/>
          <w:bCs/>
        </w:rPr>
        <w:t xml:space="preserve"> es el siguiente:</w:t>
      </w:r>
    </w:p>
    <w:tbl>
      <w:tblPr>
        <w:tblW w:w="6320" w:type="dxa"/>
        <w:tblInd w:w="55" w:type="dxa"/>
        <w:tblCellMar>
          <w:left w:w="70" w:type="dxa"/>
          <w:right w:w="70" w:type="dxa"/>
        </w:tblCellMar>
        <w:tblLook w:val="04A0" w:firstRow="1" w:lastRow="0" w:firstColumn="1" w:lastColumn="0" w:noHBand="0" w:noVBand="1"/>
      </w:tblPr>
      <w:tblGrid>
        <w:gridCol w:w="1200"/>
        <w:gridCol w:w="1200"/>
        <w:gridCol w:w="1200"/>
        <w:gridCol w:w="1360"/>
        <w:gridCol w:w="1360"/>
      </w:tblGrid>
      <w:tr w:rsidR="00737679" w:rsidRPr="00737679" w:rsidTr="00737679">
        <w:trPr>
          <w:trHeight w:val="240"/>
        </w:trPr>
        <w:tc>
          <w:tcPr>
            <w:tcW w:w="3600" w:type="dxa"/>
            <w:gridSpan w:val="3"/>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b/>
                <w:bCs/>
                <w:color w:val="000000"/>
                <w:sz w:val="16"/>
                <w:szCs w:val="16"/>
                <w:lang w:val="es-ES"/>
              </w:rPr>
            </w:pPr>
            <w:r w:rsidRPr="00737679">
              <w:rPr>
                <w:rFonts w:ascii="Lucida Bright" w:hAnsi="Lucida Bright" w:cs="Calibri"/>
                <w:b/>
                <w:bCs/>
                <w:color w:val="000000"/>
                <w:sz w:val="16"/>
                <w:szCs w:val="16"/>
                <w:lang w:val="es-ES"/>
              </w:rPr>
              <w:t>Pasivos por impuesto diferido</w:t>
            </w:r>
          </w:p>
        </w:tc>
        <w:tc>
          <w:tcPr>
            <w:tcW w:w="1360"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6"/>
                <w:szCs w:val="16"/>
                <w:lang w:val="es-ES"/>
              </w:rPr>
            </w:pPr>
          </w:p>
        </w:tc>
        <w:tc>
          <w:tcPr>
            <w:tcW w:w="1360"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6"/>
                <w:szCs w:val="16"/>
                <w:lang w:val="es-ES"/>
              </w:rPr>
            </w:pPr>
          </w:p>
        </w:tc>
      </w:tr>
      <w:tr w:rsidR="00737679" w:rsidRPr="00737679" w:rsidTr="00737679">
        <w:trPr>
          <w:trHeight w:val="240"/>
        </w:trPr>
        <w:tc>
          <w:tcPr>
            <w:tcW w:w="1200" w:type="dxa"/>
            <w:tcBorders>
              <w:top w:val="single" w:sz="8" w:space="0" w:color="auto"/>
              <w:left w:val="single" w:sz="8" w:space="0" w:color="auto"/>
              <w:bottom w:val="nil"/>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00" w:type="dxa"/>
            <w:tcBorders>
              <w:top w:val="single" w:sz="8" w:space="0" w:color="auto"/>
              <w:left w:val="nil"/>
              <w:bottom w:val="nil"/>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00" w:type="dxa"/>
            <w:tcBorders>
              <w:top w:val="single" w:sz="8" w:space="0" w:color="auto"/>
              <w:left w:val="nil"/>
              <w:bottom w:val="nil"/>
              <w:right w:val="single" w:sz="8" w:space="0" w:color="auto"/>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720" w:type="dxa"/>
            <w:gridSpan w:val="2"/>
            <w:tcBorders>
              <w:top w:val="single" w:sz="8" w:space="0" w:color="auto"/>
              <w:left w:val="nil"/>
              <w:bottom w:val="single" w:sz="8" w:space="0" w:color="auto"/>
              <w:right w:val="single" w:sz="8" w:space="0" w:color="000000"/>
            </w:tcBorders>
            <w:shd w:val="clear" w:color="000000" w:fill="CCFFCC"/>
            <w:noWrap/>
            <w:vAlign w:val="center"/>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Euros</w:t>
            </w:r>
          </w:p>
        </w:tc>
      </w:tr>
      <w:tr w:rsidR="00737679" w:rsidRPr="00737679" w:rsidTr="00737679">
        <w:trPr>
          <w:trHeight w:val="240"/>
        </w:trPr>
        <w:tc>
          <w:tcPr>
            <w:tcW w:w="1200" w:type="dxa"/>
            <w:tcBorders>
              <w:top w:val="nil"/>
              <w:left w:val="single" w:sz="8" w:space="0" w:color="auto"/>
              <w:bottom w:val="single" w:sz="8" w:space="0" w:color="auto"/>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00" w:type="dxa"/>
            <w:tcBorders>
              <w:top w:val="nil"/>
              <w:left w:val="nil"/>
              <w:bottom w:val="single" w:sz="8" w:space="0" w:color="auto"/>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00" w:type="dxa"/>
            <w:tcBorders>
              <w:top w:val="nil"/>
              <w:left w:val="nil"/>
              <w:bottom w:val="single" w:sz="8" w:space="0" w:color="auto"/>
              <w:right w:val="single" w:sz="8" w:space="0" w:color="auto"/>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single" w:sz="8" w:space="0" w:color="auto"/>
              <w:right w:val="single" w:sz="8" w:space="0" w:color="auto"/>
            </w:tcBorders>
            <w:shd w:val="clear" w:color="000000" w:fill="CCFFCC"/>
            <w:noWrap/>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2024</w:t>
            </w:r>
          </w:p>
        </w:tc>
        <w:tc>
          <w:tcPr>
            <w:tcW w:w="1360" w:type="dxa"/>
            <w:tcBorders>
              <w:top w:val="nil"/>
              <w:left w:val="nil"/>
              <w:bottom w:val="single" w:sz="8" w:space="0" w:color="auto"/>
              <w:right w:val="single" w:sz="8" w:space="0" w:color="auto"/>
            </w:tcBorders>
            <w:shd w:val="clear" w:color="000000" w:fill="CCFFCC"/>
            <w:noWrap/>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2023</w:t>
            </w:r>
          </w:p>
        </w:tc>
      </w:tr>
      <w:tr w:rsidR="00737679" w:rsidRPr="00737679" w:rsidTr="00737679">
        <w:trPr>
          <w:trHeight w:val="225"/>
        </w:trPr>
        <w:tc>
          <w:tcPr>
            <w:tcW w:w="2400" w:type="dxa"/>
            <w:gridSpan w:val="2"/>
            <w:tcBorders>
              <w:top w:val="single" w:sz="8" w:space="0" w:color="auto"/>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Subvenciones de capital</w:t>
            </w:r>
          </w:p>
        </w:tc>
        <w:tc>
          <w:tcPr>
            <w:tcW w:w="120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6.839.180,87</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6.378.501,11</w:t>
            </w:r>
          </w:p>
        </w:tc>
      </w:tr>
      <w:tr w:rsidR="00737679" w:rsidRPr="00737679" w:rsidTr="00737679">
        <w:trPr>
          <w:trHeight w:val="225"/>
        </w:trPr>
        <w:tc>
          <w:tcPr>
            <w:tcW w:w="1200" w:type="dxa"/>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00"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20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3600" w:type="dxa"/>
            <w:gridSpan w:val="3"/>
            <w:tcBorders>
              <w:top w:val="nil"/>
              <w:left w:val="single" w:sz="8" w:space="0" w:color="auto"/>
              <w:bottom w:val="nil"/>
              <w:right w:val="single" w:sz="8" w:space="0" w:color="000000"/>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Diferencias amortización contable y fiscal</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600,79</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767,47</w:t>
            </w:r>
          </w:p>
        </w:tc>
      </w:tr>
      <w:tr w:rsidR="00737679" w:rsidRPr="00737679" w:rsidTr="00737679">
        <w:trPr>
          <w:trHeight w:val="225"/>
        </w:trPr>
        <w:tc>
          <w:tcPr>
            <w:tcW w:w="1200" w:type="dxa"/>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 </w:t>
            </w:r>
          </w:p>
        </w:tc>
        <w:tc>
          <w:tcPr>
            <w:tcW w:w="1200"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20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1200" w:type="dxa"/>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i/>
                <w:iCs/>
                <w:color w:val="000000"/>
                <w:sz w:val="14"/>
                <w:szCs w:val="14"/>
                <w:lang w:val="es-ES"/>
              </w:rPr>
            </w:pPr>
            <w:r w:rsidRPr="00737679">
              <w:rPr>
                <w:rFonts w:ascii="Lucida Bright" w:hAnsi="Lucida Bright" w:cs="Calibri"/>
                <w:i/>
                <w:iCs/>
                <w:color w:val="000000"/>
                <w:sz w:val="14"/>
                <w:szCs w:val="14"/>
                <w:lang w:val="es-ES"/>
              </w:rPr>
              <w:t> </w:t>
            </w:r>
          </w:p>
        </w:tc>
        <w:tc>
          <w:tcPr>
            <w:tcW w:w="1200"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20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1200" w:type="dxa"/>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00"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20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25"/>
        </w:trPr>
        <w:tc>
          <w:tcPr>
            <w:tcW w:w="1200" w:type="dxa"/>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00" w:type="dxa"/>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20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40"/>
        </w:trPr>
        <w:tc>
          <w:tcPr>
            <w:tcW w:w="1200" w:type="dxa"/>
            <w:tcBorders>
              <w:top w:val="nil"/>
              <w:left w:val="single" w:sz="8" w:space="0" w:color="auto"/>
              <w:bottom w:val="single" w:sz="8" w:space="0" w:color="auto"/>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00" w:type="dxa"/>
            <w:tcBorders>
              <w:top w:val="nil"/>
              <w:left w:val="nil"/>
              <w:bottom w:val="single" w:sz="8" w:space="0" w:color="auto"/>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200" w:type="dxa"/>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60" w:type="dxa"/>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37679" w:rsidRPr="00737679" w:rsidTr="00737679">
        <w:trPr>
          <w:trHeight w:val="240"/>
        </w:trPr>
        <w:tc>
          <w:tcPr>
            <w:tcW w:w="36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37679" w:rsidRPr="00737679" w:rsidRDefault="00737679" w:rsidP="00737679">
            <w:pPr>
              <w:jc w:val="center"/>
              <w:rPr>
                <w:rFonts w:ascii="Lucida Bright" w:hAnsi="Lucida Bright" w:cs="Calibri"/>
                <w:b/>
                <w:bCs/>
                <w:color w:val="000000"/>
                <w:sz w:val="14"/>
                <w:szCs w:val="14"/>
                <w:lang w:val="es-ES"/>
              </w:rPr>
            </w:pPr>
            <w:r w:rsidRPr="00737679">
              <w:rPr>
                <w:rFonts w:ascii="Lucida Bright" w:hAnsi="Lucida Bright" w:cs="Calibri"/>
                <w:b/>
                <w:bCs/>
                <w:color w:val="000000"/>
                <w:sz w:val="14"/>
                <w:szCs w:val="14"/>
                <w:lang w:val="es-ES"/>
              </w:rPr>
              <w:t>Total pasivos por impuesto diferido</w:t>
            </w:r>
          </w:p>
        </w:tc>
        <w:tc>
          <w:tcPr>
            <w:tcW w:w="1360" w:type="dxa"/>
            <w:tcBorders>
              <w:top w:val="nil"/>
              <w:left w:val="nil"/>
              <w:bottom w:val="single" w:sz="8" w:space="0" w:color="auto"/>
              <w:right w:val="single" w:sz="8" w:space="0" w:color="auto"/>
            </w:tcBorders>
            <w:shd w:val="clear" w:color="auto" w:fill="auto"/>
            <w:noWrap/>
            <w:vAlign w:val="center"/>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6.839.781,66</w:t>
            </w:r>
          </w:p>
        </w:tc>
        <w:tc>
          <w:tcPr>
            <w:tcW w:w="1360" w:type="dxa"/>
            <w:tcBorders>
              <w:top w:val="nil"/>
              <w:left w:val="nil"/>
              <w:bottom w:val="single" w:sz="8" w:space="0" w:color="auto"/>
              <w:right w:val="single" w:sz="8" w:space="0" w:color="auto"/>
            </w:tcBorders>
            <w:shd w:val="clear" w:color="auto" w:fill="auto"/>
            <w:noWrap/>
            <w:vAlign w:val="center"/>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6.379.268,58</w:t>
            </w:r>
          </w:p>
        </w:tc>
      </w:tr>
    </w:tbl>
    <w:p w:rsidR="005A503C" w:rsidRDefault="005A503C">
      <w:pPr>
        <w:tabs>
          <w:tab w:val="right" w:pos="8364"/>
        </w:tabs>
        <w:ind w:firstLine="540"/>
        <w:jc w:val="both"/>
        <w:rPr>
          <w:bCs/>
        </w:rPr>
      </w:pPr>
    </w:p>
    <w:p w:rsidR="00D14CEC" w:rsidRDefault="00D14CEC">
      <w:pPr>
        <w:tabs>
          <w:tab w:val="right" w:pos="8364"/>
        </w:tabs>
        <w:ind w:firstLine="540"/>
        <w:jc w:val="both"/>
        <w:rPr>
          <w:bCs/>
        </w:rPr>
      </w:pPr>
    </w:p>
    <w:p w:rsidR="003E1013" w:rsidRDefault="003E1013">
      <w:pPr>
        <w:tabs>
          <w:tab w:val="right" w:pos="8364"/>
        </w:tabs>
        <w:ind w:firstLine="540"/>
        <w:jc w:val="both"/>
        <w:rPr>
          <w:bCs/>
        </w:rPr>
      </w:pPr>
    </w:p>
    <w:p w:rsidR="003E1013" w:rsidRDefault="003E1013">
      <w:pPr>
        <w:tabs>
          <w:tab w:val="right" w:pos="8364"/>
        </w:tabs>
        <w:ind w:firstLine="540"/>
        <w:jc w:val="both"/>
        <w:rPr>
          <w:bCs/>
        </w:rPr>
      </w:pPr>
    </w:p>
    <w:p w:rsidR="003E1013" w:rsidRDefault="003E1013">
      <w:pPr>
        <w:tabs>
          <w:tab w:val="right" w:pos="8364"/>
        </w:tabs>
        <w:ind w:firstLine="540"/>
        <w:jc w:val="both"/>
        <w:rPr>
          <w:bCs/>
        </w:rPr>
      </w:pPr>
    </w:p>
    <w:p w:rsidR="00D14CEC" w:rsidRDefault="00D14CEC">
      <w:pPr>
        <w:tabs>
          <w:tab w:val="right" w:pos="8364"/>
        </w:tabs>
        <w:ind w:firstLine="540"/>
        <w:jc w:val="both"/>
        <w:rPr>
          <w:bCs/>
        </w:rPr>
      </w:pPr>
    </w:p>
    <w:p w:rsidR="00A12578" w:rsidRPr="00865CED" w:rsidRDefault="00A12578">
      <w:pPr>
        <w:tabs>
          <w:tab w:val="right" w:pos="8364"/>
        </w:tabs>
        <w:ind w:firstLine="540"/>
        <w:jc w:val="both"/>
        <w:rPr>
          <w:rFonts w:ascii="NewBaskerville" w:hAnsi="NewBaskerville"/>
          <w:bCs/>
        </w:rPr>
      </w:pPr>
      <w:r w:rsidRPr="00865CED">
        <w:rPr>
          <w:rFonts w:ascii="NewBaskerville" w:hAnsi="NewBaskerville"/>
          <w:bCs/>
          <w:u w:val="single"/>
        </w:rPr>
        <w:lastRenderedPageBreak/>
        <w:t>Movimientos de los Activos y Pasivos por impuesto diferido.</w:t>
      </w:r>
    </w:p>
    <w:p w:rsidR="00A12578" w:rsidRPr="00865CED" w:rsidRDefault="00A12578">
      <w:pPr>
        <w:tabs>
          <w:tab w:val="right" w:pos="8364"/>
        </w:tabs>
        <w:ind w:firstLine="540"/>
        <w:jc w:val="both"/>
        <w:rPr>
          <w:rFonts w:ascii="NewBaskerville" w:hAnsi="NewBaskerville"/>
          <w:bCs/>
        </w:rPr>
      </w:pPr>
    </w:p>
    <w:p w:rsidR="00737679" w:rsidRDefault="00A12578">
      <w:pPr>
        <w:tabs>
          <w:tab w:val="right" w:pos="8364"/>
        </w:tabs>
        <w:ind w:firstLine="540"/>
        <w:jc w:val="both"/>
        <w:rPr>
          <w:rFonts w:ascii="NewBaskerville" w:hAnsi="NewBaskerville"/>
          <w:bCs/>
        </w:rPr>
      </w:pPr>
      <w:r w:rsidRPr="00865CED">
        <w:rPr>
          <w:rFonts w:ascii="NewBaskerville" w:hAnsi="NewBaskerville"/>
          <w:bCs/>
        </w:rPr>
        <w:t xml:space="preserve">A continuación, se presenta un </w:t>
      </w:r>
      <w:r w:rsidR="003F24D6" w:rsidRPr="00865CED">
        <w:rPr>
          <w:rFonts w:ascii="NewBaskerville" w:hAnsi="NewBaskerville"/>
          <w:bCs/>
        </w:rPr>
        <w:t>detalle</w:t>
      </w:r>
      <w:r w:rsidRPr="00865CED">
        <w:rPr>
          <w:rFonts w:ascii="NewBaskerville" w:hAnsi="NewBaskerville"/>
          <w:bCs/>
        </w:rPr>
        <w:t xml:space="preserve"> de los movimientos que han afectado a los epígrafes “Activos por impuestos diferidos” y “Pasivos por impuestos diferidos” del balance durante los años 202</w:t>
      </w:r>
      <w:r w:rsidR="00737679">
        <w:rPr>
          <w:rFonts w:ascii="NewBaskerville" w:hAnsi="NewBaskerville"/>
          <w:bCs/>
        </w:rPr>
        <w:t>4</w:t>
      </w:r>
      <w:r w:rsidRPr="00865CED">
        <w:rPr>
          <w:rFonts w:ascii="NewBaskerville" w:hAnsi="NewBaskerville"/>
          <w:bCs/>
        </w:rPr>
        <w:t xml:space="preserve"> y 20</w:t>
      </w:r>
      <w:r w:rsidR="00865CED">
        <w:rPr>
          <w:rFonts w:ascii="NewBaskerville" w:hAnsi="NewBaskerville"/>
          <w:bCs/>
        </w:rPr>
        <w:t>2</w:t>
      </w:r>
      <w:r w:rsidR="00737679">
        <w:rPr>
          <w:rFonts w:ascii="NewBaskerville" w:hAnsi="NewBaskerville"/>
          <w:bCs/>
        </w:rPr>
        <w:t>3</w:t>
      </w:r>
    </w:p>
    <w:p w:rsidR="00C85C83" w:rsidRDefault="00C85C83">
      <w:pPr>
        <w:tabs>
          <w:tab w:val="right" w:pos="8364"/>
        </w:tabs>
        <w:ind w:firstLine="540"/>
        <w:jc w:val="both"/>
        <w:rPr>
          <w:rFonts w:ascii="NewBaskerville" w:hAnsi="NewBaskerville"/>
          <w:bCs/>
        </w:rPr>
      </w:pPr>
    </w:p>
    <w:tbl>
      <w:tblPr>
        <w:tblW w:w="4509" w:type="pct"/>
        <w:tblLayout w:type="fixed"/>
        <w:tblCellMar>
          <w:left w:w="70" w:type="dxa"/>
          <w:right w:w="70" w:type="dxa"/>
        </w:tblCellMar>
        <w:tblLook w:val="04A0" w:firstRow="1" w:lastRow="0" w:firstColumn="1" w:lastColumn="0" w:noHBand="0" w:noVBand="1"/>
      </w:tblPr>
      <w:tblGrid>
        <w:gridCol w:w="2624"/>
        <w:gridCol w:w="434"/>
        <w:gridCol w:w="434"/>
        <w:gridCol w:w="184"/>
        <w:gridCol w:w="1215"/>
        <w:gridCol w:w="1134"/>
        <w:gridCol w:w="1275"/>
        <w:gridCol w:w="1135"/>
      </w:tblGrid>
      <w:tr w:rsidR="00737679" w:rsidRPr="00737679" w:rsidTr="00753A94">
        <w:trPr>
          <w:trHeight w:val="240"/>
        </w:trPr>
        <w:tc>
          <w:tcPr>
            <w:tcW w:w="3571" w:type="pct"/>
            <w:gridSpan w:val="6"/>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b/>
                <w:bCs/>
                <w:color w:val="000000"/>
                <w:sz w:val="16"/>
                <w:szCs w:val="16"/>
                <w:lang w:val="es-ES"/>
              </w:rPr>
            </w:pPr>
            <w:r w:rsidRPr="00737679">
              <w:rPr>
                <w:rFonts w:ascii="Lucida Bright" w:hAnsi="Lucida Bright" w:cs="Calibri"/>
                <w:b/>
                <w:bCs/>
                <w:color w:val="000000"/>
                <w:sz w:val="16"/>
                <w:szCs w:val="16"/>
                <w:lang w:val="es-ES"/>
              </w:rPr>
              <w:t>Movimientos de Activos y Pasivos por impuesto diferido.</w:t>
            </w:r>
          </w:p>
        </w:tc>
        <w:tc>
          <w:tcPr>
            <w:tcW w:w="756"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6"/>
                <w:szCs w:val="16"/>
                <w:lang w:val="es-ES"/>
              </w:rPr>
            </w:pPr>
          </w:p>
        </w:tc>
        <w:tc>
          <w:tcPr>
            <w:tcW w:w="673"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6"/>
                <w:szCs w:val="16"/>
                <w:lang w:val="es-ES"/>
              </w:rPr>
            </w:pPr>
          </w:p>
        </w:tc>
      </w:tr>
      <w:tr w:rsidR="00737679" w:rsidRPr="00737679" w:rsidTr="00753A94">
        <w:trPr>
          <w:trHeight w:val="240"/>
        </w:trPr>
        <w:tc>
          <w:tcPr>
            <w:tcW w:w="1556" w:type="pct"/>
            <w:tcBorders>
              <w:top w:val="single" w:sz="8" w:space="0" w:color="auto"/>
              <w:left w:val="single" w:sz="8" w:space="0" w:color="auto"/>
              <w:bottom w:val="nil"/>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57" w:type="pct"/>
            <w:tcBorders>
              <w:top w:val="single" w:sz="8" w:space="0" w:color="auto"/>
              <w:left w:val="nil"/>
              <w:bottom w:val="nil"/>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57" w:type="pct"/>
            <w:tcBorders>
              <w:top w:val="single" w:sz="8" w:space="0" w:color="auto"/>
              <w:left w:val="nil"/>
              <w:bottom w:val="nil"/>
              <w:right w:val="nil"/>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08" w:type="pct"/>
            <w:tcBorders>
              <w:top w:val="single" w:sz="8" w:space="0" w:color="auto"/>
              <w:left w:val="nil"/>
              <w:bottom w:val="nil"/>
              <w:right w:val="single" w:sz="8" w:space="0" w:color="auto"/>
            </w:tcBorders>
            <w:shd w:val="clear" w:color="000000" w:fill="CCFFCC"/>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392" w:type="pct"/>
            <w:gridSpan w:val="2"/>
            <w:tcBorders>
              <w:top w:val="single" w:sz="8" w:space="0" w:color="auto"/>
              <w:left w:val="nil"/>
              <w:bottom w:val="single" w:sz="8" w:space="0" w:color="auto"/>
              <w:right w:val="single" w:sz="8" w:space="0" w:color="000000"/>
            </w:tcBorders>
            <w:shd w:val="clear" w:color="000000" w:fill="CCFFCC"/>
            <w:noWrap/>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2024</w:t>
            </w:r>
          </w:p>
        </w:tc>
        <w:tc>
          <w:tcPr>
            <w:tcW w:w="1429" w:type="pct"/>
            <w:gridSpan w:val="2"/>
            <w:tcBorders>
              <w:top w:val="single" w:sz="8" w:space="0" w:color="auto"/>
              <w:left w:val="nil"/>
              <w:bottom w:val="single" w:sz="8" w:space="0" w:color="auto"/>
              <w:right w:val="single" w:sz="8" w:space="0" w:color="000000"/>
            </w:tcBorders>
            <w:shd w:val="clear" w:color="000000" w:fill="CCFFCC"/>
            <w:noWrap/>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2023</w:t>
            </w:r>
          </w:p>
        </w:tc>
      </w:tr>
      <w:tr w:rsidR="00753A94" w:rsidRPr="00737679" w:rsidTr="00753A94">
        <w:trPr>
          <w:trHeight w:val="390"/>
        </w:trPr>
        <w:tc>
          <w:tcPr>
            <w:tcW w:w="2179" w:type="pct"/>
            <w:gridSpan w:val="4"/>
            <w:tcBorders>
              <w:top w:val="nil"/>
              <w:left w:val="single" w:sz="8" w:space="0" w:color="auto"/>
              <w:bottom w:val="single" w:sz="8" w:space="0" w:color="auto"/>
              <w:right w:val="single" w:sz="8" w:space="0" w:color="000000"/>
            </w:tcBorders>
            <w:shd w:val="clear" w:color="000000" w:fill="CCFFCC"/>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Concepto</w:t>
            </w:r>
          </w:p>
        </w:tc>
        <w:tc>
          <w:tcPr>
            <w:tcW w:w="720" w:type="pct"/>
            <w:tcBorders>
              <w:top w:val="nil"/>
              <w:left w:val="nil"/>
              <w:bottom w:val="single" w:sz="8" w:space="0" w:color="auto"/>
              <w:right w:val="nil"/>
            </w:tcBorders>
            <w:shd w:val="clear" w:color="000000" w:fill="CCFFCC"/>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Activo por impuesto diferido</w:t>
            </w:r>
          </w:p>
        </w:tc>
        <w:tc>
          <w:tcPr>
            <w:tcW w:w="672" w:type="pct"/>
            <w:tcBorders>
              <w:top w:val="nil"/>
              <w:left w:val="single" w:sz="8" w:space="0" w:color="auto"/>
              <w:bottom w:val="single" w:sz="8" w:space="0" w:color="auto"/>
              <w:right w:val="single" w:sz="8" w:space="0" w:color="auto"/>
            </w:tcBorders>
            <w:shd w:val="clear" w:color="000000" w:fill="CCFFCC"/>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Pasivo por impuesto diferido</w:t>
            </w:r>
          </w:p>
        </w:tc>
        <w:tc>
          <w:tcPr>
            <w:tcW w:w="756" w:type="pct"/>
            <w:tcBorders>
              <w:top w:val="nil"/>
              <w:left w:val="nil"/>
              <w:bottom w:val="single" w:sz="8" w:space="0" w:color="auto"/>
              <w:right w:val="nil"/>
            </w:tcBorders>
            <w:shd w:val="clear" w:color="000000" w:fill="CCFFCC"/>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Activo por impuesto diferido</w:t>
            </w:r>
          </w:p>
        </w:tc>
        <w:tc>
          <w:tcPr>
            <w:tcW w:w="673" w:type="pct"/>
            <w:tcBorders>
              <w:top w:val="nil"/>
              <w:left w:val="single" w:sz="8" w:space="0" w:color="auto"/>
              <w:bottom w:val="single" w:sz="8" w:space="0" w:color="auto"/>
              <w:right w:val="single" w:sz="8" w:space="0" w:color="auto"/>
            </w:tcBorders>
            <w:shd w:val="clear" w:color="000000" w:fill="CCFFCC"/>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Pasivo por impuesto diferido</w:t>
            </w:r>
          </w:p>
        </w:tc>
      </w:tr>
      <w:tr w:rsidR="00753A94" w:rsidRPr="00737679" w:rsidTr="00753A94">
        <w:trPr>
          <w:trHeight w:val="225"/>
        </w:trPr>
        <w:tc>
          <w:tcPr>
            <w:tcW w:w="1813" w:type="pct"/>
            <w:gridSpan w:val="2"/>
            <w:tcBorders>
              <w:top w:val="single" w:sz="8" w:space="0" w:color="auto"/>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b/>
                <w:bCs/>
                <w:color w:val="000000"/>
                <w:sz w:val="14"/>
                <w:szCs w:val="14"/>
                <w:lang w:val="es-ES"/>
              </w:rPr>
            </w:pPr>
            <w:r w:rsidRPr="00737679">
              <w:rPr>
                <w:rFonts w:ascii="Lucida Bright" w:hAnsi="Lucida Bright" w:cs="Calibri"/>
                <w:b/>
                <w:bCs/>
                <w:color w:val="000000"/>
                <w:sz w:val="14"/>
                <w:szCs w:val="14"/>
                <w:lang w:val="es-ES"/>
              </w:rPr>
              <w:t>Saldos iniciales</w:t>
            </w:r>
          </w:p>
        </w:tc>
        <w:tc>
          <w:tcPr>
            <w:tcW w:w="257"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08"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20" w:type="pct"/>
            <w:tcBorders>
              <w:top w:val="nil"/>
              <w:left w:val="nil"/>
              <w:bottom w:val="nil"/>
              <w:right w:val="nil"/>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206.931,70</w:t>
            </w:r>
          </w:p>
        </w:tc>
        <w:tc>
          <w:tcPr>
            <w:tcW w:w="672"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6.379.268,58</w:t>
            </w:r>
          </w:p>
        </w:tc>
        <w:tc>
          <w:tcPr>
            <w:tcW w:w="756" w:type="pct"/>
            <w:tcBorders>
              <w:top w:val="nil"/>
              <w:left w:val="nil"/>
              <w:bottom w:val="nil"/>
              <w:right w:val="nil"/>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245.316,76</w:t>
            </w:r>
          </w:p>
        </w:tc>
        <w:tc>
          <w:tcPr>
            <w:tcW w:w="673"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6.280.059,79</w:t>
            </w:r>
          </w:p>
        </w:tc>
      </w:tr>
      <w:tr w:rsidR="00753A94" w:rsidRPr="00737679" w:rsidTr="00753A94">
        <w:trPr>
          <w:trHeight w:val="225"/>
        </w:trPr>
        <w:tc>
          <w:tcPr>
            <w:tcW w:w="2070" w:type="pct"/>
            <w:gridSpan w:val="3"/>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Efecto impositivo por diferencias temporarias-</w:t>
            </w:r>
          </w:p>
        </w:tc>
        <w:tc>
          <w:tcPr>
            <w:tcW w:w="108"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20"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2"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56"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3"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53A94" w:rsidRPr="00737679" w:rsidTr="00753A94">
        <w:trPr>
          <w:trHeight w:val="225"/>
        </w:trPr>
        <w:tc>
          <w:tcPr>
            <w:tcW w:w="1813" w:type="pct"/>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Aumentos</w:t>
            </w:r>
          </w:p>
        </w:tc>
        <w:tc>
          <w:tcPr>
            <w:tcW w:w="257"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08"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20" w:type="pct"/>
            <w:tcBorders>
              <w:top w:val="nil"/>
              <w:left w:val="nil"/>
              <w:bottom w:val="nil"/>
              <w:right w:val="nil"/>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3.207.012,75</w:t>
            </w:r>
          </w:p>
        </w:tc>
        <w:tc>
          <w:tcPr>
            <w:tcW w:w="672"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w:t>
            </w:r>
          </w:p>
        </w:tc>
        <w:tc>
          <w:tcPr>
            <w:tcW w:w="756" w:type="pct"/>
            <w:tcBorders>
              <w:top w:val="nil"/>
              <w:left w:val="nil"/>
              <w:bottom w:val="nil"/>
              <w:right w:val="nil"/>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15.577,99</w:t>
            </w:r>
          </w:p>
        </w:tc>
        <w:tc>
          <w:tcPr>
            <w:tcW w:w="673"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35,66</w:t>
            </w:r>
          </w:p>
        </w:tc>
      </w:tr>
      <w:tr w:rsidR="00753A94" w:rsidRPr="00737679" w:rsidTr="00753A94">
        <w:trPr>
          <w:trHeight w:val="225"/>
        </w:trPr>
        <w:tc>
          <w:tcPr>
            <w:tcW w:w="1813" w:type="pct"/>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Disminuciones</w:t>
            </w:r>
          </w:p>
        </w:tc>
        <w:tc>
          <w:tcPr>
            <w:tcW w:w="257"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08"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20" w:type="pct"/>
            <w:tcBorders>
              <w:top w:val="nil"/>
              <w:left w:val="nil"/>
              <w:bottom w:val="nil"/>
              <w:right w:val="nil"/>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(229.040,31)</w:t>
            </w:r>
          </w:p>
        </w:tc>
        <w:tc>
          <w:tcPr>
            <w:tcW w:w="672"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(166,68)</w:t>
            </w:r>
          </w:p>
        </w:tc>
        <w:tc>
          <w:tcPr>
            <w:tcW w:w="756" w:type="pct"/>
            <w:tcBorders>
              <w:top w:val="nil"/>
              <w:left w:val="nil"/>
              <w:bottom w:val="nil"/>
              <w:right w:val="nil"/>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(53.963,05)</w:t>
            </w:r>
          </w:p>
        </w:tc>
        <w:tc>
          <w:tcPr>
            <w:tcW w:w="673"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(152,56)</w:t>
            </w:r>
          </w:p>
        </w:tc>
      </w:tr>
      <w:tr w:rsidR="00753A94" w:rsidRPr="00737679" w:rsidTr="00753A94">
        <w:trPr>
          <w:trHeight w:val="225"/>
        </w:trPr>
        <w:tc>
          <w:tcPr>
            <w:tcW w:w="1556" w:type="pct"/>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57"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257"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08"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20"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2"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56"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3"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53A94" w:rsidRPr="00737679" w:rsidTr="00753A94">
        <w:trPr>
          <w:trHeight w:val="225"/>
        </w:trPr>
        <w:tc>
          <w:tcPr>
            <w:tcW w:w="1813" w:type="pct"/>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Base Imponibles negativas</w:t>
            </w:r>
          </w:p>
        </w:tc>
        <w:tc>
          <w:tcPr>
            <w:tcW w:w="257"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08"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20"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2"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56"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3"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53A94" w:rsidRPr="0031200E" w:rsidTr="00753A94">
        <w:trPr>
          <w:trHeight w:val="225"/>
        </w:trPr>
        <w:tc>
          <w:tcPr>
            <w:tcW w:w="1813" w:type="pct"/>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xml:space="preserve">Aumentos </w:t>
            </w:r>
          </w:p>
        </w:tc>
        <w:tc>
          <w:tcPr>
            <w:tcW w:w="257"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08"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20"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2"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56"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3"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53A94" w:rsidRPr="00737679" w:rsidTr="00753A94">
        <w:trPr>
          <w:trHeight w:val="225"/>
        </w:trPr>
        <w:tc>
          <w:tcPr>
            <w:tcW w:w="1813" w:type="pct"/>
            <w:gridSpan w:val="2"/>
            <w:tcBorders>
              <w:top w:val="nil"/>
              <w:left w:val="single" w:sz="8" w:space="0" w:color="auto"/>
              <w:bottom w:val="nil"/>
              <w:right w:val="nil"/>
            </w:tcBorders>
            <w:shd w:val="clear" w:color="auto" w:fill="auto"/>
            <w:noWrap/>
            <w:vAlign w:val="bottom"/>
            <w:hideMark/>
          </w:tcPr>
          <w:p w:rsidR="00737679" w:rsidRPr="00737679" w:rsidRDefault="0031200E" w:rsidP="00737679">
            <w:pPr>
              <w:jc w:val="center"/>
              <w:rPr>
                <w:rFonts w:ascii="Lucida Bright" w:hAnsi="Lucida Bright" w:cs="Calibri"/>
                <w:color w:val="000000"/>
                <w:sz w:val="14"/>
                <w:szCs w:val="14"/>
                <w:lang w:val="es-ES"/>
              </w:rPr>
            </w:pPr>
            <w:r w:rsidRPr="0031200E">
              <w:rPr>
                <w:rFonts w:ascii="Lucida Bright" w:hAnsi="Lucida Bright" w:cs="Calibri"/>
                <w:color w:val="000000"/>
                <w:sz w:val="14"/>
                <w:szCs w:val="14"/>
                <w:lang w:val="es-ES"/>
              </w:rPr>
              <w:t>Disminuciones</w:t>
            </w:r>
          </w:p>
        </w:tc>
        <w:tc>
          <w:tcPr>
            <w:tcW w:w="257"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08"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20"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2"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56"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3"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53A94" w:rsidRPr="00737679" w:rsidTr="00753A94">
        <w:trPr>
          <w:trHeight w:val="225"/>
        </w:trPr>
        <w:tc>
          <w:tcPr>
            <w:tcW w:w="1556" w:type="pct"/>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57"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257"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08"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20"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2"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56"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3"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53A94" w:rsidRPr="00737679" w:rsidTr="00753A94">
        <w:trPr>
          <w:trHeight w:val="225"/>
        </w:trPr>
        <w:tc>
          <w:tcPr>
            <w:tcW w:w="1556" w:type="pct"/>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Deducciones</w:t>
            </w:r>
          </w:p>
        </w:tc>
        <w:tc>
          <w:tcPr>
            <w:tcW w:w="257"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257"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08"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20"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2"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56"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3"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53A94" w:rsidRPr="00737679" w:rsidTr="00753A94">
        <w:trPr>
          <w:trHeight w:val="225"/>
        </w:trPr>
        <w:tc>
          <w:tcPr>
            <w:tcW w:w="1813" w:type="pct"/>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Aumentos</w:t>
            </w:r>
          </w:p>
        </w:tc>
        <w:tc>
          <w:tcPr>
            <w:tcW w:w="257"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08"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20"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2"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56"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3"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53A94" w:rsidRPr="00737679" w:rsidTr="00753A94">
        <w:trPr>
          <w:trHeight w:val="225"/>
        </w:trPr>
        <w:tc>
          <w:tcPr>
            <w:tcW w:w="1813" w:type="pct"/>
            <w:gridSpan w:val="2"/>
            <w:tcBorders>
              <w:top w:val="nil"/>
              <w:left w:val="single" w:sz="8" w:space="0" w:color="auto"/>
              <w:bottom w:val="nil"/>
              <w:right w:val="nil"/>
            </w:tcBorders>
            <w:shd w:val="clear" w:color="auto" w:fill="auto"/>
            <w:noWrap/>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Disminuciones</w:t>
            </w:r>
          </w:p>
        </w:tc>
        <w:tc>
          <w:tcPr>
            <w:tcW w:w="257"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08"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20"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2"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56"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3"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53A94" w:rsidRPr="00737679" w:rsidTr="00753A94">
        <w:trPr>
          <w:trHeight w:val="225"/>
        </w:trPr>
        <w:tc>
          <w:tcPr>
            <w:tcW w:w="1556" w:type="pct"/>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57"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257"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p>
        </w:tc>
        <w:tc>
          <w:tcPr>
            <w:tcW w:w="108"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20"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2"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56"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3"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53A94" w:rsidRPr="00737679" w:rsidTr="00753A94">
        <w:trPr>
          <w:trHeight w:val="225"/>
        </w:trPr>
        <w:tc>
          <w:tcPr>
            <w:tcW w:w="2070" w:type="pct"/>
            <w:gridSpan w:val="3"/>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Ajuste Impuesto Sociedades ejercicios anteriores</w:t>
            </w:r>
          </w:p>
        </w:tc>
        <w:tc>
          <w:tcPr>
            <w:tcW w:w="108"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20"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2"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56"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3"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53A94" w:rsidRPr="00737679" w:rsidTr="00753A94">
        <w:trPr>
          <w:trHeight w:val="225"/>
        </w:trPr>
        <w:tc>
          <w:tcPr>
            <w:tcW w:w="2070" w:type="pct"/>
            <w:gridSpan w:val="3"/>
            <w:tcBorders>
              <w:top w:val="nil"/>
              <w:left w:val="single" w:sz="8" w:space="0" w:color="auto"/>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Impuestos reconocidos en el Patrimonio Neto-</w:t>
            </w:r>
          </w:p>
        </w:tc>
        <w:tc>
          <w:tcPr>
            <w:tcW w:w="108" w:type="pct"/>
            <w:tcBorders>
              <w:top w:val="nil"/>
              <w:left w:val="nil"/>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20"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2"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56"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3"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r>
      <w:tr w:rsidR="00753A94" w:rsidRPr="00737679" w:rsidTr="00753A94">
        <w:trPr>
          <w:trHeight w:val="255"/>
        </w:trPr>
        <w:tc>
          <w:tcPr>
            <w:tcW w:w="2070" w:type="pct"/>
            <w:gridSpan w:val="3"/>
            <w:tcBorders>
              <w:top w:val="nil"/>
              <w:left w:val="single" w:sz="8" w:space="0" w:color="auto"/>
              <w:bottom w:val="single" w:sz="8" w:space="0" w:color="auto"/>
              <w:right w:val="nil"/>
            </w:tcBorders>
            <w:shd w:val="clear" w:color="auto" w:fill="auto"/>
            <w:vAlign w:val="bottom"/>
            <w:hideMark/>
          </w:tcPr>
          <w:p w:rsidR="00737679" w:rsidRPr="00737679" w:rsidRDefault="00737679" w:rsidP="00737679">
            <w:pPr>
              <w:jc w:val="cente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Aumentos/Disminuciones</w:t>
            </w:r>
          </w:p>
        </w:tc>
        <w:tc>
          <w:tcPr>
            <w:tcW w:w="108" w:type="pct"/>
            <w:tcBorders>
              <w:top w:val="nil"/>
              <w:left w:val="nil"/>
              <w:bottom w:val="single" w:sz="8" w:space="0" w:color="auto"/>
              <w:right w:val="single" w:sz="8" w:space="0" w:color="auto"/>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20"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2"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460.679,76</w:t>
            </w:r>
          </w:p>
        </w:tc>
        <w:tc>
          <w:tcPr>
            <w:tcW w:w="756" w:type="pct"/>
            <w:tcBorders>
              <w:top w:val="nil"/>
              <w:left w:val="nil"/>
              <w:bottom w:val="nil"/>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673" w:type="pct"/>
            <w:tcBorders>
              <w:top w:val="nil"/>
              <w:left w:val="single" w:sz="4" w:space="0" w:color="auto"/>
              <w:bottom w:val="nil"/>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99.325,69</w:t>
            </w:r>
          </w:p>
        </w:tc>
      </w:tr>
      <w:tr w:rsidR="00753A94" w:rsidRPr="00737679" w:rsidTr="00753A94">
        <w:trPr>
          <w:trHeight w:val="240"/>
        </w:trPr>
        <w:tc>
          <w:tcPr>
            <w:tcW w:w="1556" w:type="pct"/>
            <w:tcBorders>
              <w:top w:val="nil"/>
              <w:left w:val="single" w:sz="8" w:space="0" w:color="auto"/>
              <w:bottom w:val="single" w:sz="8" w:space="0" w:color="auto"/>
              <w:right w:val="nil"/>
            </w:tcBorders>
            <w:shd w:val="clear" w:color="auto" w:fill="auto"/>
            <w:noWrap/>
            <w:vAlign w:val="bottom"/>
            <w:hideMark/>
          </w:tcPr>
          <w:p w:rsidR="00737679" w:rsidRPr="00737679" w:rsidRDefault="00737679" w:rsidP="00737679">
            <w:pPr>
              <w:rPr>
                <w:rFonts w:ascii="Lucida Bright" w:hAnsi="Lucida Bright" w:cs="Calibri"/>
                <w:b/>
                <w:bCs/>
                <w:color w:val="000000"/>
                <w:sz w:val="14"/>
                <w:szCs w:val="14"/>
                <w:lang w:val="es-ES"/>
              </w:rPr>
            </w:pPr>
            <w:r w:rsidRPr="00737679">
              <w:rPr>
                <w:rFonts w:ascii="Lucida Bright" w:hAnsi="Lucida Bright" w:cs="Calibri"/>
                <w:b/>
                <w:bCs/>
                <w:color w:val="000000"/>
                <w:sz w:val="14"/>
                <w:szCs w:val="14"/>
                <w:lang w:val="es-ES"/>
              </w:rPr>
              <w:t>Saldos finales</w:t>
            </w:r>
          </w:p>
        </w:tc>
        <w:tc>
          <w:tcPr>
            <w:tcW w:w="257" w:type="pct"/>
            <w:tcBorders>
              <w:top w:val="nil"/>
              <w:left w:val="nil"/>
              <w:bottom w:val="single" w:sz="8" w:space="0" w:color="auto"/>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257" w:type="pct"/>
            <w:tcBorders>
              <w:top w:val="nil"/>
              <w:left w:val="nil"/>
              <w:bottom w:val="single" w:sz="8" w:space="0" w:color="auto"/>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108" w:type="pct"/>
            <w:tcBorders>
              <w:top w:val="nil"/>
              <w:left w:val="nil"/>
              <w:bottom w:val="single" w:sz="8" w:space="0" w:color="auto"/>
              <w:right w:val="nil"/>
            </w:tcBorders>
            <w:shd w:val="clear" w:color="auto" w:fill="auto"/>
            <w:noWrap/>
            <w:vAlign w:val="bottom"/>
            <w:hideMark/>
          </w:tcPr>
          <w:p w:rsidR="00737679" w:rsidRPr="00737679" w:rsidRDefault="00737679" w:rsidP="00737679">
            <w:pPr>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 </w:t>
            </w:r>
          </w:p>
        </w:tc>
        <w:tc>
          <w:tcPr>
            <w:tcW w:w="72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3.184.904,14</w:t>
            </w:r>
          </w:p>
        </w:tc>
        <w:tc>
          <w:tcPr>
            <w:tcW w:w="672" w:type="pct"/>
            <w:tcBorders>
              <w:top w:val="single" w:sz="8" w:space="0" w:color="auto"/>
              <w:left w:val="nil"/>
              <w:bottom w:val="single" w:sz="8" w:space="0" w:color="auto"/>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6.839.781,66</w:t>
            </w:r>
          </w:p>
        </w:tc>
        <w:tc>
          <w:tcPr>
            <w:tcW w:w="756" w:type="pct"/>
            <w:tcBorders>
              <w:top w:val="single" w:sz="8" w:space="0" w:color="auto"/>
              <w:left w:val="nil"/>
              <w:bottom w:val="single" w:sz="8" w:space="0" w:color="auto"/>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206.931,70</w:t>
            </w:r>
          </w:p>
        </w:tc>
        <w:tc>
          <w:tcPr>
            <w:tcW w:w="673" w:type="pct"/>
            <w:tcBorders>
              <w:top w:val="single" w:sz="8" w:space="0" w:color="auto"/>
              <w:left w:val="nil"/>
              <w:bottom w:val="single" w:sz="8" w:space="0" w:color="auto"/>
              <w:right w:val="single" w:sz="8" w:space="0" w:color="auto"/>
            </w:tcBorders>
            <w:shd w:val="clear" w:color="auto" w:fill="auto"/>
            <w:noWrap/>
            <w:vAlign w:val="bottom"/>
            <w:hideMark/>
          </w:tcPr>
          <w:p w:rsidR="00737679" w:rsidRPr="00737679" w:rsidRDefault="00737679" w:rsidP="00737679">
            <w:pPr>
              <w:jc w:val="right"/>
              <w:rPr>
                <w:rFonts w:ascii="Lucida Bright" w:hAnsi="Lucida Bright" w:cs="Calibri"/>
                <w:color w:val="000000"/>
                <w:sz w:val="14"/>
                <w:szCs w:val="14"/>
                <w:lang w:val="es-ES"/>
              </w:rPr>
            </w:pPr>
            <w:r w:rsidRPr="00737679">
              <w:rPr>
                <w:rFonts w:ascii="Lucida Bright" w:hAnsi="Lucida Bright" w:cs="Calibri"/>
                <w:color w:val="000000"/>
                <w:sz w:val="14"/>
                <w:szCs w:val="14"/>
                <w:lang w:val="es-ES"/>
              </w:rPr>
              <w:t>6.379.268,58</w:t>
            </w:r>
          </w:p>
        </w:tc>
      </w:tr>
    </w:tbl>
    <w:p w:rsidR="00865CED" w:rsidRPr="00865CED" w:rsidRDefault="00865CED">
      <w:pPr>
        <w:tabs>
          <w:tab w:val="right" w:pos="8364"/>
        </w:tabs>
        <w:ind w:firstLine="540"/>
        <w:jc w:val="both"/>
        <w:rPr>
          <w:rFonts w:ascii="NewBaskerville" w:hAnsi="NewBaskerville"/>
          <w:bCs/>
        </w:rPr>
      </w:pPr>
    </w:p>
    <w:p w:rsidR="00D14CEC" w:rsidRDefault="00D14CEC">
      <w:pPr>
        <w:tabs>
          <w:tab w:val="right" w:pos="8364"/>
        </w:tabs>
        <w:ind w:firstLine="540"/>
        <w:jc w:val="both"/>
        <w:rPr>
          <w:bCs/>
        </w:rPr>
      </w:pPr>
    </w:p>
    <w:p w:rsidR="00D14CEC" w:rsidRPr="008F295B" w:rsidRDefault="00D14CEC">
      <w:pPr>
        <w:tabs>
          <w:tab w:val="right" w:pos="8364"/>
        </w:tabs>
        <w:ind w:firstLine="540"/>
        <w:jc w:val="both"/>
        <w:rPr>
          <w:rFonts w:ascii="NewBaskerville" w:hAnsi="NewBaskerville"/>
          <w:bCs/>
        </w:rPr>
      </w:pPr>
    </w:p>
    <w:p w:rsidR="00A12578" w:rsidRPr="008F295B" w:rsidRDefault="00A12578">
      <w:pPr>
        <w:tabs>
          <w:tab w:val="right" w:pos="8364"/>
        </w:tabs>
        <w:ind w:firstLine="540"/>
        <w:jc w:val="both"/>
        <w:rPr>
          <w:rFonts w:ascii="NewBaskerville" w:hAnsi="NewBaskerville"/>
          <w:bCs/>
        </w:rPr>
      </w:pPr>
      <w:r w:rsidRPr="008F295B">
        <w:rPr>
          <w:rFonts w:ascii="NewBaskerville" w:hAnsi="NewBaskerville"/>
          <w:bCs/>
          <w:u w:val="single"/>
        </w:rPr>
        <w:t>Ejercicios pendientes de comprobación y actuaciones inspectoras.</w:t>
      </w:r>
    </w:p>
    <w:p w:rsidR="00A12578" w:rsidRPr="008F295B" w:rsidRDefault="00A12578">
      <w:pPr>
        <w:tabs>
          <w:tab w:val="right" w:pos="8364"/>
        </w:tabs>
        <w:ind w:firstLine="540"/>
        <w:jc w:val="both"/>
        <w:rPr>
          <w:rFonts w:ascii="NewBaskerville" w:hAnsi="NewBaskerville"/>
          <w:bCs/>
        </w:rPr>
      </w:pPr>
    </w:p>
    <w:p w:rsidR="00A12578" w:rsidRPr="008F295B" w:rsidRDefault="00A12578">
      <w:pPr>
        <w:tabs>
          <w:tab w:val="right" w:pos="8364"/>
        </w:tabs>
        <w:ind w:firstLine="540"/>
        <w:jc w:val="both"/>
        <w:rPr>
          <w:rFonts w:ascii="NewBaskerville" w:hAnsi="NewBaskerville"/>
          <w:bCs/>
        </w:rPr>
      </w:pPr>
      <w:r w:rsidRPr="008F295B">
        <w:rPr>
          <w:rFonts w:ascii="NewBaskerville" w:hAnsi="NewBaskerville"/>
          <w:bCs/>
        </w:rPr>
        <w:t>Según establece la legislación vigente, los impuestos no pueden considerarse definitivamente liquidados hasta que las declaraciones presentadas hayan sido inspeccionadas por las autoridades fisca</w:t>
      </w:r>
      <w:r w:rsidR="00B1316C" w:rsidRPr="008F295B">
        <w:rPr>
          <w:rFonts w:ascii="NewBaskerville" w:hAnsi="NewBaskerville"/>
          <w:bCs/>
        </w:rPr>
        <w:t>les o haya transcurrido el plazo</w:t>
      </w:r>
      <w:r w:rsidRPr="008F295B">
        <w:rPr>
          <w:rFonts w:ascii="NewBaskerville" w:hAnsi="NewBaskerville"/>
          <w:bCs/>
        </w:rPr>
        <w:t xml:space="preserve"> de prescripción de cuatro añ</w:t>
      </w:r>
      <w:r w:rsidR="00C2536F" w:rsidRPr="008F295B">
        <w:rPr>
          <w:rFonts w:ascii="NewBaskerville" w:hAnsi="NewBaskerville"/>
          <w:bCs/>
        </w:rPr>
        <w:t>os. Al cierre del ejercicio 202</w:t>
      </w:r>
      <w:r w:rsidR="00753A94">
        <w:rPr>
          <w:rFonts w:ascii="NewBaskerville" w:hAnsi="NewBaskerville"/>
          <w:bCs/>
        </w:rPr>
        <w:t>4</w:t>
      </w:r>
      <w:r w:rsidRPr="008F295B">
        <w:rPr>
          <w:rFonts w:ascii="NewBaskerville" w:hAnsi="NewBaskerville"/>
          <w:bCs/>
        </w:rPr>
        <w:t xml:space="preserve"> la AP</w:t>
      </w:r>
      <w:r w:rsidR="008F295B">
        <w:rPr>
          <w:rFonts w:ascii="NewBaskerville" w:hAnsi="NewBaskerville"/>
          <w:bCs/>
        </w:rPr>
        <w:t>B</w:t>
      </w:r>
      <w:r w:rsidRPr="008F295B">
        <w:rPr>
          <w:rFonts w:ascii="NewBaskerville" w:hAnsi="NewBaskerville"/>
          <w:bCs/>
        </w:rPr>
        <w:t xml:space="preserve"> tiene abiertos </w:t>
      </w:r>
      <w:r w:rsidR="00C2536F" w:rsidRPr="008F295B">
        <w:rPr>
          <w:rFonts w:ascii="NewBaskerville" w:hAnsi="NewBaskerville"/>
          <w:bCs/>
        </w:rPr>
        <w:t>a inspección los ejercicios 20</w:t>
      </w:r>
      <w:r w:rsidR="00753A94">
        <w:rPr>
          <w:rFonts w:ascii="NewBaskerville" w:hAnsi="NewBaskerville"/>
          <w:bCs/>
        </w:rPr>
        <w:t>20</w:t>
      </w:r>
      <w:r w:rsidRPr="008F295B">
        <w:rPr>
          <w:rFonts w:ascii="NewBaskerville" w:hAnsi="NewBaskerville"/>
          <w:bCs/>
        </w:rPr>
        <w:t xml:space="preserve"> y siguientes del Impuesto sobre </w:t>
      </w:r>
      <w:r w:rsidR="00C2536F" w:rsidRPr="008F295B">
        <w:rPr>
          <w:rFonts w:ascii="NewBaskerville" w:hAnsi="NewBaskerville"/>
          <w:bCs/>
        </w:rPr>
        <w:t>Sociedades</w:t>
      </w:r>
      <w:r w:rsidR="000A6F65">
        <w:rPr>
          <w:rFonts w:ascii="NewBaskerville" w:hAnsi="NewBaskerville"/>
          <w:bCs/>
        </w:rPr>
        <w:t>,</w:t>
      </w:r>
      <w:r w:rsidR="00C2536F" w:rsidRPr="008F295B">
        <w:rPr>
          <w:rFonts w:ascii="NewBaskerville" w:hAnsi="NewBaskerville"/>
          <w:bCs/>
        </w:rPr>
        <w:t xml:space="preserve"> y los ejercicios 20</w:t>
      </w:r>
      <w:r w:rsidR="00753A94">
        <w:rPr>
          <w:rFonts w:ascii="NewBaskerville" w:hAnsi="NewBaskerville"/>
          <w:bCs/>
        </w:rPr>
        <w:t>20</w:t>
      </w:r>
      <w:r w:rsidR="000A6F65">
        <w:rPr>
          <w:rFonts w:ascii="NewBaskerville" w:hAnsi="NewBaskerville"/>
          <w:bCs/>
        </w:rPr>
        <w:t xml:space="preserve"> y siguientes</w:t>
      </w:r>
      <w:r w:rsidRPr="008F295B">
        <w:rPr>
          <w:rFonts w:ascii="NewBaskerville" w:hAnsi="NewBaskerville"/>
          <w:bCs/>
        </w:rPr>
        <w:t xml:space="preserve"> para los demás impuestos que le son de aplicación. La AP</w:t>
      </w:r>
      <w:r w:rsidR="008F295B">
        <w:rPr>
          <w:rFonts w:ascii="NewBaskerville" w:hAnsi="NewBaskerville"/>
          <w:bCs/>
        </w:rPr>
        <w:t>B</w:t>
      </w:r>
      <w:r w:rsidRPr="008F295B">
        <w:rPr>
          <w:rFonts w:ascii="NewBaskerville" w:hAnsi="NewBaskerville"/>
          <w:bCs/>
        </w:rPr>
        <w:t xml:space="preserve"> considera que se han practicado adecuadamente las liquidaciones de los mencionados </w:t>
      </w:r>
      <w:r w:rsidR="003F24D6" w:rsidRPr="008F295B">
        <w:rPr>
          <w:rFonts w:ascii="NewBaskerville" w:hAnsi="NewBaskerville"/>
          <w:bCs/>
        </w:rPr>
        <w:t>impuestos</w:t>
      </w:r>
      <w:r w:rsidRPr="008F295B">
        <w:rPr>
          <w:rFonts w:ascii="NewBaskerville" w:hAnsi="NewBaskerville"/>
          <w:bCs/>
        </w:rPr>
        <w:t>, por lo que, aún en el caso de que surgieran discrepancias en la interpretación normativa vigente por el tratamiento fiscal otorgado a las operaciones, los eventuales pasivos resultantes, en el caso de materializarse, no afectarían de manera significativa a las cuentas anuales formuladas.</w:t>
      </w:r>
    </w:p>
    <w:p w:rsidR="00A12578" w:rsidRDefault="00A12578">
      <w:pPr>
        <w:tabs>
          <w:tab w:val="right" w:pos="8364"/>
        </w:tabs>
        <w:ind w:firstLine="540"/>
        <w:jc w:val="both"/>
        <w:rPr>
          <w:bCs/>
        </w:rPr>
      </w:pPr>
    </w:p>
    <w:p w:rsidR="00D14CEC" w:rsidRDefault="00D14CEC">
      <w:pPr>
        <w:tabs>
          <w:tab w:val="right" w:pos="8364"/>
        </w:tabs>
        <w:ind w:firstLine="540"/>
        <w:jc w:val="both"/>
        <w:rPr>
          <w:bCs/>
        </w:rPr>
      </w:pPr>
    </w:p>
    <w:p w:rsidR="00E0015A" w:rsidRDefault="00E0015A">
      <w:pPr>
        <w:tabs>
          <w:tab w:val="right" w:pos="8364"/>
        </w:tabs>
        <w:ind w:left="567" w:hanging="567"/>
        <w:jc w:val="both"/>
        <w:rPr>
          <w:b/>
          <w:bCs/>
          <w:sz w:val="24"/>
          <w:szCs w:val="24"/>
        </w:rPr>
      </w:pPr>
    </w:p>
    <w:p w:rsidR="007131C1" w:rsidRDefault="007131C1">
      <w:pPr>
        <w:tabs>
          <w:tab w:val="right" w:pos="8364"/>
        </w:tabs>
        <w:ind w:left="567" w:hanging="567"/>
        <w:jc w:val="both"/>
        <w:rPr>
          <w:rFonts w:ascii="NewBaskerville" w:hAnsi="NewBaskerville"/>
          <w:b/>
          <w:bCs/>
          <w:sz w:val="24"/>
          <w:szCs w:val="24"/>
        </w:rPr>
      </w:pPr>
    </w:p>
    <w:p w:rsidR="007131C1" w:rsidRDefault="007131C1">
      <w:pPr>
        <w:tabs>
          <w:tab w:val="right" w:pos="8364"/>
        </w:tabs>
        <w:ind w:left="567" w:hanging="567"/>
        <w:jc w:val="both"/>
        <w:rPr>
          <w:rFonts w:ascii="NewBaskerville" w:hAnsi="NewBaskerville"/>
          <w:b/>
          <w:bCs/>
          <w:sz w:val="24"/>
          <w:szCs w:val="24"/>
        </w:rPr>
      </w:pPr>
    </w:p>
    <w:p w:rsidR="007131C1" w:rsidRDefault="007131C1">
      <w:pPr>
        <w:tabs>
          <w:tab w:val="right" w:pos="8364"/>
        </w:tabs>
        <w:ind w:left="567" w:hanging="567"/>
        <w:jc w:val="both"/>
        <w:rPr>
          <w:rFonts w:ascii="NewBaskerville" w:hAnsi="NewBaskerville"/>
          <w:b/>
          <w:bCs/>
          <w:sz w:val="24"/>
          <w:szCs w:val="24"/>
        </w:rPr>
      </w:pPr>
    </w:p>
    <w:p w:rsidR="007131C1" w:rsidRDefault="007131C1">
      <w:pPr>
        <w:tabs>
          <w:tab w:val="right" w:pos="8364"/>
        </w:tabs>
        <w:ind w:left="567" w:hanging="567"/>
        <w:jc w:val="both"/>
        <w:rPr>
          <w:rFonts w:ascii="NewBaskerville" w:hAnsi="NewBaskerville"/>
          <w:b/>
          <w:bCs/>
          <w:sz w:val="24"/>
          <w:szCs w:val="24"/>
        </w:rPr>
      </w:pPr>
    </w:p>
    <w:p w:rsidR="00914209" w:rsidRDefault="00914209">
      <w:pPr>
        <w:tabs>
          <w:tab w:val="right" w:pos="8364"/>
        </w:tabs>
        <w:ind w:left="567" w:hanging="567"/>
        <w:jc w:val="both"/>
        <w:rPr>
          <w:rFonts w:ascii="NewBaskerville" w:hAnsi="NewBaskerville"/>
          <w:b/>
          <w:bCs/>
          <w:sz w:val="24"/>
          <w:szCs w:val="24"/>
        </w:rPr>
      </w:pPr>
      <w:r>
        <w:rPr>
          <w:rFonts w:ascii="NewBaskerville" w:hAnsi="NewBaskerville"/>
          <w:b/>
          <w:bCs/>
          <w:sz w:val="24"/>
          <w:szCs w:val="24"/>
        </w:rPr>
        <w:br w:type="page"/>
      </w:r>
    </w:p>
    <w:p w:rsidR="002C4355" w:rsidRPr="00556957" w:rsidRDefault="002C4355">
      <w:pPr>
        <w:tabs>
          <w:tab w:val="right" w:pos="8364"/>
        </w:tabs>
        <w:ind w:left="567" w:hanging="567"/>
        <w:jc w:val="both"/>
        <w:rPr>
          <w:rFonts w:ascii="NewBaskerville" w:hAnsi="NewBaskerville"/>
          <w:b/>
          <w:bCs/>
          <w:sz w:val="24"/>
          <w:szCs w:val="24"/>
        </w:rPr>
      </w:pPr>
      <w:r w:rsidRPr="00556957">
        <w:rPr>
          <w:rFonts w:ascii="NewBaskerville" w:hAnsi="NewBaskerville"/>
          <w:b/>
          <w:bCs/>
          <w:sz w:val="24"/>
          <w:szCs w:val="24"/>
        </w:rPr>
        <w:lastRenderedPageBreak/>
        <w:t>1</w:t>
      </w:r>
      <w:r w:rsidR="00A00693" w:rsidRPr="00556957">
        <w:rPr>
          <w:rFonts w:ascii="NewBaskerville" w:hAnsi="NewBaskerville"/>
          <w:b/>
          <w:bCs/>
          <w:sz w:val="24"/>
          <w:szCs w:val="24"/>
        </w:rPr>
        <w:t>3</w:t>
      </w:r>
      <w:r w:rsidR="00BF22FE" w:rsidRPr="00556957">
        <w:rPr>
          <w:rFonts w:ascii="NewBaskerville" w:hAnsi="NewBaskerville"/>
          <w:b/>
          <w:bCs/>
          <w:sz w:val="24"/>
          <w:szCs w:val="24"/>
        </w:rPr>
        <w:t xml:space="preserve">. </w:t>
      </w:r>
      <w:r w:rsidRPr="00556957">
        <w:rPr>
          <w:rFonts w:ascii="NewBaskerville" w:hAnsi="NewBaskerville"/>
          <w:b/>
          <w:bCs/>
          <w:sz w:val="24"/>
          <w:szCs w:val="24"/>
        </w:rPr>
        <w:t>Información sobre medio ambiente</w:t>
      </w:r>
    </w:p>
    <w:p w:rsidR="00B8285C" w:rsidRPr="00556957" w:rsidRDefault="00B8285C">
      <w:pPr>
        <w:tabs>
          <w:tab w:val="right" w:pos="8364"/>
        </w:tabs>
        <w:ind w:left="567" w:hanging="567"/>
        <w:jc w:val="both"/>
        <w:rPr>
          <w:rFonts w:ascii="NewBaskerville" w:hAnsi="NewBaskerville"/>
          <w:b/>
          <w:bCs/>
          <w:sz w:val="24"/>
          <w:szCs w:val="24"/>
        </w:rPr>
      </w:pPr>
    </w:p>
    <w:p w:rsidR="00E809AA" w:rsidRDefault="002C4355" w:rsidP="00576518">
      <w:pPr>
        <w:pStyle w:val="Sangradetextonormal"/>
        <w:ind w:firstLine="0"/>
        <w:rPr>
          <w:rFonts w:ascii="NewBaskerville" w:hAnsi="NewBaskerville"/>
          <w:bCs/>
          <w:sz w:val="20"/>
        </w:rPr>
      </w:pPr>
      <w:r w:rsidRPr="00556957">
        <w:rPr>
          <w:rFonts w:ascii="NewBaskerville" w:hAnsi="NewBaskerville"/>
          <w:bCs/>
          <w:sz w:val="20"/>
        </w:rPr>
        <w:t>Los gastos efectuados en el ejercicio</w:t>
      </w:r>
      <w:r w:rsidR="00C2536F" w:rsidRPr="00556957">
        <w:rPr>
          <w:rFonts w:ascii="NewBaskerville" w:hAnsi="NewBaskerville"/>
          <w:bCs/>
          <w:sz w:val="20"/>
        </w:rPr>
        <w:t xml:space="preserve"> </w:t>
      </w:r>
      <w:r w:rsidR="00C2536F" w:rsidRPr="00F015C9">
        <w:rPr>
          <w:rFonts w:ascii="NewBaskerville" w:hAnsi="NewBaskerville"/>
          <w:b/>
          <w:bCs/>
          <w:sz w:val="20"/>
        </w:rPr>
        <w:t>202</w:t>
      </w:r>
      <w:r w:rsidR="00C91D1C">
        <w:rPr>
          <w:rFonts w:ascii="NewBaskerville" w:hAnsi="NewBaskerville"/>
          <w:b/>
          <w:bCs/>
          <w:sz w:val="20"/>
        </w:rPr>
        <w:t>4</w:t>
      </w:r>
      <w:r w:rsidR="00D95F74" w:rsidRPr="00556957">
        <w:rPr>
          <w:rFonts w:ascii="NewBaskerville" w:hAnsi="NewBaskerville"/>
          <w:bCs/>
          <w:sz w:val="20"/>
        </w:rPr>
        <w:t xml:space="preserve"> </w:t>
      </w:r>
      <w:r w:rsidRPr="00556957">
        <w:rPr>
          <w:rFonts w:ascii="NewBaskerville" w:hAnsi="NewBaskerville"/>
          <w:bCs/>
          <w:sz w:val="20"/>
        </w:rPr>
        <w:t xml:space="preserve"> por actividades medioambientales corresponden a gastos ordinarios del ejercicio contabilizados por su naturaleza en sus respectivas cuentas contables</w:t>
      </w:r>
      <w:r w:rsidR="00D95F74" w:rsidRPr="00556957">
        <w:rPr>
          <w:rFonts w:ascii="NewBaskerville" w:hAnsi="NewBaskerville"/>
          <w:bCs/>
          <w:sz w:val="20"/>
        </w:rPr>
        <w:t xml:space="preserve"> por un total de </w:t>
      </w:r>
      <w:r w:rsidR="00F015C9" w:rsidRPr="00AE1189">
        <w:rPr>
          <w:rFonts w:ascii="NewBaskerville" w:hAnsi="NewBaskerville"/>
          <w:b/>
          <w:bCs/>
          <w:sz w:val="20"/>
        </w:rPr>
        <w:t>2.</w:t>
      </w:r>
      <w:r w:rsidR="00C91D1C">
        <w:rPr>
          <w:rFonts w:ascii="NewBaskerville" w:hAnsi="NewBaskerville"/>
          <w:b/>
          <w:bCs/>
          <w:sz w:val="20"/>
        </w:rPr>
        <w:t>931.591,06</w:t>
      </w:r>
      <w:r w:rsidR="00151A2A" w:rsidRPr="00556957">
        <w:rPr>
          <w:rFonts w:ascii="NewBaskerville" w:hAnsi="NewBaskerville"/>
          <w:bCs/>
          <w:sz w:val="20"/>
        </w:rPr>
        <w:t xml:space="preserve"> </w:t>
      </w:r>
      <w:r w:rsidR="00AE1189">
        <w:rPr>
          <w:rFonts w:ascii="NewBaskerville" w:hAnsi="NewBaskerville"/>
          <w:bCs/>
          <w:sz w:val="20"/>
        </w:rPr>
        <w:t>euros</w:t>
      </w:r>
      <w:r w:rsidR="00BD20B8" w:rsidRPr="00556957">
        <w:rPr>
          <w:rFonts w:ascii="NewBaskerville" w:hAnsi="NewBaskerville"/>
          <w:bCs/>
          <w:sz w:val="20"/>
        </w:rPr>
        <w:t xml:space="preserve">. </w:t>
      </w:r>
      <w:r w:rsidR="00747953" w:rsidRPr="00556957">
        <w:rPr>
          <w:rFonts w:ascii="NewBaskerville" w:hAnsi="NewBaskerville"/>
          <w:bCs/>
          <w:sz w:val="20"/>
        </w:rPr>
        <w:t>Las ac</w:t>
      </w:r>
      <w:r w:rsidR="00BD20B8" w:rsidRPr="00556957">
        <w:rPr>
          <w:rFonts w:ascii="NewBaskerville" w:hAnsi="NewBaskerville"/>
          <w:bCs/>
          <w:sz w:val="20"/>
        </w:rPr>
        <w:t>t</w:t>
      </w:r>
      <w:r w:rsidR="00747953" w:rsidRPr="00556957">
        <w:rPr>
          <w:rFonts w:ascii="NewBaskerville" w:hAnsi="NewBaskerville"/>
          <w:bCs/>
          <w:sz w:val="20"/>
        </w:rPr>
        <w:t>u</w:t>
      </w:r>
      <w:r w:rsidR="00BD20B8" w:rsidRPr="00556957">
        <w:rPr>
          <w:rFonts w:ascii="NewBaskerville" w:hAnsi="NewBaskerville"/>
          <w:bCs/>
          <w:sz w:val="20"/>
        </w:rPr>
        <w:t>aciones medioambientales han correspondido a</w:t>
      </w:r>
      <w:r w:rsidR="00662D97" w:rsidRPr="00556957">
        <w:rPr>
          <w:rFonts w:ascii="NewBaskerville" w:hAnsi="NewBaskerville"/>
          <w:bCs/>
          <w:sz w:val="20"/>
        </w:rPr>
        <w:t>:</w:t>
      </w:r>
    </w:p>
    <w:p w:rsidR="00070E83" w:rsidRDefault="00070E83" w:rsidP="00576518">
      <w:pPr>
        <w:pStyle w:val="Sangradetextonormal"/>
        <w:ind w:firstLine="0"/>
        <w:rPr>
          <w:rFonts w:ascii="NewBaskerville" w:hAnsi="NewBaskerville"/>
          <w:bCs/>
          <w:sz w:val="20"/>
        </w:rPr>
      </w:pPr>
    </w:p>
    <w:tbl>
      <w:tblPr>
        <w:tblW w:w="5000" w:type="pct"/>
        <w:tblCellMar>
          <w:left w:w="70" w:type="dxa"/>
          <w:right w:w="70" w:type="dxa"/>
        </w:tblCellMar>
        <w:tblLook w:val="04A0" w:firstRow="1" w:lastRow="0" w:firstColumn="1" w:lastColumn="0" w:noHBand="0" w:noVBand="1"/>
      </w:tblPr>
      <w:tblGrid>
        <w:gridCol w:w="742"/>
        <w:gridCol w:w="587"/>
        <w:gridCol w:w="587"/>
        <w:gridCol w:w="587"/>
        <w:gridCol w:w="5292"/>
        <w:gridCol w:w="1558"/>
      </w:tblGrid>
      <w:tr w:rsidR="00070E83" w:rsidRPr="00070E83" w:rsidTr="00070E83">
        <w:trPr>
          <w:trHeight w:val="402"/>
        </w:trPr>
        <w:tc>
          <w:tcPr>
            <w:tcW w:w="416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70E83" w:rsidRPr="00070E83" w:rsidRDefault="00070E83" w:rsidP="00070E83">
            <w:pPr>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MARPOL</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rsidR="00070E83" w:rsidRPr="00070E83" w:rsidRDefault="00070E83" w:rsidP="00070E83">
            <w:pPr>
              <w:jc w:val="right"/>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2.416.830,16</w:t>
            </w:r>
          </w:p>
        </w:tc>
      </w:tr>
      <w:tr w:rsidR="00070E83" w:rsidRPr="00070E83" w:rsidTr="00070E83">
        <w:trPr>
          <w:trHeight w:val="402"/>
        </w:trPr>
        <w:tc>
          <w:tcPr>
            <w:tcW w:w="416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70E83" w:rsidRPr="00070E83" w:rsidRDefault="00070E83" w:rsidP="00070E83">
            <w:pPr>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Asistencia Técnica para la implantación de la estrategia ambiental</w:t>
            </w:r>
          </w:p>
        </w:tc>
        <w:tc>
          <w:tcPr>
            <w:tcW w:w="833" w:type="pct"/>
            <w:tcBorders>
              <w:top w:val="nil"/>
              <w:left w:val="nil"/>
              <w:bottom w:val="single" w:sz="8" w:space="0" w:color="auto"/>
              <w:right w:val="single" w:sz="8" w:space="0" w:color="auto"/>
            </w:tcBorders>
            <w:shd w:val="clear" w:color="auto" w:fill="auto"/>
            <w:noWrap/>
            <w:vAlign w:val="center"/>
            <w:hideMark/>
          </w:tcPr>
          <w:p w:rsidR="00070E83" w:rsidRPr="00070E83" w:rsidRDefault="00070E83" w:rsidP="00070E83">
            <w:pPr>
              <w:jc w:val="right"/>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82.016,25</w:t>
            </w:r>
          </w:p>
        </w:tc>
      </w:tr>
      <w:tr w:rsidR="00070E83" w:rsidRPr="00070E83" w:rsidTr="00070E83">
        <w:trPr>
          <w:trHeight w:val="510"/>
        </w:trPr>
        <w:tc>
          <w:tcPr>
            <w:tcW w:w="4167" w:type="pct"/>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070E83" w:rsidRPr="00070E83" w:rsidRDefault="00070E83" w:rsidP="00070E83">
            <w:pPr>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Asistencia Técnica para seguimiento y control de la calidad de las aguas de los puertos de la Autoridad Portuaria de Baleares según la ROM 5.1-13</w:t>
            </w:r>
          </w:p>
        </w:tc>
        <w:tc>
          <w:tcPr>
            <w:tcW w:w="833" w:type="pct"/>
            <w:tcBorders>
              <w:top w:val="nil"/>
              <w:left w:val="nil"/>
              <w:bottom w:val="single" w:sz="8" w:space="0" w:color="auto"/>
              <w:right w:val="single" w:sz="8" w:space="0" w:color="auto"/>
            </w:tcBorders>
            <w:shd w:val="clear" w:color="auto" w:fill="auto"/>
            <w:noWrap/>
            <w:vAlign w:val="center"/>
            <w:hideMark/>
          </w:tcPr>
          <w:p w:rsidR="00070E83" w:rsidRPr="00070E83" w:rsidRDefault="00070E83" w:rsidP="00070E83">
            <w:pPr>
              <w:jc w:val="right"/>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61.451,26</w:t>
            </w:r>
          </w:p>
        </w:tc>
      </w:tr>
      <w:tr w:rsidR="00070E83" w:rsidRPr="00070E83" w:rsidTr="00070E83">
        <w:trPr>
          <w:trHeight w:val="402"/>
        </w:trPr>
        <w:tc>
          <w:tcPr>
            <w:tcW w:w="416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70E83" w:rsidRPr="00070E83" w:rsidRDefault="00070E83" w:rsidP="00070E83">
            <w:pPr>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Gestión de residuos de embarcaciones abandonadas</w:t>
            </w:r>
          </w:p>
        </w:tc>
        <w:tc>
          <w:tcPr>
            <w:tcW w:w="833" w:type="pct"/>
            <w:tcBorders>
              <w:top w:val="nil"/>
              <w:left w:val="nil"/>
              <w:bottom w:val="single" w:sz="8" w:space="0" w:color="auto"/>
              <w:right w:val="single" w:sz="8" w:space="0" w:color="auto"/>
            </w:tcBorders>
            <w:shd w:val="clear" w:color="auto" w:fill="auto"/>
            <w:noWrap/>
            <w:vAlign w:val="center"/>
            <w:hideMark/>
          </w:tcPr>
          <w:p w:rsidR="00070E83" w:rsidRPr="00070E83" w:rsidRDefault="00070E83" w:rsidP="00070E83">
            <w:pPr>
              <w:jc w:val="right"/>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38.615,50</w:t>
            </w:r>
          </w:p>
        </w:tc>
      </w:tr>
      <w:tr w:rsidR="00070E83" w:rsidRPr="00070E83" w:rsidTr="00070E83">
        <w:trPr>
          <w:trHeight w:val="402"/>
        </w:trPr>
        <w:tc>
          <w:tcPr>
            <w:tcW w:w="416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70E83" w:rsidRPr="00070E83" w:rsidRDefault="00070E83" w:rsidP="00070E83">
            <w:pPr>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Mantenimiento de la exclusión de aves y gestión del resto de la fauna en edificios y dependencias del puerto de Palma</w:t>
            </w:r>
          </w:p>
        </w:tc>
        <w:tc>
          <w:tcPr>
            <w:tcW w:w="833" w:type="pct"/>
            <w:tcBorders>
              <w:top w:val="nil"/>
              <w:left w:val="nil"/>
              <w:bottom w:val="single" w:sz="8" w:space="0" w:color="auto"/>
              <w:right w:val="single" w:sz="8" w:space="0" w:color="auto"/>
            </w:tcBorders>
            <w:shd w:val="clear" w:color="auto" w:fill="auto"/>
            <w:noWrap/>
            <w:vAlign w:val="center"/>
            <w:hideMark/>
          </w:tcPr>
          <w:p w:rsidR="00070E83" w:rsidRPr="00070E83" w:rsidRDefault="00070E83" w:rsidP="00070E83">
            <w:pPr>
              <w:jc w:val="right"/>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189.981,59</w:t>
            </w:r>
          </w:p>
        </w:tc>
      </w:tr>
      <w:tr w:rsidR="00070E83" w:rsidRPr="00070E83" w:rsidTr="00070E83">
        <w:trPr>
          <w:trHeight w:val="402"/>
        </w:trPr>
        <w:tc>
          <w:tcPr>
            <w:tcW w:w="416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70E83" w:rsidRPr="00070E83" w:rsidRDefault="00070E83" w:rsidP="00070E83">
            <w:pPr>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Control de calidad del agua potable del puerto de Palma</w:t>
            </w:r>
          </w:p>
        </w:tc>
        <w:tc>
          <w:tcPr>
            <w:tcW w:w="833" w:type="pct"/>
            <w:tcBorders>
              <w:top w:val="nil"/>
              <w:left w:val="nil"/>
              <w:bottom w:val="single" w:sz="8" w:space="0" w:color="auto"/>
              <w:right w:val="single" w:sz="8" w:space="0" w:color="auto"/>
            </w:tcBorders>
            <w:shd w:val="clear" w:color="auto" w:fill="auto"/>
            <w:noWrap/>
            <w:vAlign w:val="center"/>
            <w:hideMark/>
          </w:tcPr>
          <w:p w:rsidR="00070E83" w:rsidRPr="00070E83" w:rsidRDefault="00070E83" w:rsidP="00070E83">
            <w:pPr>
              <w:jc w:val="right"/>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20.408,63</w:t>
            </w:r>
          </w:p>
        </w:tc>
      </w:tr>
      <w:tr w:rsidR="00070E83" w:rsidRPr="00070E83" w:rsidTr="00070E83">
        <w:trPr>
          <w:trHeight w:val="448"/>
        </w:trPr>
        <w:tc>
          <w:tcPr>
            <w:tcW w:w="4167" w:type="pct"/>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070E83" w:rsidRPr="00070E83" w:rsidRDefault="00070E83" w:rsidP="00070E83">
            <w:pPr>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Trabajos previos para la caracterización de suelos y el diseño del Plan de gestión de suelos potencialmente contaminados en los puertos gestionados por la Autoridad Portuaria de Baleares</w:t>
            </w:r>
          </w:p>
        </w:tc>
        <w:tc>
          <w:tcPr>
            <w:tcW w:w="833" w:type="pct"/>
            <w:tcBorders>
              <w:top w:val="nil"/>
              <w:left w:val="nil"/>
              <w:bottom w:val="single" w:sz="8" w:space="0" w:color="auto"/>
              <w:right w:val="single" w:sz="8" w:space="0" w:color="auto"/>
            </w:tcBorders>
            <w:shd w:val="clear" w:color="auto" w:fill="auto"/>
            <w:noWrap/>
            <w:vAlign w:val="center"/>
            <w:hideMark/>
          </w:tcPr>
          <w:p w:rsidR="00070E83" w:rsidRPr="00070E83" w:rsidRDefault="00070E83" w:rsidP="00070E83">
            <w:pPr>
              <w:jc w:val="right"/>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8.365,37</w:t>
            </w:r>
          </w:p>
        </w:tc>
      </w:tr>
      <w:tr w:rsidR="00070E83" w:rsidRPr="00070E83" w:rsidTr="00070E83">
        <w:trPr>
          <w:trHeight w:val="402"/>
        </w:trPr>
        <w:tc>
          <w:tcPr>
            <w:tcW w:w="416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70E83" w:rsidRPr="00070E83" w:rsidRDefault="00070E83" w:rsidP="00070E83">
            <w:pPr>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Resto actuaciones</w:t>
            </w:r>
          </w:p>
        </w:tc>
        <w:tc>
          <w:tcPr>
            <w:tcW w:w="833" w:type="pct"/>
            <w:tcBorders>
              <w:top w:val="nil"/>
              <w:left w:val="nil"/>
              <w:bottom w:val="single" w:sz="8" w:space="0" w:color="auto"/>
              <w:right w:val="single" w:sz="8" w:space="0" w:color="auto"/>
            </w:tcBorders>
            <w:shd w:val="clear" w:color="auto" w:fill="auto"/>
            <w:noWrap/>
            <w:vAlign w:val="center"/>
            <w:hideMark/>
          </w:tcPr>
          <w:p w:rsidR="00070E83" w:rsidRPr="00070E83" w:rsidRDefault="00070E83" w:rsidP="00070E83">
            <w:pPr>
              <w:jc w:val="right"/>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113.922,30</w:t>
            </w:r>
          </w:p>
        </w:tc>
      </w:tr>
      <w:tr w:rsidR="00070E83" w:rsidRPr="00070E83" w:rsidTr="00070E83">
        <w:trPr>
          <w:trHeight w:val="402"/>
        </w:trPr>
        <w:tc>
          <w:tcPr>
            <w:tcW w:w="396" w:type="pct"/>
            <w:tcBorders>
              <w:top w:val="nil"/>
              <w:left w:val="single" w:sz="8" w:space="0" w:color="auto"/>
              <w:bottom w:val="single" w:sz="8" w:space="0" w:color="auto"/>
              <w:right w:val="nil"/>
            </w:tcBorders>
            <w:shd w:val="clear" w:color="auto" w:fill="auto"/>
            <w:noWrap/>
            <w:vAlign w:val="center"/>
            <w:hideMark/>
          </w:tcPr>
          <w:p w:rsidR="00070E83" w:rsidRPr="00070E83" w:rsidRDefault="00070E83" w:rsidP="00070E83">
            <w:pPr>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 </w:t>
            </w:r>
          </w:p>
        </w:tc>
        <w:tc>
          <w:tcPr>
            <w:tcW w:w="314" w:type="pct"/>
            <w:tcBorders>
              <w:top w:val="nil"/>
              <w:left w:val="nil"/>
              <w:bottom w:val="single" w:sz="8" w:space="0" w:color="auto"/>
              <w:right w:val="nil"/>
            </w:tcBorders>
            <w:shd w:val="clear" w:color="auto" w:fill="auto"/>
            <w:noWrap/>
            <w:vAlign w:val="center"/>
            <w:hideMark/>
          </w:tcPr>
          <w:p w:rsidR="00070E83" w:rsidRPr="00070E83" w:rsidRDefault="00070E83" w:rsidP="00070E83">
            <w:pPr>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 </w:t>
            </w:r>
          </w:p>
        </w:tc>
        <w:tc>
          <w:tcPr>
            <w:tcW w:w="314" w:type="pct"/>
            <w:tcBorders>
              <w:top w:val="nil"/>
              <w:left w:val="nil"/>
              <w:bottom w:val="single" w:sz="8" w:space="0" w:color="auto"/>
              <w:right w:val="nil"/>
            </w:tcBorders>
            <w:shd w:val="clear" w:color="auto" w:fill="auto"/>
            <w:noWrap/>
            <w:vAlign w:val="center"/>
            <w:hideMark/>
          </w:tcPr>
          <w:p w:rsidR="00070E83" w:rsidRPr="00070E83" w:rsidRDefault="00070E83" w:rsidP="00070E83">
            <w:pPr>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 </w:t>
            </w:r>
          </w:p>
        </w:tc>
        <w:tc>
          <w:tcPr>
            <w:tcW w:w="314" w:type="pct"/>
            <w:tcBorders>
              <w:top w:val="nil"/>
              <w:left w:val="nil"/>
              <w:bottom w:val="single" w:sz="8" w:space="0" w:color="auto"/>
              <w:right w:val="nil"/>
            </w:tcBorders>
            <w:shd w:val="clear" w:color="auto" w:fill="auto"/>
            <w:noWrap/>
            <w:vAlign w:val="center"/>
            <w:hideMark/>
          </w:tcPr>
          <w:p w:rsidR="00070E83" w:rsidRPr="00070E83" w:rsidRDefault="00070E83" w:rsidP="00070E83">
            <w:pPr>
              <w:rPr>
                <w:rFonts w:ascii="NewBaskerville" w:hAnsi="NewBaskerville" w:cs="Calibri"/>
                <w:color w:val="000000"/>
                <w:sz w:val="14"/>
                <w:szCs w:val="14"/>
                <w:lang w:val="es-ES"/>
              </w:rPr>
            </w:pPr>
            <w:r w:rsidRPr="00070E83">
              <w:rPr>
                <w:rFonts w:ascii="NewBaskerville" w:hAnsi="NewBaskerville" w:cs="Calibri"/>
                <w:color w:val="000000"/>
                <w:sz w:val="14"/>
                <w:szCs w:val="14"/>
                <w:lang w:val="es-ES"/>
              </w:rPr>
              <w:t> </w:t>
            </w:r>
          </w:p>
        </w:tc>
        <w:tc>
          <w:tcPr>
            <w:tcW w:w="2829" w:type="pct"/>
            <w:tcBorders>
              <w:top w:val="nil"/>
              <w:left w:val="nil"/>
              <w:bottom w:val="single" w:sz="8" w:space="0" w:color="auto"/>
              <w:right w:val="single" w:sz="8" w:space="0" w:color="auto"/>
            </w:tcBorders>
            <w:shd w:val="clear" w:color="auto" w:fill="auto"/>
            <w:noWrap/>
            <w:vAlign w:val="center"/>
            <w:hideMark/>
          </w:tcPr>
          <w:p w:rsidR="00070E83" w:rsidRPr="00070E83" w:rsidRDefault="00070E83" w:rsidP="00070E83">
            <w:pPr>
              <w:jc w:val="right"/>
              <w:rPr>
                <w:rFonts w:ascii="NewBaskerville" w:hAnsi="NewBaskerville" w:cs="Calibri"/>
                <w:b/>
                <w:bCs/>
                <w:color w:val="000000"/>
                <w:sz w:val="14"/>
                <w:szCs w:val="14"/>
                <w:lang w:val="es-ES"/>
              </w:rPr>
            </w:pPr>
            <w:r w:rsidRPr="00070E83">
              <w:rPr>
                <w:rFonts w:ascii="NewBaskerville" w:hAnsi="NewBaskerville" w:cs="Calibri"/>
                <w:b/>
                <w:bCs/>
                <w:color w:val="000000"/>
                <w:sz w:val="14"/>
                <w:szCs w:val="14"/>
                <w:lang w:val="es-ES"/>
              </w:rPr>
              <w:t>Total</w:t>
            </w:r>
          </w:p>
        </w:tc>
        <w:tc>
          <w:tcPr>
            <w:tcW w:w="833" w:type="pct"/>
            <w:tcBorders>
              <w:top w:val="nil"/>
              <w:left w:val="nil"/>
              <w:bottom w:val="single" w:sz="8" w:space="0" w:color="auto"/>
              <w:right w:val="single" w:sz="8" w:space="0" w:color="auto"/>
            </w:tcBorders>
            <w:shd w:val="clear" w:color="auto" w:fill="auto"/>
            <w:noWrap/>
            <w:vAlign w:val="center"/>
            <w:hideMark/>
          </w:tcPr>
          <w:p w:rsidR="00070E83" w:rsidRPr="00070E83" w:rsidRDefault="00070E83" w:rsidP="00070E83">
            <w:pPr>
              <w:jc w:val="right"/>
              <w:rPr>
                <w:rFonts w:ascii="NewBaskerville" w:hAnsi="NewBaskerville" w:cs="Calibri"/>
                <w:b/>
                <w:bCs/>
                <w:color w:val="000000"/>
                <w:sz w:val="14"/>
                <w:szCs w:val="14"/>
                <w:lang w:val="es-ES"/>
              </w:rPr>
            </w:pPr>
            <w:r w:rsidRPr="00070E83">
              <w:rPr>
                <w:rFonts w:ascii="NewBaskerville" w:hAnsi="NewBaskerville" w:cs="Calibri"/>
                <w:b/>
                <w:bCs/>
                <w:color w:val="000000"/>
                <w:sz w:val="14"/>
                <w:szCs w:val="14"/>
                <w:lang w:val="es-ES"/>
              </w:rPr>
              <w:t>2.931.591,06</w:t>
            </w:r>
          </w:p>
        </w:tc>
      </w:tr>
    </w:tbl>
    <w:p w:rsidR="00D14CEC" w:rsidRDefault="00D14CEC" w:rsidP="0081769D">
      <w:pPr>
        <w:rPr>
          <w:noProof/>
          <w:lang w:val="es-ES"/>
        </w:rPr>
      </w:pPr>
    </w:p>
    <w:p w:rsidR="0045316E" w:rsidRDefault="0045316E" w:rsidP="0081769D">
      <w:pPr>
        <w:tabs>
          <w:tab w:val="right" w:pos="8364"/>
        </w:tabs>
        <w:jc w:val="both"/>
        <w:rPr>
          <w:b/>
          <w:bCs/>
          <w:sz w:val="24"/>
          <w:szCs w:val="24"/>
        </w:rPr>
      </w:pPr>
    </w:p>
    <w:p w:rsidR="0045316E" w:rsidRPr="00F015C9" w:rsidRDefault="009519EE" w:rsidP="0081769D">
      <w:pPr>
        <w:tabs>
          <w:tab w:val="right" w:pos="8364"/>
        </w:tabs>
        <w:jc w:val="both"/>
        <w:rPr>
          <w:rFonts w:ascii="NewBaskerville" w:hAnsi="NewBaskerville"/>
          <w:b/>
          <w:bCs/>
          <w:sz w:val="24"/>
          <w:szCs w:val="24"/>
        </w:rPr>
      </w:pPr>
      <w:r w:rsidRPr="00F015C9">
        <w:rPr>
          <w:rFonts w:ascii="NewBaskerville" w:hAnsi="NewBaskerville"/>
          <w:bCs/>
        </w:rPr>
        <w:t>En</w:t>
      </w:r>
      <w:r w:rsidRPr="00F015C9">
        <w:rPr>
          <w:rFonts w:ascii="NewBaskerville" w:hAnsi="NewBaskerville"/>
          <w:b/>
          <w:bCs/>
        </w:rPr>
        <w:t xml:space="preserve"> 202</w:t>
      </w:r>
      <w:r w:rsidR="00C91D1C">
        <w:rPr>
          <w:rFonts w:ascii="NewBaskerville" w:hAnsi="NewBaskerville"/>
          <w:b/>
          <w:bCs/>
        </w:rPr>
        <w:t>4</w:t>
      </w:r>
      <w:r w:rsidRPr="00F015C9">
        <w:rPr>
          <w:rFonts w:ascii="NewBaskerville" w:hAnsi="NewBaskerville"/>
          <w:bCs/>
        </w:rPr>
        <w:t xml:space="preserve"> se han </w:t>
      </w:r>
      <w:r w:rsidR="00BC5886">
        <w:rPr>
          <w:rFonts w:ascii="NewBaskerville" w:hAnsi="NewBaskerville"/>
          <w:bCs/>
        </w:rPr>
        <w:t>incorporado al inmovilizado material inversiones</w:t>
      </w:r>
      <w:r w:rsidRPr="00F015C9">
        <w:rPr>
          <w:rFonts w:ascii="NewBaskerville" w:hAnsi="NewBaskerville"/>
          <w:bCs/>
        </w:rPr>
        <w:t xml:space="preserve"> en acciones </w:t>
      </w:r>
      <w:r w:rsidR="007945EA">
        <w:rPr>
          <w:rFonts w:ascii="NewBaskerville" w:hAnsi="NewBaskerville"/>
          <w:bCs/>
        </w:rPr>
        <w:t>medioambientales</w:t>
      </w:r>
      <w:r w:rsidR="00533ECB">
        <w:rPr>
          <w:rFonts w:ascii="NewBaskerville" w:hAnsi="NewBaskerville"/>
          <w:bCs/>
        </w:rPr>
        <w:t xml:space="preserve"> en l</w:t>
      </w:r>
      <w:r w:rsidR="00C91D1C">
        <w:rPr>
          <w:rFonts w:ascii="NewBaskerville" w:hAnsi="NewBaskerville"/>
          <w:bCs/>
        </w:rPr>
        <w:t>os diferentes puertos de la APB por importe de 3.709.459,79 euros.</w:t>
      </w:r>
    </w:p>
    <w:p w:rsidR="0045316E" w:rsidRDefault="0045316E" w:rsidP="0081769D">
      <w:pPr>
        <w:tabs>
          <w:tab w:val="right" w:pos="8364"/>
        </w:tabs>
        <w:jc w:val="both"/>
        <w:rPr>
          <w:b/>
          <w:bCs/>
          <w:sz w:val="24"/>
          <w:szCs w:val="24"/>
        </w:rPr>
      </w:pPr>
    </w:p>
    <w:p w:rsidR="003A69CC" w:rsidRDefault="003A69CC" w:rsidP="003A69CC">
      <w:pPr>
        <w:tabs>
          <w:tab w:val="right" w:pos="8364"/>
        </w:tabs>
        <w:ind w:firstLine="567"/>
        <w:jc w:val="both"/>
        <w:rPr>
          <w:rFonts w:ascii="NewBaskerville" w:hAnsi="NewBaskerville"/>
          <w:bCs/>
        </w:rPr>
      </w:pPr>
      <w:r>
        <w:rPr>
          <w:rFonts w:ascii="NewBaskerville" w:hAnsi="NewBaskerville"/>
          <w:bCs/>
        </w:rPr>
        <w:t xml:space="preserve">En el </w:t>
      </w:r>
      <w:r w:rsidRPr="003A69CC">
        <w:rPr>
          <w:rFonts w:ascii="NewBaskerville" w:hAnsi="NewBaskerville"/>
          <w:b/>
          <w:bCs/>
        </w:rPr>
        <w:t>202</w:t>
      </w:r>
      <w:r w:rsidR="00C91D1C">
        <w:rPr>
          <w:rFonts w:ascii="NewBaskerville" w:hAnsi="NewBaskerville"/>
          <w:b/>
          <w:bCs/>
        </w:rPr>
        <w:t>4</w:t>
      </w:r>
      <w:r>
        <w:rPr>
          <w:rFonts w:ascii="NewBaskerville" w:hAnsi="NewBaskerville"/>
          <w:bCs/>
        </w:rPr>
        <w:t xml:space="preserve"> se han efectuado inversiones en infraestructura por un importe total de </w:t>
      </w:r>
      <w:r w:rsidR="00070E83" w:rsidRPr="00147FC6">
        <w:rPr>
          <w:rFonts w:ascii="NewBaskerville" w:hAnsi="NewBaskerville"/>
          <w:b/>
          <w:bCs/>
        </w:rPr>
        <w:t>415</w:t>
      </w:r>
      <w:r w:rsidRPr="00147FC6">
        <w:rPr>
          <w:rFonts w:ascii="NewBaskerville" w:hAnsi="NewBaskerville"/>
          <w:b/>
          <w:bCs/>
        </w:rPr>
        <w:t>.</w:t>
      </w:r>
      <w:r w:rsidR="00147FC6" w:rsidRPr="00147FC6">
        <w:rPr>
          <w:rFonts w:ascii="NewBaskerville" w:hAnsi="NewBaskerville"/>
          <w:b/>
          <w:bCs/>
        </w:rPr>
        <w:t>924</w:t>
      </w:r>
      <w:r w:rsidRPr="00147FC6">
        <w:rPr>
          <w:rFonts w:ascii="NewBaskerville" w:hAnsi="NewBaskerville"/>
          <w:b/>
          <w:bCs/>
        </w:rPr>
        <w:t>,</w:t>
      </w:r>
      <w:r w:rsidR="00147FC6" w:rsidRPr="00147FC6">
        <w:rPr>
          <w:rFonts w:ascii="NewBaskerville" w:hAnsi="NewBaskerville"/>
          <w:b/>
          <w:bCs/>
        </w:rPr>
        <w:t>04</w:t>
      </w:r>
      <w:r>
        <w:rPr>
          <w:rFonts w:ascii="NewBaskerville" w:hAnsi="NewBaskerville"/>
          <w:b/>
          <w:bCs/>
        </w:rPr>
        <w:t xml:space="preserve"> </w:t>
      </w:r>
      <w:r>
        <w:rPr>
          <w:rFonts w:ascii="NewBaskerville" w:hAnsi="NewBaskerville"/>
          <w:bCs/>
        </w:rPr>
        <w:t>euros, en acciones medioambientales catalogadas de inmovilizado en curso, en los diferentes puertos correspondiendo a las siguientes actuaciones:</w:t>
      </w:r>
    </w:p>
    <w:p w:rsidR="00147FC6" w:rsidRDefault="00147FC6" w:rsidP="003A69CC">
      <w:pPr>
        <w:tabs>
          <w:tab w:val="right" w:pos="8364"/>
        </w:tabs>
        <w:ind w:firstLine="567"/>
        <w:jc w:val="both"/>
        <w:rPr>
          <w:rFonts w:ascii="NewBaskerville" w:hAnsi="NewBaskerville"/>
          <w:bCs/>
        </w:rPr>
      </w:pPr>
    </w:p>
    <w:tbl>
      <w:tblPr>
        <w:tblW w:w="5000" w:type="pct"/>
        <w:tblCellMar>
          <w:left w:w="70" w:type="dxa"/>
          <w:right w:w="70" w:type="dxa"/>
        </w:tblCellMar>
        <w:tblLook w:val="04A0" w:firstRow="1" w:lastRow="0" w:firstColumn="1" w:lastColumn="0" w:noHBand="0" w:noVBand="1"/>
      </w:tblPr>
      <w:tblGrid>
        <w:gridCol w:w="1528"/>
        <w:gridCol w:w="174"/>
        <w:gridCol w:w="174"/>
        <w:gridCol w:w="174"/>
        <w:gridCol w:w="5221"/>
        <w:gridCol w:w="2082"/>
      </w:tblGrid>
      <w:tr w:rsidR="00147FC6" w:rsidRPr="00147FC6" w:rsidTr="00147FC6">
        <w:trPr>
          <w:trHeight w:val="799"/>
        </w:trPr>
        <w:tc>
          <w:tcPr>
            <w:tcW w:w="817" w:type="pct"/>
            <w:tcBorders>
              <w:top w:val="single" w:sz="8" w:space="0" w:color="auto"/>
              <w:left w:val="single" w:sz="8" w:space="0" w:color="auto"/>
              <w:bottom w:val="nil"/>
              <w:right w:val="single" w:sz="8" w:space="0" w:color="auto"/>
            </w:tcBorders>
            <w:shd w:val="clear" w:color="000000" w:fill="CCFFCC"/>
            <w:vAlign w:val="center"/>
            <w:hideMark/>
          </w:tcPr>
          <w:p w:rsidR="00147FC6" w:rsidRPr="00147FC6" w:rsidRDefault="00147FC6" w:rsidP="00147FC6">
            <w:pPr>
              <w:jc w:val="center"/>
              <w:rPr>
                <w:rFonts w:ascii="NewBaskerville" w:hAnsi="NewBaskerville" w:cs="Calibri"/>
                <w:color w:val="000000"/>
                <w:sz w:val="18"/>
                <w:szCs w:val="18"/>
                <w:lang w:val="es-ES"/>
              </w:rPr>
            </w:pPr>
            <w:r w:rsidRPr="00147FC6">
              <w:rPr>
                <w:rFonts w:ascii="NewBaskerville" w:hAnsi="NewBaskerville" w:cs="Calibri"/>
                <w:color w:val="000000"/>
                <w:sz w:val="18"/>
                <w:szCs w:val="18"/>
                <w:lang w:val="es-ES"/>
              </w:rPr>
              <w:t>Nº EXPEDIENTE</w:t>
            </w:r>
          </w:p>
        </w:tc>
        <w:tc>
          <w:tcPr>
            <w:tcW w:w="3070" w:type="pct"/>
            <w:gridSpan w:val="4"/>
            <w:tcBorders>
              <w:top w:val="single" w:sz="8" w:space="0" w:color="auto"/>
              <w:left w:val="nil"/>
              <w:bottom w:val="single" w:sz="8" w:space="0" w:color="auto"/>
              <w:right w:val="single" w:sz="8" w:space="0" w:color="000000"/>
            </w:tcBorders>
            <w:shd w:val="clear" w:color="000000" w:fill="CCFFCC"/>
            <w:vAlign w:val="center"/>
            <w:hideMark/>
          </w:tcPr>
          <w:p w:rsidR="00147FC6" w:rsidRPr="00147FC6" w:rsidRDefault="00147FC6" w:rsidP="00147FC6">
            <w:pPr>
              <w:jc w:val="center"/>
              <w:rPr>
                <w:rFonts w:ascii="NewBaskerville" w:hAnsi="NewBaskerville" w:cs="Calibri"/>
                <w:color w:val="000000"/>
                <w:sz w:val="18"/>
                <w:szCs w:val="18"/>
                <w:lang w:val="es-ES"/>
              </w:rPr>
            </w:pPr>
            <w:r w:rsidRPr="00147FC6">
              <w:rPr>
                <w:rFonts w:ascii="NewBaskerville" w:hAnsi="NewBaskerville" w:cs="Calibri"/>
                <w:color w:val="000000"/>
                <w:sz w:val="18"/>
                <w:szCs w:val="18"/>
                <w:lang w:val="es-ES"/>
              </w:rPr>
              <w:t>DENOMINACIÓN DE LOS PROYECTOS O ADQUISICIONES EN INFRAESTRUCTURA</w:t>
            </w:r>
          </w:p>
        </w:tc>
        <w:tc>
          <w:tcPr>
            <w:tcW w:w="1113" w:type="pct"/>
            <w:tcBorders>
              <w:top w:val="single" w:sz="8" w:space="0" w:color="auto"/>
              <w:left w:val="nil"/>
              <w:bottom w:val="single" w:sz="8" w:space="0" w:color="auto"/>
              <w:right w:val="single" w:sz="8" w:space="0" w:color="000000"/>
            </w:tcBorders>
            <w:shd w:val="clear" w:color="000000" w:fill="CCFFCC"/>
            <w:vAlign w:val="center"/>
            <w:hideMark/>
          </w:tcPr>
          <w:p w:rsidR="00147FC6" w:rsidRPr="00147FC6" w:rsidRDefault="00147FC6" w:rsidP="00147FC6">
            <w:pPr>
              <w:jc w:val="center"/>
              <w:rPr>
                <w:rFonts w:ascii="NewBaskerville" w:hAnsi="NewBaskerville" w:cs="Calibri"/>
                <w:color w:val="000000"/>
                <w:sz w:val="18"/>
                <w:szCs w:val="18"/>
                <w:lang w:val="es-ES"/>
              </w:rPr>
            </w:pPr>
            <w:r w:rsidRPr="00147FC6">
              <w:rPr>
                <w:rFonts w:ascii="NewBaskerville" w:hAnsi="NewBaskerville" w:cs="Calibri"/>
                <w:color w:val="000000"/>
                <w:sz w:val="18"/>
                <w:szCs w:val="18"/>
                <w:lang w:val="es-ES"/>
              </w:rPr>
              <w:t>IMPORTE DEL EJERCICIO 2024</w:t>
            </w:r>
          </w:p>
        </w:tc>
      </w:tr>
      <w:tr w:rsidR="00147FC6" w:rsidRPr="00147FC6" w:rsidTr="00147FC6">
        <w:trPr>
          <w:trHeight w:val="402"/>
        </w:trPr>
        <w:tc>
          <w:tcPr>
            <w:tcW w:w="817" w:type="pct"/>
            <w:tcBorders>
              <w:top w:val="single" w:sz="8" w:space="0" w:color="auto"/>
              <w:left w:val="single" w:sz="8" w:space="0" w:color="auto"/>
              <w:bottom w:val="single" w:sz="8" w:space="0" w:color="auto"/>
              <w:right w:val="nil"/>
            </w:tcBorders>
            <w:shd w:val="clear" w:color="auto" w:fill="auto"/>
            <w:vAlign w:val="center"/>
            <w:hideMark/>
          </w:tcPr>
          <w:p w:rsidR="00147FC6" w:rsidRPr="00147FC6" w:rsidRDefault="00147FC6" w:rsidP="00147FC6">
            <w:pPr>
              <w:rPr>
                <w:rFonts w:ascii="Calibri" w:hAnsi="Calibri" w:cs="Calibri"/>
                <w:color w:val="000000"/>
                <w:sz w:val="22"/>
                <w:szCs w:val="22"/>
                <w:lang w:val="es-ES"/>
              </w:rPr>
            </w:pPr>
            <w:r w:rsidRPr="00147FC6">
              <w:rPr>
                <w:rFonts w:ascii="Calibri" w:hAnsi="Calibri" w:cs="Calibri"/>
                <w:color w:val="000000"/>
                <w:sz w:val="22"/>
                <w:szCs w:val="22"/>
                <w:lang w:val="es-ES"/>
              </w:rPr>
              <w:t> </w:t>
            </w:r>
          </w:p>
        </w:tc>
        <w:tc>
          <w:tcPr>
            <w:tcW w:w="3070" w:type="pct"/>
            <w:gridSpan w:val="4"/>
            <w:tcBorders>
              <w:top w:val="single" w:sz="8" w:space="0" w:color="auto"/>
              <w:left w:val="nil"/>
              <w:bottom w:val="single" w:sz="8" w:space="0" w:color="auto"/>
              <w:right w:val="single" w:sz="8" w:space="0" w:color="000000"/>
            </w:tcBorders>
            <w:shd w:val="clear" w:color="auto" w:fill="auto"/>
            <w:noWrap/>
            <w:vAlign w:val="center"/>
            <w:hideMark/>
          </w:tcPr>
          <w:p w:rsidR="00147FC6" w:rsidRPr="00147FC6" w:rsidRDefault="00147FC6" w:rsidP="00147FC6">
            <w:pPr>
              <w:jc w:val="center"/>
              <w:rPr>
                <w:rFonts w:ascii="NewBaskerville" w:hAnsi="NewBaskerville" w:cs="Calibri"/>
                <w:color w:val="000000"/>
                <w:sz w:val="18"/>
                <w:szCs w:val="18"/>
                <w:lang w:val="es-ES"/>
              </w:rPr>
            </w:pPr>
            <w:r w:rsidRPr="00147FC6">
              <w:rPr>
                <w:rFonts w:ascii="NewBaskerville" w:hAnsi="NewBaskerville" w:cs="Calibri"/>
                <w:color w:val="000000"/>
                <w:sz w:val="18"/>
                <w:szCs w:val="18"/>
                <w:lang w:val="es-ES"/>
              </w:rPr>
              <w:t>TODOS LOS PUERTOS</w:t>
            </w:r>
          </w:p>
        </w:tc>
        <w:tc>
          <w:tcPr>
            <w:tcW w:w="1113" w:type="pct"/>
            <w:tcBorders>
              <w:top w:val="nil"/>
              <w:left w:val="nil"/>
              <w:bottom w:val="single" w:sz="8" w:space="0" w:color="auto"/>
              <w:right w:val="single" w:sz="8" w:space="0" w:color="auto"/>
            </w:tcBorders>
            <w:shd w:val="clear" w:color="auto" w:fill="auto"/>
            <w:noWrap/>
            <w:vAlign w:val="center"/>
            <w:hideMark/>
          </w:tcPr>
          <w:p w:rsidR="00147FC6" w:rsidRPr="00147FC6" w:rsidRDefault="00147FC6" w:rsidP="00147FC6">
            <w:pPr>
              <w:jc w:val="center"/>
              <w:rPr>
                <w:rFonts w:ascii="Calibri" w:hAnsi="Calibri" w:cs="Calibri"/>
                <w:color w:val="000000"/>
                <w:sz w:val="22"/>
                <w:szCs w:val="22"/>
                <w:lang w:val="es-ES"/>
              </w:rPr>
            </w:pPr>
            <w:r w:rsidRPr="00147FC6">
              <w:rPr>
                <w:rFonts w:ascii="Calibri" w:hAnsi="Calibri" w:cs="Calibri"/>
                <w:color w:val="000000"/>
                <w:sz w:val="22"/>
                <w:szCs w:val="22"/>
                <w:lang w:val="es-ES"/>
              </w:rPr>
              <w:t> </w:t>
            </w:r>
          </w:p>
        </w:tc>
      </w:tr>
      <w:tr w:rsidR="00147FC6" w:rsidRPr="00147FC6" w:rsidTr="00147FC6">
        <w:trPr>
          <w:trHeight w:val="735"/>
        </w:trPr>
        <w:tc>
          <w:tcPr>
            <w:tcW w:w="817" w:type="pct"/>
            <w:tcBorders>
              <w:top w:val="nil"/>
              <w:left w:val="single" w:sz="8" w:space="0" w:color="auto"/>
              <w:bottom w:val="single" w:sz="8" w:space="0" w:color="auto"/>
              <w:right w:val="single" w:sz="8" w:space="0" w:color="auto"/>
            </w:tcBorders>
            <w:shd w:val="clear" w:color="auto" w:fill="auto"/>
            <w:noWrap/>
            <w:vAlign w:val="center"/>
            <w:hideMark/>
          </w:tcPr>
          <w:p w:rsidR="00147FC6" w:rsidRPr="00147FC6" w:rsidRDefault="00147FC6" w:rsidP="00147FC6">
            <w:pPr>
              <w:rPr>
                <w:rFonts w:ascii="NewBaskerville" w:hAnsi="NewBaskerville" w:cs="Calibri"/>
                <w:color w:val="000000"/>
                <w:sz w:val="18"/>
                <w:szCs w:val="18"/>
                <w:lang w:val="es-ES"/>
              </w:rPr>
            </w:pPr>
            <w:r w:rsidRPr="00147FC6">
              <w:rPr>
                <w:rFonts w:ascii="NewBaskerville" w:hAnsi="NewBaskerville" w:cs="Calibri"/>
                <w:color w:val="000000"/>
                <w:sz w:val="18"/>
                <w:szCs w:val="18"/>
                <w:lang w:val="es-ES"/>
              </w:rPr>
              <w:t>P.O. 82.22</w:t>
            </w:r>
          </w:p>
        </w:tc>
        <w:tc>
          <w:tcPr>
            <w:tcW w:w="3070" w:type="pct"/>
            <w:gridSpan w:val="4"/>
            <w:tcBorders>
              <w:top w:val="single" w:sz="8" w:space="0" w:color="auto"/>
              <w:left w:val="nil"/>
              <w:bottom w:val="single" w:sz="8" w:space="0" w:color="auto"/>
              <w:right w:val="single" w:sz="8" w:space="0" w:color="000000"/>
            </w:tcBorders>
            <w:shd w:val="clear" w:color="auto" w:fill="auto"/>
            <w:vAlign w:val="center"/>
            <w:hideMark/>
          </w:tcPr>
          <w:p w:rsidR="00147FC6" w:rsidRPr="00147FC6" w:rsidRDefault="00147FC6" w:rsidP="00147FC6">
            <w:pPr>
              <w:rPr>
                <w:rFonts w:ascii="NewBaskerville" w:hAnsi="NewBaskerville" w:cs="Calibri"/>
                <w:color w:val="000000"/>
                <w:sz w:val="18"/>
                <w:szCs w:val="18"/>
                <w:lang w:val="es-ES"/>
              </w:rPr>
            </w:pPr>
            <w:r w:rsidRPr="00147FC6">
              <w:rPr>
                <w:rFonts w:ascii="NewBaskerville" w:hAnsi="NewBaskerville" w:cs="Calibri"/>
                <w:color w:val="000000"/>
                <w:sz w:val="18"/>
                <w:szCs w:val="18"/>
                <w:lang w:val="es-ES"/>
              </w:rPr>
              <w:t>A.T. a la dirección de obra, control de calidad y vigilancia ambiental en obras del epígrafe de obras varias y menores de la APB (2023-2024)</w:t>
            </w:r>
          </w:p>
        </w:tc>
        <w:tc>
          <w:tcPr>
            <w:tcW w:w="1113" w:type="pct"/>
            <w:tcBorders>
              <w:top w:val="nil"/>
              <w:left w:val="nil"/>
              <w:bottom w:val="single" w:sz="8" w:space="0" w:color="auto"/>
              <w:right w:val="single" w:sz="8" w:space="0" w:color="auto"/>
            </w:tcBorders>
            <w:shd w:val="clear" w:color="auto" w:fill="auto"/>
            <w:vAlign w:val="center"/>
            <w:hideMark/>
          </w:tcPr>
          <w:p w:rsidR="00147FC6" w:rsidRPr="00147FC6" w:rsidRDefault="00147FC6" w:rsidP="00147FC6">
            <w:pPr>
              <w:jc w:val="center"/>
              <w:rPr>
                <w:rFonts w:ascii="NewBaskerville" w:hAnsi="NewBaskerville" w:cs="Calibri"/>
                <w:color w:val="000000"/>
                <w:sz w:val="18"/>
                <w:szCs w:val="18"/>
                <w:lang w:val="es-ES"/>
              </w:rPr>
            </w:pPr>
            <w:r w:rsidRPr="00147FC6">
              <w:rPr>
                <w:rFonts w:ascii="NewBaskerville" w:hAnsi="NewBaskerville" w:cs="Calibri"/>
                <w:color w:val="000000"/>
                <w:sz w:val="18"/>
                <w:szCs w:val="18"/>
                <w:lang w:val="es-ES"/>
              </w:rPr>
              <w:t>305.441,58</w:t>
            </w:r>
          </w:p>
        </w:tc>
      </w:tr>
      <w:tr w:rsidR="00147FC6" w:rsidRPr="00147FC6" w:rsidTr="00147FC6">
        <w:trPr>
          <w:trHeight w:val="402"/>
        </w:trPr>
        <w:tc>
          <w:tcPr>
            <w:tcW w:w="817" w:type="pct"/>
            <w:tcBorders>
              <w:top w:val="nil"/>
              <w:left w:val="single" w:sz="8" w:space="0" w:color="auto"/>
              <w:bottom w:val="single" w:sz="8" w:space="0" w:color="auto"/>
              <w:right w:val="nil"/>
            </w:tcBorders>
            <w:shd w:val="clear" w:color="auto" w:fill="auto"/>
            <w:noWrap/>
            <w:vAlign w:val="center"/>
            <w:hideMark/>
          </w:tcPr>
          <w:p w:rsidR="00147FC6" w:rsidRPr="00147FC6" w:rsidRDefault="00147FC6" w:rsidP="00147FC6">
            <w:pPr>
              <w:rPr>
                <w:rFonts w:ascii="NewBaskerville" w:hAnsi="NewBaskerville" w:cs="Calibri"/>
                <w:color w:val="000000"/>
                <w:sz w:val="18"/>
                <w:szCs w:val="18"/>
                <w:lang w:val="es-ES"/>
              </w:rPr>
            </w:pPr>
            <w:r w:rsidRPr="00147FC6">
              <w:rPr>
                <w:rFonts w:ascii="NewBaskerville" w:hAnsi="NewBaskerville" w:cs="Calibri"/>
                <w:color w:val="000000"/>
                <w:sz w:val="18"/>
                <w:szCs w:val="18"/>
                <w:lang w:val="es-ES"/>
              </w:rPr>
              <w:t> </w:t>
            </w:r>
          </w:p>
        </w:tc>
        <w:tc>
          <w:tcPr>
            <w:tcW w:w="3070" w:type="pct"/>
            <w:gridSpan w:val="4"/>
            <w:tcBorders>
              <w:top w:val="single" w:sz="8" w:space="0" w:color="auto"/>
              <w:left w:val="nil"/>
              <w:bottom w:val="single" w:sz="8" w:space="0" w:color="auto"/>
              <w:right w:val="single" w:sz="8" w:space="0" w:color="000000"/>
            </w:tcBorders>
            <w:shd w:val="clear" w:color="auto" w:fill="auto"/>
            <w:vAlign w:val="center"/>
            <w:hideMark/>
          </w:tcPr>
          <w:p w:rsidR="00147FC6" w:rsidRPr="00147FC6" w:rsidRDefault="00147FC6" w:rsidP="00147FC6">
            <w:pPr>
              <w:jc w:val="center"/>
              <w:rPr>
                <w:rFonts w:ascii="NewBaskerville" w:hAnsi="NewBaskerville" w:cs="Calibri"/>
                <w:color w:val="000000"/>
                <w:sz w:val="18"/>
                <w:szCs w:val="18"/>
                <w:lang w:val="es-ES"/>
              </w:rPr>
            </w:pPr>
            <w:r w:rsidRPr="00147FC6">
              <w:rPr>
                <w:rFonts w:ascii="NewBaskerville" w:hAnsi="NewBaskerville" w:cs="Calibri"/>
                <w:color w:val="000000"/>
                <w:sz w:val="18"/>
                <w:szCs w:val="18"/>
                <w:lang w:val="es-ES"/>
              </w:rPr>
              <w:t>PUERTO DE ALCÚDIA</w:t>
            </w:r>
          </w:p>
        </w:tc>
        <w:tc>
          <w:tcPr>
            <w:tcW w:w="1113" w:type="pct"/>
            <w:tcBorders>
              <w:top w:val="nil"/>
              <w:left w:val="nil"/>
              <w:bottom w:val="single" w:sz="8" w:space="0" w:color="auto"/>
              <w:right w:val="single" w:sz="8" w:space="0" w:color="auto"/>
            </w:tcBorders>
            <w:shd w:val="clear" w:color="auto" w:fill="auto"/>
            <w:vAlign w:val="center"/>
            <w:hideMark/>
          </w:tcPr>
          <w:p w:rsidR="00147FC6" w:rsidRPr="00147FC6" w:rsidRDefault="00147FC6" w:rsidP="00147FC6">
            <w:pPr>
              <w:jc w:val="center"/>
              <w:rPr>
                <w:rFonts w:ascii="NewBaskerville" w:hAnsi="NewBaskerville" w:cs="Calibri"/>
                <w:color w:val="000000"/>
                <w:sz w:val="18"/>
                <w:szCs w:val="18"/>
                <w:lang w:val="es-ES"/>
              </w:rPr>
            </w:pPr>
            <w:r w:rsidRPr="00147FC6">
              <w:rPr>
                <w:rFonts w:ascii="NewBaskerville" w:hAnsi="NewBaskerville" w:cs="Calibri"/>
                <w:color w:val="000000"/>
                <w:sz w:val="18"/>
                <w:szCs w:val="18"/>
                <w:lang w:val="es-ES"/>
              </w:rPr>
              <w:t> </w:t>
            </w:r>
          </w:p>
        </w:tc>
      </w:tr>
      <w:tr w:rsidR="00147FC6" w:rsidRPr="00147FC6" w:rsidTr="00147FC6">
        <w:trPr>
          <w:trHeight w:val="870"/>
        </w:trPr>
        <w:tc>
          <w:tcPr>
            <w:tcW w:w="817" w:type="pct"/>
            <w:tcBorders>
              <w:top w:val="nil"/>
              <w:left w:val="single" w:sz="8" w:space="0" w:color="auto"/>
              <w:bottom w:val="single" w:sz="8" w:space="0" w:color="auto"/>
              <w:right w:val="single" w:sz="8" w:space="0" w:color="auto"/>
            </w:tcBorders>
            <w:shd w:val="clear" w:color="auto" w:fill="auto"/>
            <w:noWrap/>
            <w:vAlign w:val="center"/>
            <w:hideMark/>
          </w:tcPr>
          <w:p w:rsidR="00147FC6" w:rsidRPr="00147FC6" w:rsidRDefault="00147FC6" w:rsidP="00147FC6">
            <w:pPr>
              <w:rPr>
                <w:rFonts w:ascii="NewBaskerville" w:hAnsi="NewBaskerville" w:cs="Calibri"/>
                <w:color w:val="000000"/>
                <w:sz w:val="18"/>
                <w:szCs w:val="18"/>
                <w:lang w:val="es-ES"/>
              </w:rPr>
            </w:pPr>
            <w:r w:rsidRPr="00147FC6">
              <w:rPr>
                <w:rFonts w:ascii="NewBaskerville" w:hAnsi="NewBaskerville" w:cs="Calibri"/>
                <w:color w:val="000000"/>
                <w:sz w:val="18"/>
                <w:szCs w:val="18"/>
                <w:lang w:val="es-ES"/>
              </w:rPr>
              <w:t>P.O. 21.21</w:t>
            </w:r>
          </w:p>
        </w:tc>
        <w:tc>
          <w:tcPr>
            <w:tcW w:w="3070" w:type="pct"/>
            <w:gridSpan w:val="4"/>
            <w:tcBorders>
              <w:top w:val="single" w:sz="8" w:space="0" w:color="auto"/>
              <w:left w:val="nil"/>
              <w:bottom w:val="single" w:sz="8" w:space="0" w:color="auto"/>
              <w:right w:val="single" w:sz="8" w:space="0" w:color="000000"/>
            </w:tcBorders>
            <w:shd w:val="clear" w:color="auto" w:fill="auto"/>
            <w:vAlign w:val="center"/>
            <w:hideMark/>
          </w:tcPr>
          <w:p w:rsidR="00147FC6" w:rsidRPr="00147FC6" w:rsidRDefault="00147FC6" w:rsidP="00147FC6">
            <w:pPr>
              <w:rPr>
                <w:rFonts w:ascii="NewBaskerville" w:hAnsi="NewBaskerville" w:cs="Calibri"/>
                <w:color w:val="000000"/>
                <w:sz w:val="18"/>
                <w:szCs w:val="18"/>
                <w:lang w:val="es-ES"/>
              </w:rPr>
            </w:pPr>
            <w:r w:rsidRPr="00147FC6">
              <w:rPr>
                <w:rFonts w:ascii="NewBaskerville" w:hAnsi="NewBaskerville" w:cs="Calibri"/>
                <w:color w:val="000000"/>
                <w:sz w:val="18"/>
                <w:szCs w:val="18"/>
                <w:lang w:val="es-ES"/>
              </w:rPr>
              <w:t>Recuperación de calados en la 1A alineación de los muelles de Poniente del puerto de Alcudia</w:t>
            </w:r>
          </w:p>
        </w:tc>
        <w:tc>
          <w:tcPr>
            <w:tcW w:w="1113" w:type="pct"/>
            <w:tcBorders>
              <w:top w:val="nil"/>
              <w:left w:val="nil"/>
              <w:bottom w:val="single" w:sz="8" w:space="0" w:color="auto"/>
              <w:right w:val="single" w:sz="8" w:space="0" w:color="000000"/>
            </w:tcBorders>
            <w:shd w:val="clear" w:color="auto" w:fill="auto"/>
            <w:vAlign w:val="center"/>
            <w:hideMark/>
          </w:tcPr>
          <w:p w:rsidR="00147FC6" w:rsidRPr="00147FC6" w:rsidRDefault="00147FC6" w:rsidP="00147FC6">
            <w:pPr>
              <w:jc w:val="center"/>
              <w:rPr>
                <w:rFonts w:ascii="NewBaskerville" w:hAnsi="NewBaskerville" w:cs="Calibri"/>
                <w:color w:val="000000"/>
                <w:sz w:val="18"/>
                <w:szCs w:val="18"/>
                <w:lang w:val="es-ES"/>
              </w:rPr>
            </w:pPr>
            <w:r w:rsidRPr="00147FC6">
              <w:rPr>
                <w:rFonts w:ascii="NewBaskerville" w:hAnsi="NewBaskerville" w:cs="Calibri"/>
                <w:color w:val="000000"/>
                <w:sz w:val="18"/>
                <w:szCs w:val="18"/>
                <w:lang w:val="es-ES"/>
              </w:rPr>
              <w:t>92.826,50</w:t>
            </w:r>
          </w:p>
        </w:tc>
      </w:tr>
      <w:tr w:rsidR="00147FC6" w:rsidRPr="00147FC6" w:rsidTr="00147FC6">
        <w:trPr>
          <w:trHeight w:val="402"/>
        </w:trPr>
        <w:tc>
          <w:tcPr>
            <w:tcW w:w="817" w:type="pct"/>
            <w:tcBorders>
              <w:top w:val="nil"/>
              <w:left w:val="single" w:sz="8" w:space="0" w:color="auto"/>
              <w:bottom w:val="single" w:sz="8" w:space="0" w:color="auto"/>
              <w:right w:val="nil"/>
            </w:tcBorders>
            <w:shd w:val="clear" w:color="auto" w:fill="auto"/>
            <w:noWrap/>
            <w:vAlign w:val="center"/>
            <w:hideMark/>
          </w:tcPr>
          <w:p w:rsidR="00147FC6" w:rsidRPr="00147FC6" w:rsidRDefault="00147FC6" w:rsidP="00147FC6">
            <w:pPr>
              <w:rPr>
                <w:rFonts w:ascii="NewBaskerville" w:hAnsi="NewBaskerville" w:cs="Calibri"/>
                <w:color w:val="000000"/>
                <w:sz w:val="18"/>
                <w:szCs w:val="18"/>
                <w:lang w:val="es-ES"/>
              </w:rPr>
            </w:pPr>
            <w:r w:rsidRPr="00147FC6">
              <w:rPr>
                <w:rFonts w:ascii="NewBaskerville" w:hAnsi="NewBaskerville" w:cs="Calibri"/>
                <w:color w:val="000000"/>
                <w:sz w:val="18"/>
                <w:szCs w:val="18"/>
                <w:lang w:val="es-ES"/>
              </w:rPr>
              <w:t> </w:t>
            </w:r>
          </w:p>
        </w:tc>
        <w:tc>
          <w:tcPr>
            <w:tcW w:w="3070" w:type="pct"/>
            <w:gridSpan w:val="4"/>
            <w:tcBorders>
              <w:top w:val="single" w:sz="8" w:space="0" w:color="auto"/>
              <w:left w:val="nil"/>
              <w:bottom w:val="single" w:sz="8" w:space="0" w:color="auto"/>
              <w:right w:val="single" w:sz="8" w:space="0" w:color="000000"/>
            </w:tcBorders>
            <w:shd w:val="clear" w:color="auto" w:fill="auto"/>
            <w:vAlign w:val="center"/>
            <w:hideMark/>
          </w:tcPr>
          <w:p w:rsidR="00147FC6" w:rsidRPr="00147FC6" w:rsidRDefault="00147FC6" w:rsidP="00147FC6">
            <w:pPr>
              <w:jc w:val="center"/>
              <w:rPr>
                <w:rFonts w:ascii="NewBaskerville" w:hAnsi="NewBaskerville" w:cs="Calibri"/>
                <w:color w:val="000000"/>
                <w:sz w:val="18"/>
                <w:szCs w:val="18"/>
                <w:lang w:val="es-ES"/>
              </w:rPr>
            </w:pPr>
            <w:r w:rsidRPr="00147FC6">
              <w:rPr>
                <w:rFonts w:ascii="NewBaskerville" w:hAnsi="NewBaskerville" w:cs="Calibri"/>
                <w:color w:val="000000"/>
                <w:sz w:val="18"/>
                <w:szCs w:val="18"/>
                <w:lang w:val="es-ES"/>
              </w:rPr>
              <w:t>PUERTO DE MAÓ-MAHÓN</w:t>
            </w:r>
          </w:p>
        </w:tc>
        <w:tc>
          <w:tcPr>
            <w:tcW w:w="1113" w:type="pct"/>
            <w:tcBorders>
              <w:top w:val="nil"/>
              <w:left w:val="nil"/>
              <w:bottom w:val="single" w:sz="8" w:space="0" w:color="auto"/>
              <w:right w:val="single" w:sz="8" w:space="0" w:color="auto"/>
            </w:tcBorders>
            <w:shd w:val="clear" w:color="auto" w:fill="auto"/>
            <w:vAlign w:val="center"/>
            <w:hideMark/>
          </w:tcPr>
          <w:p w:rsidR="00147FC6" w:rsidRPr="00147FC6" w:rsidRDefault="00147FC6" w:rsidP="00147FC6">
            <w:pPr>
              <w:jc w:val="center"/>
              <w:rPr>
                <w:rFonts w:ascii="NewBaskerville" w:hAnsi="NewBaskerville" w:cs="Calibri"/>
                <w:color w:val="000000"/>
                <w:sz w:val="18"/>
                <w:szCs w:val="18"/>
                <w:lang w:val="es-ES"/>
              </w:rPr>
            </w:pPr>
            <w:r w:rsidRPr="00147FC6">
              <w:rPr>
                <w:rFonts w:ascii="NewBaskerville" w:hAnsi="NewBaskerville" w:cs="Calibri"/>
                <w:color w:val="000000"/>
                <w:sz w:val="18"/>
                <w:szCs w:val="18"/>
                <w:lang w:val="es-ES"/>
              </w:rPr>
              <w:t> </w:t>
            </w:r>
          </w:p>
        </w:tc>
      </w:tr>
      <w:tr w:rsidR="00147FC6" w:rsidRPr="00147FC6" w:rsidTr="00147FC6">
        <w:trPr>
          <w:trHeight w:val="840"/>
        </w:trPr>
        <w:tc>
          <w:tcPr>
            <w:tcW w:w="817" w:type="pct"/>
            <w:tcBorders>
              <w:top w:val="nil"/>
              <w:left w:val="single" w:sz="8" w:space="0" w:color="auto"/>
              <w:bottom w:val="single" w:sz="8" w:space="0" w:color="auto"/>
              <w:right w:val="single" w:sz="8" w:space="0" w:color="auto"/>
            </w:tcBorders>
            <w:shd w:val="clear" w:color="auto" w:fill="auto"/>
            <w:noWrap/>
            <w:vAlign w:val="center"/>
            <w:hideMark/>
          </w:tcPr>
          <w:p w:rsidR="00147FC6" w:rsidRPr="00147FC6" w:rsidRDefault="00147FC6" w:rsidP="00147FC6">
            <w:pPr>
              <w:rPr>
                <w:rFonts w:ascii="NewBaskerville" w:hAnsi="NewBaskerville" w:cs="Calibri"/>
                <w:color w:val="000000"/>
                <w:sz w:val="18"/>
                <w:szCs w:val="18"/>
                <w:lang w:val="es-ES"/>
              </w:rPr>
            </w:pPr>
            <w:r w:rsidRPr="00147FC6">
              <w:rPr>
                <w:rFonts w:ascii="NewBaskerville" w:hAnsi="NewBaskerville" w:cs="Calibri"/>
                <w:color w:val="000000"/>
                <w:sz w:val="18"/>
                <w:szCs w:val="18"/>
                <w:lang w:val="es-ES"/>
              </w:rPr>
              <w:t>P.O. 88.23</w:t>
            </w:r>
          </w:p>
        </w:tc>
        <w:tc>
          <w:tcPr>
            <w:tcW w:w="3070" w:type="pct"/>
            <w:gridSpan w:val="4"/>
            <w:tcBorders>
              <w:top w:val="single" w:sz="8" w:space="0" w:color="auto"/>
              <w:left w:val="nil"/>
              <w:bottom w:val="single" w:sz="8" w:space="0" w:color="auto"/>
              <w:right w:val="single" w:sz="8" w:space="0" w:color="000000"/>
            </w:tcBorders>
            <w:shd w:val="clear" w:color="auto" w:fill="auto"/>
            <w:vAlign w:val="center"/>
            <w:hideMark/>
          </w:tcPr>
          <w:p w:rsidR="00147FC6" w:rsidRPr="00147FC6" w:rsidRDefault="00147FC6" w:rsidP="00147FC6">
            <w:pPr>
              <w:rPr>
                <w:rFonts w:ascii="NewBaskerville" w:hAnsi="NewBaskerville" w:cs="Calibri"/>
                <w:color w:val="000000"/>
                <w:sz w:val="18"/>
                <w:szCs w:val="18"/>
                <w:lang w:val="es-ES"/>
              </w:rPr>
            </w:pPr>
            <w:r w:rsidRPr="00147FC6">
              <w:rPr>
                <w:rFonts w:ascii="NewBaskerville" w:hAnsi="NewBaskerville" w:cs="Calibri"/>
                <w:color w:val="000000"/>
                <w:sz w:val="18"/>
                <w:szCs w:val="18"/>
                <w:lang w:val="es-ES"/>
              </w:rPr>
              <w:t xml:space="preserve">Plan de seguimiento medioambiental de la </w:t>
            </w:r>
            <w:r w:rsidR="00AA27CF" w:rsidRPr="00147FC6">
              <w:rPr>
                <w:rFonts w:ascii="NewBaskerville" w:hAnsi="NewBaskerville" w:cs="Calibri"/>
                <w:color w:val="000000"/>
                <w:sz w:val="18"/>
                <w:szCs w:val="18"/>
                <w:lang w:val="es-ES"/>
              </w:rPr>
              <w:t>translocación</w:t>
            </w:r>
            <w:r w:rsidRPr="00147FC6">
              <w:rPr>
                <w:rFonts w:ascii="NewBaskerville" w:hAnsi="NewBaskerville" w:cs="Calibri"/>
                <w:color w:val="000000"/>
                <w:sz w:val="18"/>
                <w:szCs w:val="18"/>
                <w:lang w:val="es-ES"/>
              </w:rPr>
              <w:t xml:space="preserve"> de colonias de Cladocora Caespitosa afectadas por las obras de: - PO.1093-G - PO.79.19 - PO 81.19 - PO.1076-G.</w:t>
            </w:r>
          </w:p>
        </w:tc>
        <w:tc>
          <w:tcPr>
            <w:tcW w:w="1113" w:type="pct"/>
            <w:tcBorders>
              <w:top w:val="nil"/>
              <w:left w:val="nil"/>
              <w:bottom w:val="single" w:sz="8" w:space="0" w:color="auto"/>
              <w:right w:val="single" w:sz="8" w:space="0" w:color="000000"/>
            </w:tcBorders>
            <w:shd w:val="clear" w:color="auto" w:fill="auto"/>
            <w:noWrap/>
            <w:vAlign w:val="center"/>
            <w:hideMark/>
          </w:tcPr>
          <w:p w:rsidR="00147FC6" w:rsidRPr="00147FC6" w:rsidRDefault="00147FC6" w:rsidP="00147FC6">
            <w:pPr>
              <w:jc w:val="center"/>
              <w:rPr>
                <w:rFonts w:ascii="NewBaskerville" w:hAnsi="NewBaskerville" w:cs="Calibri"/>
                <w:color w:val="000000"/>
                <w:sz w:val="18"/>
                <w:szCs w:val="18"/>
                <w:lang w:val="es-ES"/>
              </w:rPr>
            </w:pPr>
            <w:r w:rsidRPr="00147FC6">
              <w:rPr>
                <w:rFonts w:ascii="NewBaskerville" w:hAnsi="NewBaskerville" w:cs="Calibri"/>
                <w:color w:val="000000"/>
                <w:sz w:val="18"/>
                <w:szCs w:val="18"/>
                <w:lang w:val="es-ES"/>
              </w:rPr>
              <w:t>17.655,96</w:t>
            </w:r>
          </w:p>
        </w:tc>
      </w:tr>
      <w:tr w:rsidR="00147FC6" w:rsidRPr="00147FC6" w:rsidTr="00147FC6">
        <w:trPr>
          <w:trHeight w:val="402"/>
        </w:trPr>
        <w:tc>
          <w:tcPr>
            <w:tcW w:w="817" w:type="pct"/>
            <w:tcBorders>
              <w:top w:val="nil"/>
              <w:left w:val="nil"/>
              <w:bottom w:val="nil"/>
              <w:right w:val="nil"/>
            </w:tcBorders>
            <w:shd w:val="clear" w:color="auto" w:fill="auto"/>
            <w:noWrap/>
            <w:vAlign w:val="bottom"/>
            <w:hideMark/>
          </w:tcPr>
          <w:p w:rsidR="00147FC6" w:rsidRPr="00147FC6" w:rsidRDefault="00147FC6" w:rsidP="00147FC6">
            <w:pPr>
              <w:rPr>
                <w:color w:val="000000"/>
                <w:lang w:val="es-ES"/>
              </w:rPr>
            </w:pPr>
          </w:p>
        </w:tc>
        <w:tc>
          <w:tcPr>
            <w:tcW w:w="93" w:type="pct"/>
            <w:tcBorders>
              <w:top w:val="nil"/>
              <w:left w:val="nil"/>
              <w:bottom w:val="nil"/>
              <w:right w:val="nil"/>
            </w:tcBorders>
            <w:shd w:val="clear" w:color="auto" w:fill="auto"/>
            <w:noWrap/>
            <w:vAlign w:val="bottom"/>
            <w:hideMark/>
          </w:tcPr>
          <w:p w:rsidR="00147FC6" w:rsidRPr="00147FC6" w:rsidRDefault="00147FC6" w:rsidP="00147FC6">
            <w:pPr>
              <w:rPr>
                <w:color w:val="000000"/>
                <w:lang w:val="es-ES"/>
              </w:rPr>
            </w:pPr>
          </w:p>
        </w:tc>
        <w:tc>
          <w:tcPr>
            <w:tcW w:w="93" w:type="pct"/>
            <w:tcBorders>
              <w:top w:val="nil"/>
              <w:left w:val="nil"/>
              <w:bottom w:val="nil"/>
              <w:right w:val="nil"/>
            </w:tcBorders>
            <w:shd w:val="clear" w:color="auto" w:fill="auto"/>
            <w:noWrap/>
            <w:vAlign w:val="bottom"/>
            <w:hideMark/>
          </w:tcPr>
          <w:p w:rsidR="00147FC6" w:rsidRPr="00147FC6" w:rsidRDefault="00147FC6" w:rsidP="00147FC6">
            <w:pPr>
              <w:rPr>
                <w:color w:val="000000"/>
                <w:lang w:val="es-ES"/>
              </w:rPr>
            </w:pPr>
          </w:p>
        </w:tc>
        <w:tc>
          <w:tcPr>
            <w:tcW w:w="93" w:type="pct"/>
            <w:tcBorders>
              <w:top w:val="nil"/>
              <w:left w:val="nil"/>
              <w:bottom w:val="nil"/>
              <w:right w:val="nil"/>
            </w:tcBorders>
            <w:shd w:val="clear" w:color="auto" w:fill="auto"/>
            <w:noWrap/>
            <w:vAlign w:val="bottom"/>
            <w:hideMark/>
          </w:tcPr>
          <w:p w:rsidR="00147FC6" w:rsidRPr="00147FC6" w:rsidRDefault="00147FC6" w:rsidP="00147FC6">
            <w:pPr>
              <w:rPr>
                <w:color w:val="000000"/>
                <w:lang w:val="es-ES"/>
              </w:rPr>
            </w:pPr>
          </w:p>
        </w:tc>
        <w:tc>
          <w:tcPr>
            <w:tcW w:w="2791" w:type="pct"/>
            <w:tcBorders>
              <w:top w:val="nil"/>
              <w:left w:val="single" w:sz="8" w:space="0" w:color="auto"/>
              <w:bottom w:val="single" w:sz="8" w:space="0" w:color="auto"/>
              <w:right w:val="single" w:sz="8" w:space="0" w:color="auto"/>
            </w:tcBorders>
            <w:shd w:val="clear" w:color="auto" w:fill="auto"/>
            <w:vAlign w:val="center"/>
            <w:hideMark/>
          </w:tcPr>
          <w:p w:rsidR="00147FC6" w:rsidRPr="00147FC6" w:rsidRDefault="00147FC6" w:rsidP="00147FC6">
            <w:pPr>
              <w:jc w:val="center"/>
              <w:rPr>
                <w:rFonts w:ascii="NewBaskerville" w:hAnsi="NewBaskerville" w:cs="Calibri"/>
                <w:b/>
                <w:bCs/>
                <w:color w:val="000000"/>
                <w:sz w:val="18"/>
                <w:szCs w:val="18"/>
                <w:lang w:val="es-ES"/>
              </w:rPr>
            </w:pPr>
            <w:r w:rsidRPr="00147FC6">
              <w:rPr>
                <w:rFonts w:ascii="NewBaskerville" w:hAnsi="NewBaskerville" w:cs="Calibri"/>
                <w:b/>
                <w:bCs/>
                <w:color w:val="000000"/>
                <w:sz w:val="18"/>
                <w:szCs w:val="18"/>
                <w:lang w:val="es-ES"/>
              </w:rPr>
              <w:t>Total</w:t>
            </w:r>
          </w:p>
        </w:tc>
        <w:tc>
          <w:tcPr>
            <w:tcW w:w="1113" w:type="pct"/>
            <w:tcBorders>
              <w:top w:val="nil"/>
              <w:left w:val="nil"/>
              <w:bottom w:val="single" w:sz="8" w:space="0" w:color="auto"/>
              <w:right w:val="single" w:sz="8" w:space="0" w:color="auto"/>
            </w:tcBorders>
            <w:shd w:val="clear" w:color="auto" w:fill="auto"/>
            <w:vAlign w:val="center"/>
            <w:hideMark/>
          </w:tcPr>
          <w:p w:rsidR="00147FC6" w:rsidRPr="00147FC6" w:rsidRDefault="00147FC6" w:rsidP="00147FC6">
            <w:pPr>
              <w:jc w:val="center"/>
              <w:rPr>
                <w:rFonts w:ascii="NewBaskerville" w:hAnsi="NewBaskerville" w:cs="Calibri"/>
                <w:b/>
                <w:bCs/>
                <w:color w:val="000000"/>
                <w:sz w:val="18"/>
                <w:szCs w:val="18"/>
                <w:lang w:val="es-ES"/>
              </w:rPr>
            </w:pPr>
            <w:r w:rsidRPr="00147FC6">
              <w:rPr>
                <w:rFonts w:ascii="NewBaskerville" w:hAnsi="NewBaskerville" w:cs="Calibri"/>
                <w:b/>
                <w:bCs/>
                <w:color w:val="000000"/>
                <w:sz w:val="18"/>
                <w:szCs w:val="18"/>
                <w:lang w:val="es-ES"/>
              </w:rPr>
              <w:t>415.924,04</w:t>
            </w:r>
          </w:p>
        </w:tc>
      </w:tr>
    </w:tbl>
    <w:p w:rsidR="00FE620A" w:rsidRDefault="002C4355" w:rsidP="0081769D">
      <w:pPr>
        <w:tabs>
          <w:tab w:val="right" w:pos="8364"/>
        </w:tabs>
        <w:jc w:val="both"/>
        <w:rPr>
          <w:rFonts w:ascii="NewBaskerville" w:hAnsi="NewBaskerville"/>
          <w:b/>
          <w:bCs/>
          <w:sz w:val="24"/>
          <w:szCs w:val="24"/>
        </w:rPr>
      </w:pPr>
      <w:r w:rsidRPr="00951BCB">
        <w:rPr>
          <w:rFonts w:ascii="NewBaskerville" w:hAnsi="NewBaskerville"/>
          <w:b/>
          <w:bCs/>
          <w:sz w:val="24"/>
          <w:szCs w:val="24"/>
        </w:rPr>
        <w:lastRenderedPageBreak/>
        <w:t>1</w:t>
      </w:r>
      <w:r w:rsidR="000542C8" w:rsidRPr="00951BCB">
        <w:rPr>
          <w:rFonts w:ascii="NewBaskerville" w:hAnsi="NewBaskerville"/>
          <w:b/>
          <w:bCs/>
          <w:sz w:val="24"/>
          <w:szCs w:val="24"/>
        </w:rPr>
        <w:t>4</w:t>
      </w:r>
      <w:r w:rsidR="002019D4" w:rsidRPr="00951BCB">
        <w:rPr>
          <w:rFonts w:ascii="NewBaskerville" w:hAnsi="NewBaskerville"/>
          <w:b/>
          <w:bCs/>
          <w:sz w:val="24"/>
          <w:szCs w:val="24"/>
        </w:rPr>
        <w:t xml:space="preserve">. </w:t>
      </w:r>
      <w:r w:rsidRPr="00951BCB">
        <w:rPr>
          <w:rFonts w:ascii="NewBaskerville" w:hAnsi="NewBaskerville"/>
          <w:b/>
          <w:bCs/>
          <w:sz w:val="24"/>
          <w:szCs w:val="24"/>
        </w:rPr>
        <w:t>Ingresos y gastos</w:t>
      </w:r>
    </w:p>
    <w:p w:rsidR="00AB0F64" w:rsidRPr="00951BCB" w:rsidRDefault="00AB0F64" w:rsidP="0081769D">
      <w:pPr>
        <w:tabs>
          <w:tab w:val="right" w:pos="8364"/>
        </w:tabs>
        <w:jc w:val="both"/>
        <w:rPr>
          <w:rFonts w:ascii="NewBaskerville" w:hAnsi="NewBaskerville"/>
          <w:b/>
          <w:bCs/>
          <w:sz w:val="24"/>
          <w:szCs w:val="24"/>
        </w:rPr>
      </w:pPr>
    </w:p>
    <w:p w:rsidR="00FE620A" w:rsidRPr="00846803" w:rsidRDefault="00FE620A" w:rsidP="00FE620A">
      <w:pPr>
        <w:tabs>
          <w:tab w:val="right" w:pos="8222"/>
        </w:tabs>
        <w:jc w:val="both"/>
        <w:rPr>
          <w:b/>
          <w:bCs/>
        </w:rPr>
      </w:pPr>
    </w:p>
    <w:p w:rsidR="002C4355" w:rsidRPr="00AB7095" w:rsidRDefault="002C4355" w:rsidP="00AB7095">
      <w:pPr>
        <w:pStyle w:val="Prrafodelista"/>
        <w:numPr>
          <w:ilvl w:val="0"/>
          <w:numId w:val="49"/>
        </w:numPr>
        <w:tabs>
          <w:tab w:val="right" w:pos="8364"/>
        </w:tabs>
        <w:jc w:val="both"/>
        <w:rPr>
          <w:rFonts w:ascii="NewBaskerville" w:hAnsi="NewBaskerville"/>
          <w:b/>
          <w:bCs/>
          <w:sz w:val="22"/>
        </w:rPr>
      </w:pPr>
      <w:r w:rsidRPr="00AB7095">
        <w:rPr>
          <w:rFonts w:ascii="NewBaskerville" w:hAnsi="NewBaskerville"/>
          <w:b/>
          <w:bCs/>
          <w:sz w:val="22"/>
        </w:rPr>
        <w:t>Gastos</w:t>
      </w:r>
    </w:p>
    <w:p w:rsidR="00AB7095" w:rsidRPr="00AB7095" w:rsidRDefault="00AB7095" w:rsidP="00AB7095">
      <w:pPr>
        <w:pStyle w:val="Prrafodelista"/>
        <w:tabs>
          <w:tab w:val="right" w:pos="8364"/>
        </w:tabs>
        <w:ind w:left="720"/>
        <w:jc w:val="both"/>
        <w:rPr>
          <w:rFonts w:ascii="NewBaskerville" w:hAnsi="NewBaskerville"/>
          <w:b/>
          <w:bCs/>
          <w:sz w:val="22"/>
        </w:rPr>
      </w:pPr>
    </w:p>
    <w:p w:rsidR="002C4355" w:rsidRPr="00846803" w:rsidRDefault="002C4355">
      <w:pPr>
        <w:tabs>
          <w:tab w:val="right" w:pos="8222"/>
        </w:tabs>
        <w:jc w:val="both"/>
        <w:rPr>
          <w:b/>
          <w:bCs/>
        </w:rPr>
      </w:pPr>
    </w:p>
    <w:p w:rsidR="002C4355" w:rsidRPr="00951BCB" w:rsidRDefault="002019D4" w:rsidP="002019D4">
      <w:pPr>
        <w:tabs>
          <w:tab w:val="right" w:pos="8364"/>
        </w:tabs>
        <w:ind w:left="567" w:hanging="567"/>
        <w:jc w:val="both"/>
        <w:rPr>
          <w:rFonts w:ascii="NewBaskerville" w:hAnsi="NewBaskerville"/>
          <w:bCs/>
        </w:rPr>
      </w:pPr>
      <w:r w:rsidRPr="00951BCB">
        <w:rPr>
          <w:rFonts w:ascii="NewBaskerville" w:hAnsi="NewBaskerville"/>
          <w:bCs/>
        </w:rPr>
        <w:tab/>
      </w:r>
      <w:r w:rsidR="00192EA6" w:rsidRPr="00951BCB">
        <w:rPr>
          <w:rFonts w:ascii="NewBaskerville" w:hAnsi="NewBaskerville"/>
          <w:bCs/>
        </w:rPr>
        <w:t>a.1)</w:t>
      </w:r>
      <w:r w:rsidR="00AC6040" w:rsidRPr="00951BCB">
        <w:rPr>
          <w:rFonts w:ascii="NewBaskerville" w:hAnsi="NewBaskerville"/>
          <w:bCs/>
        </w:rPr>
        <w:t xml:space="preserve"> </w:t>
      </w:r>
      <w:r w:rsidR="002C4355" w:rsidRPr="00951BCB">
        <w:rPr>
          <w:rFonts w:ascii="NewBaskerville" w:hAnsi="NewBaskerville"/>
          <w:bCs/>
        </w:rPr>
        <w:t>Consumos:</w:t>
      </w:r>
    </w:p>
    <w:p w:rsidR="002C4355" w:rsidRPr="00951BCB" w:rsidRDefault="002C4355" w:rsidP="00AC6040">
      <w:pPr>
        <w:pStyle w:val="Textoindependiente2"/>
        <w:ind w:left="360"/>
        <w:rPr>
          <w:rFonts w:ascii="NewBaskerville" w:hAnsi="NewBaskerville"/>
          <w:bCs w:val="0"/>
          <w:sz w:val="20"/>
          <w:szCs w:val="20"/>
        </w:rPr>
      </w:pPr>
    </w:p>
    <w:p w:rsidR="005B3620" w:rsidRDefault="002C4355" w:rsidP="00D45E66">
      <w:pPr>
        <w:pStyle w:val="Sangradetextonormal"/>
        <w:tabs>
          <w:tab w:val="clear" w:pos="8364"/>
          <w:tab w:val="right" w:pos="8222"/>
        </w:tabs>
        <w:rPr>
          <w:rFonts w:ascii="NewBaskerville" w:hAnsi="NewBaskerville"/>
          <w:sz w:val="20"/>
        </w:rPr>
      </w:pPr>
      <w:r w:rsidRPr="00951BCB">
        <w:rPr>
          <w:rFonts w:ascii="NewBaskerville" w:hAnsi="NewBaskerville"/>
          <w:sz w:val="20"/>
        </w:rPr>
        <w:t xml:space="preserve">De acuerdo con las instrucciones de Puertos del Estado los consumos se </w:t>
      </w:r>
      <w:r w:rsidR="00836DC0" w:rsidRPr="00951BCB">
        <w:rPr>
          <w:rFonts w:ascii="NewBaskerville" w:hAnsi="NewBaskerville"/>
          <w:sz w:val="20"/>
        </w:rPr>
        <w:t xml:space="preserve">reflejan en la partida </w:t>
      </w:r>
      <w:r w:rsidR="008155BC" w:rsidRPr="00951BCB">
        <w:rPr>
          <w:rFonts w:ascii="NewBaskerville" w:hAnsi="NewBaskerville"/>
          <w:sz w:val="20"/>
        </w:rPr>
        <w:t>reparaciones</w:t>
      </w:r>
      <w:r w:rsidR="00836DC0" w:rsidRPr="00951BCB">
        <w:rPr>
          <w:rFonts w:ascii="NewBaskerville" w:hAnsi="NewBaskerville"/>
          <w:sz w:val="20"/>
        </w:rPr>
        <w:t xml:space="preserve"> y conservación</w:t>
      </w:r>
      <w:r w:rsidRPr="00951BCB">
        <w:rPr>
          <w:rFonts w:ascii="NewBaskerville" w:hAnsi="NewBaskerville"/>
          <w:sz w:val="20"/>
        </w:rPr>
        <w:t xml:space="preserve"> de Servicios Exteriores </w:t>
      </w:r>
      <w:r w:rsidR="00836DC0" w:rsidRPr="00951BCB">
        <w:rPr>
          <w:rFonts w:ascii="NewBaskerville" w:hAnsi="NewBaskerville"/>
          <w:sz w:val="20"/>
        </w:rPr>
        <w:t>de la cuenta de Pérdidas y Ganancias ya que todas las compras tiene esta finalidad</w:t>
      </w:r>
      <w:r w:rsidR="00D94E99" w:rsidRPr="00951BCB">
        <w:rPr>
          <w:rFonts w:ascii="NewBaskerville" w:hAnsi="NewBaskerville"/>
          <w:sz w:val="20"/>
        </w:rPr>
        <w:t>.</w:t>
      </w:r>
      <w:r w:rsidR="00836DC0" w:rsidRPr="00951BCB">
        <w:rPr>
          <w:rFonts w:ascii="NewBaskerville" w:hAnsi="NewBaskerville"/>
          <w:sz w:val="20"/>
        </w:rPr>
        <w:t xml:space="preserve"> </w:t>
      </w:r>
      <w:r w:rsidR="009519EE" w:rsidRPr="00951BCB">
        <w:rPr>
          <w:rFonts w:ascii="NewBaskerville" w:hAnsi="NewBaskerville"/>
          <w:sz w:val="20"/>
        </w:rPr>
        <w:t>Su desglose en 202</w:t>
      </w:r>
      <w:r w:rsidR="00F3186A">
        <w:rPr>
          <w:rFonts w:ascii="NewBaskerville" w:hAnsi="NewBaskerville"/>
          <w:sz w:val="20"/>
        </w:rPr>
        <w:t>4</w:t>
      </w:r>
      <w:r w:rsidRPr="00951BCB">
        <w:rPr>
          <w:rFonts w:ascii="NewBaskerville" w:hAnsi="NewBaskerville"/>
          <w:sz w:val="20"/>
        </w:rPr>
        <w:t xml:space="preserve"> y 20</w:t>
      </w:r>
      <w:r w:rsidR="009519EE" w:rsidRPr="00951BCB">
        <w:rPr>
          <w:rFonts w:ascii="NewBaskerville" w:hAnsi="NewBaskerville"/>
          <w:sz w:val="20"/>
        </w:rPr>
        <w:t>2</w:t>
      </w:r>
      <w:r w:rsidR="00F3186A">
        <w:rPr>
          <w:rFonts w:ascii="NewBaskerville" w:hAnsi="NewBaskerville"/>
          <w:sz w:val="20"/>
        </w:rPr>
        <w:t>3</w:t>
      </w:r>
      <w:r w:rsidRPr="00951BCB">
        <w:rPr>
          <w:rFonts w:ascii="NewBaskerville" w:hAnsi="NewBaskerville"/>
          <w:sz w:val="20"/>
        </w:rPr>
        <w:t xml:space="preserve"> es el </w:t>
      </w:r>
      <w:r w:rsidR="00D45E66" w:rsidRPr="00951BCB">
        <w:rPr>
          <w:rFonts w:ascii="NewBaskerville" w:hAnsi="NewBaskerville"/>
          <w:sz w:val="20"/>
        </w:rPr>
        <w:t>siguiente</w:t>
      </w:r>
      <w:r w:rsidR="00AB0F64">
        <w:rPr>
          <w:rFonts w:ascii="NewBaskerville" w:hAnsi="NewBaskerville"/>
          <w:sz w:val="20"/>
        </w:rPr>
        <w:t>:</w:t>
      </w:r>
    </w:p>
    <w:p w:rsidR="00F3186A" w:rsidRDefault="00F3186A" w:rsidP="00D45E66">
      <w:pPr>
        <w:pStyle w:val="Sangradetextonormal"/>
        <w:tabs>
          <w:tab w:val="clear" w:pos="8364"/>
          <w:tab w:val="right" w:pos="8222"/>
        </w:tabs>
        <w:rPr>
          <w:rFonts w:ascii="NewBaskerville" w:hAnsi="NewBaskerville"/>
          <w:sz w:val="20"/>
        </w:rPr>
      </w:pPr>
    </w:p>
    <w:tbl>
      <w:tblPr>
        <w:tblW w:w="5000" w:type="pct"/>
        <w:tblCellMar>
          <w:left w:w="70" w:type="dxa"/>
          <w:right w:w="70" w:type="dxa"/>
        </w:tblCellMar>
        <w:tblLook w:val="04A0" w:firstRow="1" w:lastRow="0" w:firstColumn="1" w:lastColumn="0" w:noHBand="0" w:noVBand="1"/>
      </w:tblPr>
      <w:tblGrid>
        <w:gridCol w:w="3119"/>
        <w:gridCol w:w="3118"/>
        <w:gridCol w:w="3116"/>
      </w:tblGrid>
      <w:tr w:rsidR="00F3186A" w:rsidRPr="00F3186A" w:rsidTr="00F3186A">
        <w:trPr>
          <w:trHeight w:val="300"/>
        </w:trPr>
        <w:tc>
          <w:tcPr>
            <w:tcW w:w="1667" w:type="pct"/>
            <w:tcBorders>
              <w:top w:val="single" w:sz="4" w:space="0" w:color="000000"/>
              <w:left w:val="single" w:sz="4" w:space="0" w:color="000000"/>
              <w:bottom w:val="single" w:sz="4" w:space="0" w:color="000000"/>
              <w:right w:val="single" w:sz="4" w:space="0" w:color="000000"/>
            </w:tcBorders>
            <w:shd w:val="clear" w:color="000000" w:fill="CCFFCC"/>
            <w:vAlign w:val="center"/>
            <w:hideMark/>
          </w:tcPr>
          <w:p w:rsidR="00F3186A" w:rsidRPr="00F3186A" w:rsidRDefault="00F3186A" w:rsidP="00F3186A">
            <w:pPr>
              <w:jc w:val="center"/>
              <w:rPr>
                <w:rFonts w:ascii="Lucida Bright" w:hAnsi="Lucida Bright" w:cs="Calibri"/>
                <w:b/>
                <w:bCs/>
                <w:sz w:val="14"/>
                <w:szCs w:val="14"/>
                <w:lang w:val="es-ES"/>
              </w:rPr>
            </w:pPr>
            <w:r w:rsidRPr="00F3186A">
              <w:rPr>
                <w:rFonts w:ascii="Lucida Bright" w:hAnsi="Lucida Bright" w:cs="Calibri"/>
                <w:b/>
                <w:bCs/>
                <w:sz w:val="14"/>
                <w:szCs w:val="14"/>
                <w:lang w:val="es-ES"/>
              </w:rPr>
              <w:t>Concepto</w:t>
            </w:r>
          </w:p>
        </w:tc>
        <w:tc>
          <w:tcPr>
            <w:tcW w:w="1667" w:type="pct"/>
            <w:tcBorders>
              <w:top w:val="single" w:sz="4" w:space="0" w:color="000000"/>
              <w:left w:val="nil"/>
              <w:bottom w:val="single" w:sz="4" w:space="0" w:color="000000"/>
              <w:right w:val="single" w:sz="4" w:space="0" w:color="000000"/>
            </w:tcBorders>
            <w:shd w:val="clear" w:color="000000" w:fill="CCFFCC"/>
            <w:noWrap/>
            <w:vAlign w:val="center"/>
            <w:hideMark/>
          </w:tcPr>
          <w:p w:rsidR="00F3186A" w:rsidRPr="00F3186A" w:rsidRDefault="00F3186A" w:rsidP="00F3186A">
            <w:pPr>
              <w:jc w:val="center"/>
              <w:rPr>
                <w:rFonts w:ascii="Lucida Bright" w:hAnsi="Lucida Bright" w:cs="Calibri"/>
                <w:b/>
                <w:bCs/>
                <w:color w:val="000000"/>
                <w:sz w:val="14"/>
                <w:szCs w:val="14"/>
                <w:lang w:val="es-ES"/>
              </w:rPr>
            </w:pPr>
            <w:r w:rsidRPr="00F3186A">
              <w:rPr>
                <w:rFonts w:ascii="Lucida Bright" w:hAnsi="Lucida Bright" w:cs="Calibri"/>
                <w:b/>
                <w:bCs/>
                <w:color w:val="000000"/>
                <w:sz w:val="14"/>
                <w:szCs w:val="14"/>
                <w:lang w:val="es-ES"/>
              </w:rPr>
              <w:t>2024</w:t>
            </w:r>
          </w:p>
        </w:tc>
        <w:tc>
          <w:tcPr>
            <w:tcW w:w="1667" w:type="pct"/>
            <w:tcBorders>
              <w:top w:val="single" w:sz="4" w:space="0" w:color="000000"/>
              <w:left w:val="nil"/>
              <w:bottom w:val="single" w:sz="4" w:space="0" w:color="000000"/>
              <w:right w:val="single" w:sz="4" w:space="0" w:color="000000"/>
            </w:tcBorders>
            <w:shd w:val="clear" w:color="000000" w:fill="CCFFCC"/>
            <w:noWrap/>
            <w:vAlign w:val="center"/>
            <w:hideMark/>
          </w:tcPr>
          <w:p w:rsidR="00F3186A" w:rsidRPr="00F3186A" w:rsidRDefault="00F3186A" w:rsidP="00F3186A">
            <w:pPr>
              <w:jc w:val="center"/>
              <w:rPr>
                <w:rFonts w:ascii="Lucida Bright" w:hAnsi="Lucida Bright" w:cs="Calibri"/>
                <w:b/>
                <w:bCs/>
                <w:color w:val="000000"/>
                <w:sz w:val="14"/>
                <w:szCs w:val="14"/>
                <w:lang w:val="es-ES"/>
              </w:rPr>
            </w:pPr>
            <w:r w:rsidRPr="00F3186A">
              <w:rPr>
                <w:rFonts w:ascii="Lucida Bright" w:hAnsi="Lucida Bright" w:cs="Calibri"/>
                <w:b/>
                <w:bCs/>
                <w:color w:val="000000"/>
                <w:sz w:val="14"/>
                <w:szCs w:val="14"/>
                <w:lang w:val="es-ES"/>
              </w:rPr>
              <w:t>2023</w:t>
            </w:r>
          </w:p>
        </w:tc>
      </w:tr>
      <w:tr w:rsidR="00F3186A" w:rsidRPr="00F3186A" w:rsidTr="00F3186A">
        <w:trPr>
          <w:trHeight w:val="330"/>
        </w:trPr>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86A" w:rsidRPr="00F3186A" w:rsidRDefault="00F3186A" w:rsidP="00F3186A">
            <w:pPr>
              <w:rPr>
                <w:rFonts w:ascii="Lucida Bright" w:hAnsi="Lucida Bright" w:cs="Calibri"/>
                <w:sz w:val="14"/>
                <w:szCs w:val="14"/>
                <w:lang w:val="es-ES"/>
              </w:rPr>
            </w:pPr>
            <w:r w:rsidRPr="00F3186A">
              <w:rPr>
                <w:rFonts w:ascii="Lucida Bright" w:hAnsi="Lucida Bright" w:cs="Calibri"/>
                <w:sz w:val="14"/>
                <w:szCs w:val="14"/>
                <w:lang w:val="es-ES"/>
              </w:rPr>
              <w:t>Compras de materiales de reparación y conservación</w:t>
            </w:r>
          </w:p>
        </w:tc>
        <w:tc>
          <w:tcPr>
            <w:tcW w:w="1667" w:type="pct"/>
            <w:tcBorders>
              <w:top w:val="single" w:sz="4" w:space="0" w:color="000000"/>
              <w:left w:val="nil"/>
              <w:bottom w:val="single" w:sz="4" w:space="0" w:color="000000"/>
              <w:right w:val="single" w:sz="4" w:space="0" w:color="000000"/>
            </w:tcBorders>
            <w:shd w:val="clear" w:color="auto" w:fill="auto"/>
            <w:noWrap/>
            <w:vAlign w:val="center"/>
            <w:hideMark/>
          </w:tcPr>
          <w:p w:rsidR="00F3186A" w:rsidRPr="00F3186A" w:rsidRDefault="00F3186A" w:rsidP="00F3186A">
            <w:pPr>
              <w:jc w:val="right"/>
              <w:rPr>
                <w:rFonts w:ascii="Lucida Bright" w:hAnsi="Lucida Bright" w:cs="Calibri"/>
                <w:color w:val="000000"/>
                <w:sz w:val="14"/>
                <w:szCs w:val="14"/>
                <w:lang w:val="es-ES"/>
              </w:rPr>
            </w:pPr>
            <w:r w:rsidRPr="00F3186A">
              <w:rPr>
                <w:rFonts w:ascii="Lucida Bright" w:hAnsi="Lucida Bright" w:cs="Calibri"/>
                <w:color w:val="000000"/>
                <w:sz w:val="14"/>
                <w:szCs w:val="14"/>
                <w:lang w:val="es-ES"/>
              </w:rPr>
              <w:t>152.559,85</w:t>
            </w:r>
          </w:p>
        </w:tc>
        <w:tc>
          <w:tcPr>
            <w:tcW w:w="1667" w:type="pct"/>
            <w:tcBorders>
              <w:top w:val="single" w:sz="4" w:space="0" w:color="000000"/>
              <w:left w:val="nil"/>
              <w:bottom w:val="single" w:sz="4" w:space="0" w:color="000000"/>
              <w:right w:val="single" w:sz="4" w:space="0" w:color="000000"/>
            </w:tcBorders>
            <w:shd w:val="clear" w:color="auto" w:fill="auto"/>
            <w:noWrap/>
            <w:vAlign w:val="center"/>
            <w:hideMark/>
          </w:tcPr>
          <w:p w:rsidR="00F3186A" w:rsidRPr="00F3186A" w:rsidRDefault="00F3186A" w:rsidP="00F3186A">
            <w:pPr>
              <w:jc w:val="right"/>
              <w:rPr>
                <w:rFonts w:ascii="Lucida Bright" w:hAnsi="Lucida Bright" w:cs="Calibri"/>
                <w:color w:val="000000"/>
                <w:sz w:val="14"/>
                <w:szCs w:val="14"/>
                <w:lang w:val="es-ES"/>
              </w:rPr>
            </w:pPr>
            <w:r w:rsidRPr="00F3186A">
              <w:rPr>
                <w:rFonts w:ascii="Lucida Bright" w:hAnsi="Lucida Bright" w:cs="Calibri"/>
                <w:color w:val="000000"/>
                <w:sz w:val="14"/>
                <w:szCs w:val="14"/>
                <w:lang w:val="es-ES"/>
              </w:rPr>
              <w:t>212.653,07</w:t>
            </w:r>
          </w:p>
        </w:tc>
      </w:tr>
      <w:tr w:rsidR="00F3186A" w:rsidRPr="00F3186A" w:rsidTr="00F3186A">
        <w:trPr>
          <w:trHeight w:val="330"/>
        </w:trPr>
        <w:tc>
          <w:tcPr>
            <w:tcW w:w="1667" w:type="pct"/>
            <w:tcBorders>
              <w:top w:val="single" w:sz="4" w:space="0" w:color="000000"/>
              <w:left w:val="single" w:sz="4" w:space="0" w:color="000000"/>
              <w:bottom w:val="nil"/>
              <w:right w:val="single" w:sz="4" w:space="0" w:color="000000"/>
            </w:tcBorders>
            <w:shd w:val="clear" w:color="auto" w:fill="auto"/>
            <w:vAlign w:val="center"/>
            <w:hideMark/>
          </w:tcPr>
          <w:p w:rsidR="00F3186A" w:rsidRPr="00F3186A" w:rsidRDefault="00F3186A" w:rsidP="00F3186A">
            <w:pPr>
              <w:rPr>
                <w:rFonts w:ascii="Lucida Bright" w:hAnsi="Lucida Bright" w:cs="Calibri"/>
                <w:sz w:val="14"/>
                <w:szCs w:val="14"/>
                <w:lang w:val="es-ES"/>
              </w:rPr>
            </w:pPr>
            <w:r w:rsidRPr="00F3186A">
              <w:rPr>
                <w:rFonts w:ascii="Lucida Bright" w:hAnsi="Lucida Bright" w:cs="Calibri"/>
                <w:sz w:val="14"/>
                <w:szCs w:val="14"/>
                <w:lang w:val="es-ES"/>
              </w:rPr>
              <w:t>Variación de existencias</w:t>
            </w:r>
          </w:p>
        </w:tc>
        <w:tc>
          <w:tcPr>
            <w:tcW w:w="1667" w:type="pct"/>
            <w:tcBorders>
              <w:top w:val="single" w:sz="4" w:space="0" w:color="000000"/>
              <w:left w:val="nil"/>
              <w:bottom w:val="single" w:sz="4" w:space="0" w:color="000000"/>
              <w:right w:val="single" w:sz="4" w:space="0" w:color="000000"/>
            </w:tcBorders>
            <w:shd w:val="clear" w:color="auto" w:fill="auto"/>
            <w:noWrap/>
            <w:vAlign w:val="center"/>
            <w:hideMark/>
          </w:tcPr>
          <w:p w:rsidR="00F3186A" w:rsidRPr="00F3186A" w:rsidRDefault="00F3186A" w:rsidP="00F3186A">
            <w:pPr>
              <w:jc w:val="right"/>
              <w:rPr>
                <w:rFonts w:ascii="Lucida Bright" w:hAnsi="Lucida Bright" w:cs="Calibri"/>
                <w:color w:val="000000"/>
                <w:sz w:val="14"/>
                <w:szCs w:val="14"/>
                <w:lang w:val="es-ES"/>
              </w:rPr>
            </w:pPr>
            <w:r w:rsidRPr="00F3186A">
              <w:rPr>
                <w:rFonts w:ascii="Lucida Bright" w:hAnsi="Lucida Bright" w:cs="Calibri"/>
                <w:color w:val="000000"/>
                <w:sz w:val="14"/>
                <w:szCs w:val="14"/>
                <w:lang w:val="es-ES"/>
              </w:rPr>
              <w:t>5.902,05</w:t>
            </w:r>
          </w:p>
        </w:tc>
        <w:tc>
          <w:tcPr>
            <w:tcW w:w="1667" w:type="pct"/>
            <w:tcBorders>
              <w:top w:val="single" w:sz="4" w:space="0" w:color="000000"/>
              <w:left w:val="nil"/>
              <w:bottom w:val="single" w:sz="4" w:space="0" w:color="000000"/>
              <w:right w:val="single" w:sz="4" w:space="0" w:color="000000"/>
            </w:tcBorders>
            <w:shd w:val="clear" w:color="auto" w:fill="auto"/>
            <w:noWrap/>
            <w:vAlign w:val="center"/>
            <w:hideMark/>
          </w:tcPr>
          <w:p w:rsidR="00F3186A" w:rsidRPr="00F3186A" w:rsidRDefault="00F3186A" w:rsidP="00F3186A">
            <w:pPr>
              <w:jc w:val="right"/>
              <w:rPr>
                <w:rFonts w:ascii="Lucida Bright" w:hAnsi="Lucida Bright" w:cs="Calibri"/>
                <w:color w:val="000000"/>
                <w:sz w:val="14"/>
                <w:szCs w:val="14"/>
                <w:lang w:val="es-ES"/>
              </w:rPr>
            </w:pPr>
            <w:r w:rsidRPr="00F3186A">
              <w:rPr>
                <w:rFonts w:ascii="Lucida Bright" w:hAnsi="Lucida Bright" w:cs="Calibri"/>
                <w:color w:val="000000"/>
                <w:sz w:val="14"/>
                <w:szCs w:val="14"/>
                <w:lang w:val="es-ES"/>
              </w:rPr>
              <w:t>1.660,96</w:t>
            </w:r>
          </w:p>
        </w:tc>
      </w:tr>
      <w:tr w:rsidR="00F3186A" w:rsidRPr="00F3186A" w:rsidTr="00F3186A">
        <w:trPr>
          <w:trHeight w:val="330"/>
        </w:trPr>
        <w:tc>
          <w:tcPr>
            <w:tcW w:w="16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F3186A" w:rsidRPr="00F3186A" w:rsidRDefault="00F3186A" w:rsidP="00F3186A">
            <w:pPr>
              <w:rPr>
                <w:rFonts w:ascii="Lucida Bright" w:hAnsi="Lucida Bright" w:cs="Calibri"/>
                <w:b/>
                <w:bCs/>
                <w:sz w:val="14"/>
                <w:szCs w:val="14"/>
                <w:lang w:val="es-ES"/>
              </w:rPr>
            </w:pPr>
            <w:r w:rsidRPr="00F3186A">
              <w:rPr>
                <w:rFonts w:ascii="Lucida Bright" w:hAnsi="Lucida Bright" w:cs="Calibri"/>
                <w:b/>
                <w:bCs/>
                <w:sz w:val="14"/>
                <w:szCs w:val="14"/>
                <w:lang w:val="es-ES"/>
              </w:rPr>
              <w:t>Total</w:t>
            </w:r>
          </w:p>
        </w:tc>
        <w:tc>
          <w:tcPr>
            <w:tcW w:w="1667" w:type="pct"/>
            <w:tcBorders>
              <w:top w:val="single" w:sz="4" w:space="0" w:color="000000"/>
              <w:left w:val="nil"/>
              <w:bottom w:val="single" w:sz="4" w:space="0" w:color="auto"/>
              <w:right w:val="single" w:sz="4" w:space="0" w:color="000000"/>
            </w:tcBorders>
            <w:shd w:val="clear" w:color="auto" w:fill="auto"/>
            <w:noWrap/>
            <w:vAlign w:val="center"/>
            <w:hideMark/>
          </w:tcPr>
          <w:p w:rsidR="00F3186A" w:rsidRPr="00F3186A" w:rsidRDefault="00F3186A" w:rsidP="00F3186A">
            <w:pPr>
              <w:jc w:val="right"/>
              <w:rPr>
                <w:rFonts w:ascii="Lucida Bright" w:hAnsi="Lucida Bright" w:cs="Calibri"/>
                <w:b/>
                <w:bCs/>
                <w:color w:val="000000"/>
                <w:sz w:val="14"/>
                <w:szCs w:val="14"/>
                <w:lang w:val="es-ES"/>
              </w:rPr>
            </w:pPr>
            <w:r w:rsidRPr="00F3186A">
              <w:rPr>
                <w:rFonts w:ascii="Lucida Bright" w:hAnsi="Lucida Bright" w:cs="Calibri"/>
                <w:b/>
                <w:bCs/>
                <w:color w:val="000000"/>
                <w:sz w:val="14"/>
                <w:szCs w:val="14"/>
                <w:lang w:val="es-ES"/>
              </w:rPr>
              <w:t>158.461,90</w:t>
            </w:r>
          </w:p>
        </w:tc>
        <w:tc>
          <w:tcPr>
            <w:tcW w:w="1667" w:type="pct"/>
            <w:tcBorders>
              <w:top w:val="single" w:sz="4" w:space="0" w:color="000000"/>
              <w:left w:val="nil"/>
              <w:bottom w:val="single" w:sz="4" w:space="0" w:color="auto"/>
              <w:right w:val="single" w:sz="4" w:space="0" w:color="000000"/>
            </w:tcBorders>
            <w:shd w:val="clear" w:color="auto" w:fill="auto"/>
            <w:noWrap/>
            <w:vAlign w:val="center"/>
            <w:hideMark/>
          </w:tcPr>
          <w:p w:rsidR="00F3186A" w:rsidRPr="00F3186A" w:rsidRDefault="00F3186A" w:rsidP="00F3186A">
            <w:pPr>
              <w:jc w:val="right"/>
              <w:rPr>
                <w:rFonts w:ascii="Lucida Bright" w:hAnsi="Lucida Bright" w:cs="Calibri"/>
                <w:b/>
                <w:bCs/>
                <w:color w:val="000000"/>
                <w:sz w:val="14"/>
                <w:szCs w:val="14"/>
                <w:lang w:val="es-ES"/>
              </w:rPr>
            </w:pPr>
            <w:r w:rsidRPr="00F3186A">
              <w:rPr>
                <w:rFonts w:ascii="Lucida Bright" w:hAnsi="Lucida Bright" w:cs="Calibri"/>
                <w:b/>
                <w:bCs/>
                <w:color w:val="000000"/>
                <w:sz w:val="14"/>
                <w:szCs w:val="14"/>
                <w:lang w:val="es-ES"/>
              </w:rPr>
              <w:t>214.314,03</w:t>
            </w:r>
          </w:p>
        </w:tc>
      </w:tr>
    </w:tbl>
    <w:p w:rsidR="006F550B" w:rsidRPr="00951BCB" w:rsidRDefault="006F550B" w:rsidP="00D45E66">
      <w:pPr>
        <w:pStyle w:val="Sangradetextonormal"/>
        <w:tabs>
          <w:tab w:val="clear" w:pos="8364"/>
          <w:tab w:val="right" w:pos="8222"/>
        </w:tabs>
        <w:rPr>
          <w:rFonts w:ascii="NewBaskerville" w:hAnsi="NewBaskerville"/>
          <w:sz w:val="20"/>
        </w:rPr>
      </w:pPr>
    </w:p>
    <w:p w:rsidR="002E1C3E" w:rsidRDefault="002E1C3E" w:rsidP="00357986">
      <w:pPr>
        <w:tabs>
          <w:tab w:val="right" w:pos="8364"/>
        </w:tabs>
        <w:ind w:left="567" w:hanging="567"/>
        <w:jc w:val="both"/>
      </w:pPr>
    </w:p>
    <w:p w:rsidR="00147FC6" w:rsidRDefault="00147FC6" w:rsidP="00357986">
      <w:pPr>
        <w:tabs>
          <w:tab w:val="right" w:pos="8364"/>
        </w:tabs>
        <w:ind w:left="567" w:hanging="567"/>
        <w:jc w:val="both"/>
      </w:pPr>
    </w:p>
    <w:p w:rsidR="002C4355" w:rsidRPr="00AC6040" w:rsidRDefault="002D2A8D" w:rsidP="002019D4">
      <w:pPr>
        <w:tabs>
          <w:tab w:val="right" w:pos="8364"/>
        </w:tabs>
        <w:ind w:left="567" w:hanging="567"/>
        <w:jc w:val="both"/>
        <w:rPr>
          <w:bCs/>
        </w:rPr>
      </w:pPr>
      <w:r>
        <w:rPr>
          <w:bCs/>
        </w:rPr>
        <w:tab/>
      </w:r>
      <w:r w:rsidR="00BE2A0A">
        <w:rPr>
          <w:bCs/>
        </w:rPr>
        <w:t>a.2</w:t>
      </w:r>
      <w:r w:rsidR="00192EA6">
        <w:rPr>
          <w:bCs/>
        </w:rPr>
        <w:t xml:space="preserve">) </w:t>
      </w:r>
      <w:r w:rsidR="002C4355" w:rsidRPr="00846803">
        <w:rPr>
          <w:bCs/>
        </w:rPr>
        <w:t>Cargas sociales</w:t>
      </w:r>
      <w:r w:rsidR="002C4355" w:rsidRPr="00AC6040">
        <w:rPr>
          <w:bCs/>
        </w:rPr>
        <w:t xml:space="preserve"> </w:t>
      </w:r>
    </w:p>
    <w:p w:rsidR="002C4355" w:rsidRPr="00951BCB" w:rsidRDefault="002C4355" w:rsidP="00EF6B46">
      <w:pPr>
        <w:tabs>
          <w:tab w:val="right" w:pos="8364"/>
        </w:tabs>
        <w:jc w:val="both"/>
        <w:rPr>
          <w:rFonts w:ascii="NewBaskerville" w:hAnsi="NewBaskerville"/>
          <w:b/>
        </w:rPr>
      </w:pPr>
    </w:p>
    <w:p w:rsidR="002C4355" w:rsidRDefault="002C4355">
      <w:pPr>
        <w:pStyle w:val="Sangra3detindependiente"/>
        <w:tabs>
          <w:tab w:val="clear" w:pos="5671"/>
          <w:tab w:val="clear" w:pos="7797"/>
          <w:tab w:val="right" w:pos="8364"/>
        </w:tabs>
        <w:rPr>
          <w:rFonts w:ascii="NewBaskerville" w:hAnsi="NewBaskerville"/>
          <w:bCs/>
          <w:sz w:val="20"/>
          <w:szCs w:val="20"/>
        </w:rPr>
      </w:pPr>
      <w:r w:rsidRPr="00951BCB">
        <w:rPr>
          <w:rFonts w:ascii="NewBaskerville" w:hAnsi="NewBaskerville"/>
          <w:bCs/>
          <w:sz w:val="20"/>
          <w:szCs w:val="20"/>
        </w:rPr>
        <w:t>El desglose de esta partida de la cuent</w:t>
      </w:r>
      <w:r w:rsidR="000274DE" w:rsidRPr="00951BCB">
        <w:rPr>
          <w:rFonts w:ascii="NewBaskerville" w:hAnsi="NewBaskerville"/>
          <w:bCs/>
          <w:sz w:val="20"/>
          <w:szCs w:val="20"/>
        </w:rPr>
        <w:t>a</w:t>
      </w:r>
      <w:r w:rsidR="00DF7304" w:rsidRPr="00951BCB">
        <w:rPr>
          <w:rFonts w:ascii="NewBaskerville" w:hAnsi="NewBaskerville"/>
          <w:bCs/>
          <w:sz w:val="20"/>
          <w:szCs w:val="20"/>
        </w:rPr>
        <w:t xml:space="preserve"> de pérdidas y ganancias en 202</w:t>
      </w:r>
      <w:r w:rsidR="00F3186A">
        <w:rPr>
          <w:rFonts w:ascii="NewBaskerville" w:hAnsi="NewBaskerville"/>
          <w:bCs/>
          <w:sz w:val="20"/>
          <w:szCs w:val="20"/>
        </w:rPr>
        <w:t>4</w:t>
      </w:r>
      <w:r w:rsidR="008C2E68" w:rsidRPr="00951BCB">
        <w:rPr>
          <w:rFonts w:ascii="NewBaskerville" w:hAnsi="NewBaskerville"/>
          <w:bCs/>
          <w:sz w:val="20"/>
          <w:szCs w:val="20"/>
        </w:rPr>
        <w:t xml:space="preserve"> </w:t>
      </w:r>
      <w:r w:rsidR="00DF7304" w:rsidRPr="00951BCB">
        <w:rPr>
          <w:rFonts w:ascii="NewBaskerville" w:hAnsi="NewBaskerville"/>
          <w:bCs/>
          <w:sz w:val="20"/>
          <w:szCs w:val="20"/>
        </w:rPr>
        <w:t>y 202</w:t>
      </w:r>
      <w:r w:rsidR="00F3186A">
        <w:rPr>
          <w:rFonts w:ascii="NewBaskerville" w:hAnsi="NewBaskerville"/>
          <w:bCs/>
          <w:sz w:val="20"/>
          <w:szCs w:val="20"/>
        </w:rPr>
        <w:t>3</w:t>
      </w:r>
      <w:r w:rsidRPr="00951BCB">
        <w:rPr>
          <w:rFonts w:ascii="NewBaskerville" w:hAnsi="NewBaskerville"/>
          <w:bCs/>
          <w:sz w:val="20"/>
          <w:szCs w:val="20"/>
        </w:rPr>
        <w:t xml:space="preserve"> es </w:t>
      </w:r>
      <w:r w:rsidR="00BE2A0A">
        <w:rPr>
          <w:rFonts w:ascii="NewBaskerville" w:hAnsi="NewBaskerville"/>
          <w:bCs/>
          <w:sz w:val="20"/>
          <w:szCs w:val="20"/>
        </w:rPr>
        <w:t>el</w:t>
      </w:r>
      <w:r w:rsidRPr="00951BCB">
        <w:rPr>
          <w:rFonts w:ascii="NewBaskerville" w:hAnsi="NewBaskerville"/>
          <w:bCs/>
          <w:sz w:val="20"/>
          <w:szCs w:val="20"/>
        </w:rPr>
        <w:t xml:space="preserve"> </w:t>
      </w:r>
      <w:r w:rsidR="008155BC" w:rsidRPr="00951BCB">
        <w:rPr>
          <w:rFonts w:ascii="NewBaskerville" w:hAnsi="NewBaskerville"/>
          <w:bCs/>
          <w:sz w:val="20"/>
          <w:szCs w:val="20"/>
        </w:rPr>
        <w:t>siguiente:</w:t>
      </w:r>
    </w:p>
    <w:p w:rsidR="00F3186A" w:rsidRDefault="00F3186A">
      <w:pPr>
        <w:pStyle w:val="Sangra3detindependiente"/>
        <w:tabs>
          <w:tab w:val="clear" w:pos="5671"/>
          <w:tab w:val="clear" w:pos="7797"/>
          <w:tab w:val="right" w:pos="8364"/>
        </w:tabs>
        <w:rPr>
          <w:rFonts w:ascii="NewBaskerville" w:hAnsi="NewBaskerville"/>
          <w:bCs/>
          <w:sz w:val="20"/>
          <w:szCs w:val="20"/>
        </w:rPr>
      </w:pPr>
    </w:p>
    <w:tbl>
      <w:tblPr>
        <w:tblW w:w="5000" w:type="pct"/>
        <w:tblCellMar>
          <w:left w:w="70" w:type="dxa"/>
          <w:right w:w="70" w:type="dxa"/>
        </w:tblCellMar>
        <w:tblLook w:val="04A0" w:firstRow="1" w:lastRow="0" w:firstColumn="1" w:lastColumn="0" w:noHBand="0" w:noVBand="1"/>
      </w:tblPr>
      <w:tblGrid>
        <w:gridCol w:w="3153"/>
        <w:gridCol w:w="3100"/>
        <w:gridCol w:w="3100"/>
      </w:tblGrid>
      <w:tr w:rsidR="00F3186A" w:rsidRPr="00F3186A" w:rsidTr="00F3186A">
        <w:trPr>
          <w:trHeight w:val="300"/>
        </w:trPr>
        <w:tc>
          <w:tcPr>
            <w:tcW w:w="1685" w:type="pct"/>
            <w:tcBorders>
              <w:top w:val="single" w:sz="4" w:space="0" w:color="auto"/>
              <w:left w:val="single" w:sz="4" w:space="0" w:color="auto"/>
              <w:bottom w:val="single" w:sz="4" w:space="0" w:color="auto"/>
              <w:right w:val="single" w:sz="4" w:space="0" w:color="000000"/>
            </w:tcBorders>
            <w:shd w:val="clear" w:color="000000" w:fill="CCFFCC"/>
            <w:vAlign w:val="center"/>
            <w:hideMark/>
          </w:tcPr>
          <w:p w:rsidR="00F3186A" w:rsidRPr="00F3186A" w:rsidRDefault="00F3186A" w:rsidP="00F3186A">
            <w:pPr>
              <w:jc w:val="center"/>
              <w:rPr>
                <w:rFonts w:ascii="Lucida Bright" w:hAnsi="Lucida Bright" w:cs="Calibri"/>
                <w:b/>
                <w:bCs/>
                <w:sz w:val="14"/>
                <w:szCs w:val="14"/>
                <w:lang w:val="es-ES"/>
              </w:rPr>
            </w:pPr>
            <w:r w:rsidRPr="00F3186A">
              <w:rPr>
                <w:rFonts w:ascii="Lucida Bright" w:hAnsi="Lucida Bright" w:cs="Calibri"/>
                <w:b/>
                <w:bCs/>
                <w:sz w:val="14"/>
                <w:szCs w:val="14"/>
                <w:lang w:val="es-ES"/>
              </w:rPr>
              <w:t>Concepto</w:t>
            </w:r>
          </w:p>
        </w:tc>
        <w:tc>
          <w:tcPr>
            <w:tcW w:w="1657" w:type="pct"/>
            <w:tcBorders>
              <w:top w:val="single" w:sz="4" w:space="0" w:color="auto"/>
              <w:left w:val="nil"/>
              <w:bottom w:val="single" w:sz="4" w:space="0" w:color="auto"/>
              <w:right w:val="single" w:sz="4" w:space="0" w:color="000000"/>
            </w:tcBorders>
            <w:shd w:val="clear" w:color="000000" w:fill="CCFFCC"/>
            <w:noWrap/>
            <w:vAlign w:val="center"/>
            <w:hideMark/>
          </w:tcPr>
          <w:p w:rsidR="00F3186A" w:rsidRPr="00F3186A" w:rsidRDefault="00F3186A" w:rsidP="00F3186A">
            <w:pPr>
              <w:jc w:val="center"/>
              <w:rPr>
                <w:rFonts w:ascii="Lucida Bright" w:hAnsi="Lucida Bright" w:cs="Calibri"/>
                <w:b/>
                <w:bCs/>
                <w:color w:val="000000"/>
                <w:sz w:val="14"/>
                <w:szCs w:val="14"/>
                <w:lang w:val="es-ES"/>
              </w:rPr>
            </w:pPr>
            <w:r w:rsidRPr="00F3186A">
              <w:rPr>
                <w:rFonts w:ascii="Lucida Bright" w:hAnsi="Lucida Bright" w:cs="Calibri"/>
                <w:b/>
                <w:bCs/>
                <w:color w:val="000000"/>
                <w:sz w:val="14"/>
                <w:szCs w:val="14"/>
                <w:lang w:val="es-ES"/>
              </w:rPr>
              <w:t>2024</w:t>
            </w:r>
          </w:p>
        </w:tc>
        <w:tc>
          <w:tcPr>
            <w:tcW w:w="1657" w:type="pct"/>
            <w:tcBorders>
              <w:top w:val="single" w:sz="4" w:space="0" w:color="auto"/>
              <w:left w:val="nil"/>
              <w:bottom w:val="single" w:sz="4" w:space="0" w:color="auto"/>
              <w:right w:val="single" w:sz="4" w:space="0" w:color="000000"/>
            </w:tcBorders>
            <w:shd w:val="clear" w:color="000000" w:fill="CCFFCC"/>
            <w:noWrap/>
            <w:vAlign w:val="center"/>
            <w:hideMark/>
          </w:tcPr>
          <w:p w:rsidR="00F3186A" w:rsidRPr="00F3186A" w:rsidRDefault="00F3186A" w:rsidP="00F3186A">
            <w:pPr>
              <w:jc w:val="center"/>
              <w:rPr>
                <w:rFonts w:ascii="Lucida Bright" w:hAnsi="Lucida Bright" w:cs="Calibri"/>
                <w:b/>
                <w:bCs/>
                <w:color w:val="000000"/>
                <w:sz w:val="14"/>
                <w:szCs w:val="14"/>
                <w:lang w:val="es-ES"/>
              </w:rPr>
            </w:pPr>
            <w:r w:rsidRPr="00F3186A">
              <w:rPr>
                <w:rFonts w:ascii="Lucida Bright" w:hAnsi="Lucida Bright" w:cs="Calibri"/>
                <w:b/>
                <w:bCs/>
                <w:color w:val="000000"/>
                <w:sz w:val="14"/>
                <w:szCs w:val="14"/>
                <w:lang w:val="es-ES"/>
              </w:rPr>
              <w:t>2023</w:t>
            </w:r>
          </w:p>
        </w:tc>
      </w:tr>
      <w:tr w:rsidR="00F3186A" w:rsidRPr="00F3186A" w:rsidTr="00F3186A">
        <w:trPr>
          <w:trHeight w:val="330"/>
        </w:trPr>
        <w:tc>
          <w:tcPr>
            <w:tcW w:w="1685" w:type="pct"/>
            <w:tcBorders>
              <w:top w:val="nil"/>
              <w:left w:val="single" w:sz="4" w:space="0" w:color="000000"/>
              <w:bottom w:val="single" w:sz="4" w:space="0" w:color="000000"/>
              <w:right w:val="single" w:sz="4" w:space="0" w:color="000000"/>
            </w:tcBorders>
            <w:shd w:val="clear" w:color="auto" w:fill="auto"/>
            <w:vAlign w:val="center"/>
            <w:hideMark/>
          </w:tcPr>
          <w:p w:rsidR="00F3186A" w:rsidRPr="00F3186A" w:rsidRDefault="00F3186A" w:rsidP="00F3186A">
            <w:pPr>
              <w:rPr>
                <w:rFonts w:ascii="Lucida Bright" w:hAnsi="Lucida Bright" w:cs="Calibri"/>
                <w:sz w:val="14"/>
                <w:szCs w:val="14"/>
                <w:lang w:val="es-ES"/>
              </w:rPr>
            </w:pPr>
            <w:r w:rsidRPr="00F3186A">
              <w:rPr>
                <w:rFonts w:ascii="Lucida Bright" w:hAnsi="Lucida Bright" w:cs="Calibri"/>
                <w:sz w:val="14"/>
                <w:szCs w:val="14"/>
                <w:lang w:val="es-ES"/>
              </w:rPr>
              <w:t>Seguridad social a cargo de la empresa</w:t>
            </w:r>
          </w:p>
        </w:tc>
        <w:tc>
          <w:tcPr>
            <w:tcW w:w="1657" w:type="pct"/>
            <w:tcBorders>
              <w:top w:val="nil"/>
              <w:left w:val="nil"/>
              <w:bottom w:val="single" w:sz="4" w:space="0" w:color="000000"/>
              <w:right w:val="single" w:sz="4" w:space="0" w:color="000000"/>
            </w:tcBorders>
            <w:shd w:val="clear" w:color="auto" w:fill="auto"/>
            <w:noWrap/>
            <w:vAlign w:val="center"/>
            <w:hideMark/>
          </w:tcPr>
          <w:p w:rsidR="00F3186A" w:rsidRPr="00F3186A" w:rsidRDefault="00F3186A" w:rsidP="00F3186A">
            <w:pPr>
              <w:jc w:val="right"/>
              <w:rPr>
                <w:rFonts w:ascii="Lucida Bright" w:hAnsi="Lucida Bright" w:cs="Calibri"/>
                <w:color w:val="000000"/>
                <w:sz w:val="14"/>
                <w:szCs w:val="14"/>
                <w:lang w:val="es-ES"/>
              </w:rPr>
            </w:pPr>
            <w:r w:rsidRPr="00F3186A">
              <w:rPr>
                <w:rFonts w:ascii="Lucida Bright" w:hAnsi="Lucida Bright" w:cs="Calibri"/>
                <w:color w:val="000000"/>
                <w:sz w:val="14"/>
                <w:szCs w:val="14"/>
                <w:lang w:val="es-ES"/>
              </w:rPr>
              <w:t>4.695.799,86</w:t>
            </w:r>
          </w:p>
        </w:tc>
        <w:tc>
          <w:tcPr>
            <w:tcW w:w="1657" w:type="pct"/>
            <w:tcBorders>
              <w:top w:val="nil"/>
              <w:left w:val="nil"/>
              <w:bottom w:val="single" w:sz="4" w:space="0" w:color="000000"/>
              <w:right w:val="single" w:sz="4" w:space="0" w:color="000000"/>
            </w:tcBorders>
            <w:shd w:val="clear" w:color="auto" w:fill="auto"/>
            <w:noWrap/>
            <w:vAlign w:val="center"/>
            <w:hideMark/>
          </w:tcPr>
          <w:p w:rsidR="00F3186A" w:rsidRPr="00F3186A" w:rsidRDefault="00F3186A" w:rsidP="00F3186A">
            <w:pPr>
              <w:jc w:val="right"/>
              <w:rPr>
                <w:rFonts w:ascii="Lucida Bright" w:hAnsi="Lucida Bright" w:cs="Calibri"/>
                <w:color w:val="000000"/>
                <w:sz w:val="14"/>
                <w:szCs w:val="14"/>
                <w:lang w:val="es-ES"/>
              </w:rPr>
            </w:pPr>
            <w:r w:rsidRPr="00F3186A">
              <w:rPr>
                <w:rFonts w:ascii="Lucida Bright" w:hAnsi="Lucida Bright" w:cs="Calibri"/>
                <w:color w:val="000000"/>
                <w:sz w:val="14"/>
                <w:szCs w:val="14"/>
                <w:lang w:val="es-ES"/>
              </w:rPr>
              <w:t>3.987.248,29</w:t>
            </w:r>
          </w:p>
        </w:tc>
      </w:tr>
      <w:tr w:rsidR="00F3186A" w:rsidRPr="00F3186A" w:rsidTr="00F3186A">
        <w:trPr>
          <w:trHeight w:val="330"/>
        </w:trPr>
        <w:tc>
          <w:tcPr>
            <w:tcW w:w="1685" w:type="pct"/>
            <w:tcBorders>
              <w:top w:val="nil"/>
              <w:left w:val="single" w:sz="4" w:space="0" w:color="000000"/>
              <w:bottom w:val="single" w:sz="4" w:space="0" w:color="000000"/>
              <w:right w:val="single" w:sz="4" w:space="0" w:color="000000"/>
            </w:tcBorders>
            <w:shd w:val="clear" w:color="auto" w:fill="auto"/>
            <w:vAlign w:val="center"/>
            <w:hideMark/>
          </w:tcPr>
          <w:p w:rsidR="00F3186A" w:rsidRPr="00F3186A" w:rsidRDefault="00F3186A" w:rsidP="00F3186A">
            <w:pPr>
              <w:rPr>
                <w:rFonts w:ascii="Lucida Bright" w:hAnsi="Lucida Bright" w:cs="Calibri"/>
                <w:sz w:val="14"/>
                <w:szCs w:val="14"/>
                <w:lang w:val="es-ES"/>
              </w:rPr>
            </w:pPr>
            <w:r w:rsidRPr="00F3186A">
              <w:rPr>
                <w:rFonts w:ascii="Lucida Bright" w:hAnsi="Lucida Bright" w:cs="Calibri"/>
                <w:sz w:val="14"/>
                <w:szCs w:val="14"/>
                <w:lang w:val="es-ES"/>
              </w:rPr>
              <w:t>Otros gastos sociales</w:t>
            </w:r>
          </w:p>
        </w:tc>
        <w:tc>
          <w:tcPr>
            <w:tcW w:w="1657" w:type="pct"/>
            <w:tcBorders>
              <w:top w:val="single" w:sz="4" w:space="0" w:color="000000"/>
              <w:left w:val="nil"/>
              <w:bottom w:val="single" w:sz="4" w:space="0" w:color="000000"/>
              <w:right w:val="single" w:sz="4" w:space="0" w:color="000000"/>
            </w:tcBorders>
            <w:shd w:val="clear" w:color="auto" w:fill="auto"/>
            <w:noWrap/>
            <w:vAlign w:val="center"/>
            <w:hideMark/>
          </w:tcPr>
          <w:p w:rsidR="00F3186A" w:rsidRPr="00F3186A" w:rsidRDefault="00F3186A" w:rsidP="00F3186A">
            <w:pPr>
              <w:jc w:val="right"/>
              <w:rPr>
                <w:rFonts w:ascii="Lucida Bright" w:hAnsi="Lucida Bright" w:cs="Calibri"/>
                <w:color w:val="000000"/>
                <w:sz w:val="14"/>
                <w:szCs w:val="14"/>
                <w:lang w:val="es-ES"/>
              </w:rPr>
            </w:pPr>
            <w:r w:rsidRPr="00F3186A">
              <w:rPr>
                <w:rFonts w:ascii="Lucida Bright" w:hAnsi="Lucida Bright" w:cs="Calibri"/>
                <w:color w:val="000000"/>
                <w:sz w:val="14"/>
                <w:szCs w:val="14"/>
                <w:lang w:val="es-ES"/>
              </w:rPr>
              <w:t>819.691,74</w:t>
            </w:r>
          </w:p>
        </w:tc>
        <w:tc>
          <w:tcPr>
            <w:tcW w:w="1657" w:type="pct"/>
            <w:tcBorders>
              <w:top w:val="single" w:sz="4" w:space="0" w:color="000000"/>
              <w:left w:val="nil"/>
              <w:bottom w:val="single" w:sz="4" w:space="0" w:color="000000"/>
              <w:right w:val="single" w:sz="4" w:space="0" w:color="000000"/>
            </w:tcBorders>
            <w:shd w:val="clear" w:color="auto" w:fill="auto"/>
            <w:noWrap/>
            <w:vAlign w:val="center"/>
            <w:hideMark/>
          </w:tcPr>
          <w:p w:rsidR="00F3186A" w:rsidRPr="00F3186A" w:rsidRDefault="00F3186A" w:rsidP="00F3186A">
            <w:pPr>
              <w:jc w:val="right"/>
              <w:rPr>
                <w:rFonts w:ascii="Lucida Bright" w:hAnsi="Lucida Bright" w:cs="Calibri"/>
                <w:color w:val="000000"/>
                <w:sz w:val="14"/>
                <w:szCs w:val="14"/>
                <w:lang w:val="es-ES"/>
              </w:rPr>
            </w:pPr>
            <w:r w:rsidRPr="00F3186A">
              <w:rPr>
                <w:rFonts w:ascii="Lucida Bright" w:hAnsi="Lucida Bright" w:cs="Calibri"/>
                <w:color w:val="000000"/>
                <w:sz w:val="14"/>
                <w:szCs w:val="14"/>
                <w:lang w:val="es-ES"/>
              </w:rPr>
              <w:t>721.360,47</w:t>
            </w:r>
          </w:p>
        </w:tc>
      </w:tr>
      <w:tr w:rsidR="00F3186A" w:rsidRPr="00F3186A" w:rsidTr="00F3186A">
        <w:trPr>
          <w:trHeight w:val="330"/>
        </w:trPr>
        <w:tc>
          <w:tcPr>
            <w:tcW w:w="1685" w:type="pct"/>
            <w:tcBorders>
              <w:top w:val="nil"/>
              <w:left w:val="single" w:sz="4" w:space="0" w:color="000000"/>
              <w:bottom w:val="single" w:sz="4" w:space="0" w:color="000000"/>
              <w:right w:val="single" w:sz="4" w:space="0" w:color="000000"/>
            </w:tcBorders>
            <w:shd w:val="clear" w:color="auto" w:fill="auto"/>
            <w:vAlign w:val="center"/>
            <w:hideMark/>
          </w:tcPr>
          <w:p w:rsidR="00F3186A" w:rsidRPr="00F3186A" w:rsidRDefault="00F3186A" w:rsidP="00F3186A">
            <w:pPr>
              <w:rPr>
                <w:rFonts w:ascii="Lucida Bright" w:hAnsi="Lucida Bright" w:cs="Calibri"/>
                <w:b/>
                <w:bCs/>
                <w:sz w:val="14"/>
                <w:szCs w:val="14"/>
                <w:lang w:val="es-ES"/>
              </w:rPr>
            </w:pPr>
            <w:r w:rsidRPr="00F3186A">
              <w:rPr>
                <w:rFonts w:ascii="Lucida Bright" w:hAnsi="Lucida Bright" w:cs="Calibri"/>
                <w:b/>
                <w:bCs/>
                <w:sz w:val="14"/>
                <w:szCs w:val="14"/>
                <w:lang w:val="es-ES"/>
              </w:rPr>
              <w:t>Total</w:t>
            </w:r>
          </w:p>
        </w:tc>
        <w:tc>
          <w:tcPr>
            <w:tcW w:w="1657" w:type="pct"/>
            <w:tcBorders>
              <w:top w:val="single" w:sz="4" w:space="0" w:color="000000"/>
              <w:left w:val="nil"/>
              <w:bottom w:val="single" w:sz="4" w:space="0" w:color="000000"/>
              <w:right w:val="single" w:sz="4" w:space="0" w:color="000000"/>
            </w:tcBorders>
            <w:shd w:val="clear" w:color="auto" w:fill="auto"/>
            <w:noWrap/>
            <w:vAlign w:val="center"/>
            <w:hideMark/>
          </w:tcPr>
          <w:p w:rsidR="00F3186A" w:rsidRPr="00F3186A" w:rsidRDefault="00F3186A" w:rsidP="00F3186A">
            <w:pPr>
              <w:jc w:val="right"/>
              <w:rPr>
                <w:rFonts w:ascii="Lucida Bright" w:hAnsi="Lucida Bright" w:cs="Calibri"/>
                <w:b/>
                <w:bCs/>
                <w:color w:val="000000"/>
                <w:sz w:val="14"/>
                <w:szCs w:val="14"/>
                <w:lang w:val="es-ES"/>
              </w:rPr>
            </w:pPr>
            <w:r w:rsidRPr="00F3186A">
              <w:rPr>
                <w:rFonts w:ascii="Lucida Bright" w:hAnsi="Lucida Bright" w:cs="Calibri"/>
                <w:b/>
                <w:bCs/>
                <w:color w:val="000000"/>
                <w:sz w:val="14"/>
                <w:szCs w:val="14"/>
                <w:lang w:val="es-ES"/>
              </w:rPr>
              <w:t>5.515.491,60</w:t>
            </w:r>
          </w:p>
        </w:tc>
        <w:tc>
          <w:tcPr>
            <w:tcW w:w="1657" w:type="pct"/>
            <w:tcBorders>
              <w:top w:val="single" w:sz="4" w:space="0" w:color="000000"/>
              <w:left w:val="nil"/>
              <w:bottom w:val="single" w:sz="4" w:space="0" w:color="000000"/>
              <w:right w:val="single" w:sz="4" w:space="0" w:color="000000"/>
            </w:tcBorders>
            <w:shd w:val="clear" w:color="auto" w:fill="auto"/>
            <w:noWrap/>
            <w:vAlign w:val="center"/>
            <w:hideMark/>
          </w:tcPr>
          <w:p w:rsidR="00F3186A" w:rsidRPr="00F3186A" w:rsidRDefault="00F3186A" w:rsidP="00F3186A">
            <w:pPr>
              <w:jc w:val="right"/>
              <w:rPr>
                <w:rFonts w:ascii="Lucida Bright" w:hAnsi="Lucida Bright" w:cs="Calibri"/>
                <w:b/>
                <w:bCs/>
                <w:color w:val="000000"/>
                <w:sz w:val="14"/>
                <w:szCs w:val="14"/>
                <w:lang w:val="es-ES"/>
              </w:rPr>
            </w:pPr>
            <w:r w:rsidRPr="00F3186A">
              <w:rPr>
                <w:rFonts w:ascii="Lucida Bright" w:hAnsi="Lucida Bright" w:cs="Calibri"/>
                <w:b/>
                <w:bCs/>
                <w:color w:val="000000"/>
                <w:sz w:val="14"/>
                <w:szCs w:val="14"/>
                <w:lang w:val="es-ES"/>
              </w:rPr>
              <w:t>4.708.608,76</w:t>
            </w:r>
          </w:p>
        </w:tc>
      </w:tr>
    </w:tbl>
    <w:p w:rsidR="006F550B" w:rsidRPr="00951BCB" w:rsidRDefault="006F550B">
      <w:pPr>
        <w:pStyle w:val="Sangra3detindependiente"/>
        <w:tabs>
          <w:tab w:val="clear" w:pos="5671"/>
          <w:tab w:val="clear" w:pos="7797"/>
          <w:tab w:val="right" w:pos="8364"/>
        </w:tabs>
        <w:rPr>
          <w:rFonts w:ascii="NewBaskerville" w:hAnsi="NewBaskerville"/>
          <w:bCs/>
          <w:sz w:val="20"/>
          <w:szCs w:val="20"/>
        </w:rPr>
      </w:pPr>
    </w:p>
    <w:p w:rsidR="002C4355" w:rsidRDefault="002C4355">
      <w:pPr>
        <w:tabs>
          <w:tab w:val="right" w:pos="8364"/>
        </w:tabs>
        <w:jc w:val="both"/>
        <w:rPr>
          <w:b/>
        </w:rPr>
      </w:pPr>
    </w:p>
    <w:p w:rsidR="00147FC6" w:rsidRPr="00846803" w:rsidRDefault="00147FC6">
      <w:pPr>
        <w:tabs>
          <w:tab w:val="right" w:pos="8364"/>
        </w:tabs>
        <w:jc w:val="both"/>
        <w:rPr>
          <w:b/>
        </w:rPr>
      </w:pPr>
    </w:p>
    <w:p w:rsidR="002C4355" w:rsidRPr="009757ED" w:rsidRDefault="002019D4" w:rsidP="002019D4">
      <w:pPr>
        <w:tabs>
          <w:tab w:val="right" w:pos="8364"/>
        </w:tabs>
        <w:ind w:left="567" w:hanging="567"/>
        <w:jc w:val="both"/>
        <w:rPr>
          <w:rFonts w:ascii="NewBaskerville" w:hAnsi="NewBaskerville"/>
          <w:bCs/>
        </w:rPr>
      </w:pPr>
      <w:r>
        <w:rPr>
          <w:bCs/>
        </w:rPr>
        <w:tab/>
      </w:r>
      <w:r w:rsidR="00192EA6" w:rsidRPr="009757ED">
        <w:rPr>
          <w:rFonts w:ascii="NewBaskerville" w:hAnsi="NewBaskerville"/>
          <w:bCs/>
        </w:rPr>
        <w:t>a.</w:t>
      </w:r>
      <w:r w:rsidR="00BE2A0A">
        <w:rPr>
          <w:rFonts w:ascii="NewBaskerville" w:hAnsi="NewBaskerville"/>
          <w:bCs/>
        </w:rPr>
        <w:t>3</w:t>
      </w:r>
      <w:r w:rsidR="00192EA6" w:rsidRPr="009757ED">
        <w:rPr>
          <w:rFonts w:ascii="NewBaskerville" w:hAnsi="NewBaskerville"/>
          <w:bCs/>
        </w:rPr>
        <w:t xml:space="preserve">) </w:t>
      </w:r>
      <w:r w:rsidR="002C4355" w:rsidRPr="009757ED">
        <w:rPr>
          <w:rFonts w:ascii="NewBaskerville" w:hAnsi="NewBaskerville"/>
          <w:bCs/>
        </w:rPr>
        <w:t>Plan de Pensiones</w:t>
      </w:r>
    </w:p>
    <w:p w:rsidR="002C4355" w:rsidRPr="009757ED" w:rsidRDefault="002C4355">
      <w:pPr>
        <w:pStyle w:val="Sangradetextonormal"/>
        <w:tabs>
          <w:tab w:val="clear" w:pos="8364"/>
          <w:tab w:val="right" w:pos="8222"/>
        </w:tabs>
        <w:rPr>
          <w:rFonts w:ascii="NewBaskerville" w:hAnsi="NewBaskerville"/>
          <w:sz w:val="20"/>
        </w:rPr>
      </w:pPr>
    </w:p>
    <w:p w:rsidR="00FE620A" w:rsidRPr="009757ED" w:rsidRDefault="002C4355">
      <w:pPr>
        <w:pStyle w:val="Sangradetextonormal"/>
        <w:tabs>
          <w:tab w:val="clear" w:pos="8364"/>
          <w:tab w:val="right" w:pos="8222"/>
        </w:tabs>
        <w:rPr>
          <w:rFonts w:ascii="NewBaskerville" w:hAnsi="NewBaskerville"/>
          <w:sz w:val="20"/>
        </w:rPr>
      </w:pPr>
      <w:r w:rsidRPr="009757ED">
        <w:rPr>
          <w:rFonts w:ascii="NewBaskerville" w:hAnsi="NewBaskerville"/>
          <w:sz w:val="20"/>
        </w:rPr>
        <w:tab/>
      </w:r>
      <w:r w:rsidR="008834BF">
        <w:rPr>
          <w:rFonts w:ascii="NewBaskerville" w:hAnsi="NewBaskerville"/>
          <w:sz w:val="20"/>
        </w:rPr>
        <w:t xml:space="preserve"> La </w:t>
      </w:r>
      <w:r w:rsidR="008155BC" w:rsidRPr="009757ED">
        <w:rPr>
          <w:rFonts w:ascii="NewBaskerville" w:hAnsi="NewBaskerville"/>
          <w:sz w:val="20"/>
        </w:rPr>
        <w:t>AP</w:t>
      </w:r>
      <w:r w:rsidRPr="009757ED">
        <w:rPr>
          <w:rFonts w:ascii="NewBaskerville" w:hAnsi="NewBaskerville"/>
          <w:sz w:val="20"/>
        </w:rPr>
        <w:t>B mantiene constituido un Plan de Pens</w:t>
      </w:r>
      <w:r w:rsidR="00914B2C" w:rsidRPr="009757ED">
        <w:rPr>
          <w:rFonts w:ascii="NewBaskerville" w:hAnsi="NewBaskerville"/>
          <w:sz w:val="20"/>
        </w:rPr>
        <w:t xml:space="preserve">iones a favor de sus empleados que </w:t>
      </w:r>
      <w:r w:rsidRPr="009757ED">
        <w:rPr>
          <w:rFonts w:ascii="NewBaskerville" w:hAnsi="NewBaskerville"/>
          <w:sz w:val="20"/>
        </w:rPr>
        <w:t>se integra en la actualidad en el Fondo de Pensiones “PUERTO PENSIONES, FONDO DE PENSIONES”, inscrito en el Registro Mercantil de Madrid.</w:t>
      </w:r>
    </w:p>
    <w:p w:rsidR="002C4355" w:rsidRPr="009757ED" w:rsidRDefault="002C4355" w:rsidP="00FE620A">
      <w:pPr>
        <w:pStyle w:val="Sangradetextonormal"/>
        <w:tabs>
          <w:tab w:val="clear" w:pos="8364"/>
          <w:tab w:val="right" w:pos="8222"/>
        </w:tabs>
        <w:rPr>
          <w:rFonts w:ascii="NewBaskerville" w:hAnsi="NewBaskerville"/>
          <w:sz w:val="20"/>
        </w:rPr>
      </w:pPr>
    </w:p>
    <w:p w:rsidR="002C4355" w:rsidRPr="009757ED" w:rsidRDefault="002C4355">
      <w:pPr>
        <w:pStyle w:val="Sangradetextonormal"/>
        <w:tabs>
          <w:tab w:val="clear" w:pos="8364"/>
          <w:tab w:val="right" w:pos="8222"/>
        </w:tabs>
        <w:rPr>
          <w:rFonts w:ascii="NewBaskerville" w:hAnsi="NewBaskerville"/>
          <w:sz w:val="20"/>
        </w:rPr>
      </w:pPr>
      <w:r w:rsidRPr="009757ED">
        <w:rPr>
          <w:rFonts w:ascii="NewBaskerville" w:hAnsi="NewBaskerville"/>
          <w:sz w:val="20"/>
        </w:rPr>
        <w:t>Las contingencias cubiertas son la jubilación, el fallecimiento o l</w:t>
      </w:r>
      <w:r w:rsidR="00F8542D" w:rsidRPr="009757ED">
        <w:rPr>
          <w:rFonts w:ascii="NewBaskerville" w:hAnsi="NewBaskerville"/>
          <w:sz w:val="20"/>
        </w:rPr>
        <w:t>a invalidez permanente del partí</w:t>
      </w:r>
      <w:r w:rsidRPr="009757ED">
        <w:rPr>
          <w:rFonts w:ascii="NewBaskerville" w:hAnsi="NewBaskerville"/>
          <w:sz w:val="20"/>
        </w:rPr>
        <w:t xml:space="preserve">cipe, siendo el importe de la prestación igual al derecho consolidado por el </w:t>
      </w:r>
      <w:r w:rsidR="00F8542D" w:rsidRPr="009757ED">
        <w:rPr>
          <w:rFonts w:ascii="NewBaskerville" w:hAnsi="NewBaskerville"/>
          <w:sz w:val="20"/>
        </w:rPr>
        <w:t>p</w:t>
      </w:r>
      <w:r w:rsidRPr="009757ED">
        <w:rPr>
          <w:rFonts w:ascii="NewBaskerville" w:hAnsi="NewBaskerville"/>
          <w:sz w:val="20"/>
        </w:rPr>
        <w:t>artícipe en la fecha de abono de esta prestación.</w:t>
      </w:r>
    </w:p>
    <w:p w:rsidR="00E37DF1" w:rsidRPr="009757ED" w:rsidRDefault="00E37DF1">
      <w:pPr>
        <w:pStyle w:val="Sangradetextonormal"/>
        <w:tabs>
          <w:tab w:val="clear" w:pos="8364"/>
          <w:tab w:val="right" w:pos="8222"/>
        </w:tabs>
        <w:rPr>
          <w:rFonts w:ascii="NewBaskerville" w:hAnsi="NewBaskerville"/>
          <w:sz w:val="20"/>
        </w:rPr>
      </w:pPr>
    </w:p>
    <w:p w:rsidR="004A041C" w:rsidRPr="009757ED" w:rsidRDefault="00E37DF1">
      <w:pPr>
        <w:pStyle w:val="Sangradetextonormal"/>
        <w:tabs>
          <w:tab w:val="clear" w:pos="8364"/>
          <w:tab w:val="right" w:pos="8222"/>
        </w:tabs>
        <w:rPr>
          <w:rFonts w:ascii="NewBaskerville" w:hAnsi="NewBaskerville"/>
          <w:sz w:val="20"/>
        </w:rPr>
      </w:pPr>
      <w:r w:rsidRPr="009757ED">
        <w:rPr>
          <w:rFonts w:ascii="NewBaskerville" w:hAnsi="NewBaskerville"/>
          <w:sz w:val="20"/>
        </w:rPr>
        <w:t>El art.22.</w:t>
      </w:r>
      <w:r w:rsidR="00E74052" w:rsidRPr="009757ED">
        <w:rPr>
          <w:rFonts w:ascii="NewBaskerville" w:hAnsi="NewBaskerville"/>
          <w:sz w:val="20"/>
        </w:rPr>
        <w:t>3</w:t>
      </w:r>
      <w:r w:rsidRPr="009757ED">
        <w:rPr>
          <w:rFonts w:ascii="NewBaskerville" w:hAnsi="NewBaskerville"/>
          <w:sz w:val="20"/>
        </w:rPr>
        <w:t xml:space="preserve"> de la Ley </w:t>
      </w:r>
      <w:r w:rsidR="00E74052" w:rsidRPr="009757ED">
        <w:rPr>
          <w:rFonts w:ascii="NewBaskerville" w:hAnsi="NewBaskerville"/>
          <w:sz w:val="20"/>
        </w:rPr>
        <w:t>17</w:t>
      </w:r>
      <w:r w:rsidR="00A03932" w:rsidRPr="009757ED">
        <w:rPr>
          <w:rFonts w:ascii="NewBaskerville" w:hAnsi="NewBaskerville"/>
          <w:sz w:val="20"/>
        </w:rPr>
        <w:t>/201</w:t>
      </w:r>
      <w:r w:rsidR="00E74052" w:rsidRPr="009757ED">
        <w:rPr>
          <w:rFonts w:ascii="NewBaskerville" w:hAnsi="NewBaskerville"/>
          <w:sz w:val="20"/>
        </w:rPr>
        <w:t>2</w:t>
      </w:r>
      <w:r w:rsidRPr="009757ED">
        <w:rPr>
          <w:rFonts w:ascii="NewBaskerville" w:hAnsi="NewBaskerville"/>
          <w:sz w:val="20"/>
        </w:rPr>
        <w:t xml:space="preserve"> de Presupuestos Generales del Estado establece que </w:t>
      </w:r>
      <w:r w:rsidR="0053692E" w:rsidRPr="009757ED">
        <w:rPr>
          <w:rFonts w:ascii="NewBaskerville" w:hAnsi="NewBaskerville"/>
          <w:sz w:val="20"/>
        </w:rPr>
        <w:t>a partir d</w:t>
      </w:r>
      <w:r w:rsidRPr="009757ED">
        <w:rPr>
          <w:rFonts w:ascii="NewBaskerville" w:hAnsi="NewBaskerville"/>
          <w:sz w:val="20"/>
        </w:rPr>
        <w:t>el año 201</w:t>
      </w:r>
      <w:r w:rsidR="00914B2C" w:rsidRPr="009757ED">
        <w:rPr>
          <w:rFonts w:ascii="NewBaskerville" w:hAnsi="NewBaskerville"/>
          <w:sz w:val="20"/>
        </w:rPr>
        <w:t>3</w:t>
      </w:r>
      <w:r w:rsidRPr="009757ED">
        <w:rPr>
          <w:rFonts w:ascii="NewBaskerville" w:hAnsi="NewBaskerville"/>
          <w:sz w:val="20"/>
        </w:rPr>
        <w:t xml:space="preserve"> no se podrán realizar aportaciones a los planes de pensiones al p</w:t>
      </w:r>
      <w:r w:rsidR="00E74052" w:rsidRPr="009757ED">
        <w:rPr>
          <w:rFonts w:ascii="NewBaskerville" w:hAnsi="NewBaskerville"/>
          <w:sz w:val="20"/>
        </w:rPr>
        <w:t xml:space="preserve">ersonal del sector público por </w:t>
      </w:r>
      <w:r w:rsidRPr="009757ED">
        <w:rPr>
          <w:rFonts w:ascii="NewBaskerville" w:hAnsi="NewBaskerville"/>
          <w:sz w:val="20"/>
        </w:rPr>
        <w:t>lo que este año no ha habido n</w:t>
      </w:r>
      <w:r w:rsidR="00E46ADF" w:rsidRPr="009757ED">
        <w:rPr>
          <w:rFonts w:ascii="NewBaskerville" w:hAnsi="NewBaskerville"/>
          <w:sz w:val="20"/>
        </w:rPr>
        <w:t>inguna aportación de la empresa</w:t>
      </w:r>
      <w:r w:rsidR="0053692E" w:rsidRPr="009757ED">
        <w:rPr>
          <w:rFonts w:ascii="NewBaskerville" w:hAnsi="NewBaskerville"/>
          <w:sz w:val="20"/>
        </w:rPr>
        <w:t>.</w:t>
      </w:r>
    </w:p>
    <w:p w:rsidR="00484FB9" w:rsidRDefault="00484FB9" w:rsidP="002019D4">
      <w:pPr>
        <w:tabs>
          <w:tab w:val="right" w:pos="8364"/>
        </w:tabs>
        <w:ind w:left="567"/>
        <w:jc w:val="both"/>
        <w:rPr>
          <w:bCs/>
        </w:rPr>
      </w:pPr>
      <w:bookmarkStart w:id="2" w:name="_Hlk4422481"/>
    </w:p>
    <w:p w:rsidR="00507DEF" w:rsidRDefault="00507DEF" w:rsidP="002019D4">
      <w:pPr>
        <w:tabs>
          <w:tab w:val="right" w:pos="8364"/>
        </w:tabs>
        <w:ind w:left="567"/>
        <w:jc w:val="both"/>
        <w:rPr>
          <w:rFonts w:ascii="NewBaskerville" w:hAnsi="NewBaskerville"/>
          <w:bCs/>
        </w:rPr>
      </w:pPr>
    </w:p>
    <w:p w:rsidR="00147FC6" w:rsidRDefault="00147FC6" w:rsidP="002019D4">
      <w:pPr>
        <w:tabs>
          <w:tab w:val="right" w:pos="8364"/>
        </w:tabs>
        <w:ind w:left="567"/>
        <w:jc w:val="both"/>
        <w:rPr>
          <w:rFonts w:ascii="NewBaskerville" w:hAnsi="NewBaskerville"/>
          <w:bCs/>
        </w:rPr>
      </w:pPr>
    </w:p>
    <w:p w:rsidR="00994409" w:rsidRDefault="00BE2A0A" w:rsidP="002019D4">
      <w:pPr>
        <w:tabs>
          <w:tab w:val="right" w:pos="8364"/>
        </w:tabs>
        <w:ind w:left="567"/>
        <w:jc w:val="both"/>
        <w:rPr>
          <w:rFonts w:ascii="NewBaskerville" w:hAnsi="NewBaskerville"/>
          <w:bCs/>
        </w:rPr>
      </w:pPr>
      <w:r>
        <w:rPr>
          <w:rFonts w:ascii="NewBaskerville" w:hAnsi="NewBaskerville"/>
          <w:bCs/>
        </w:rPr>
        <w:t>a.4</w:t>
      </w:r>
      <w:r w:rsidR="008155BC" w:rsidRPr="009757ED">
        <w:rPr>
          <w:rFonts w:ascii="NewBaskerville" w:hAnsi="NewBaskerville"/>
          <w:bCs/>
        </w:rPr>
        <w:t>)</w:t>
      </w:r>
      <w:r w:rsidR="00192EA6" w:rsidRPr="009757ED">
        <w:rPr>
          <w:rFonts w:ascii="NewBaskerville" w:hAnsi="NewBaskerville"/>
          <w:bCs/>
        </w:rPr>
        <w:t xml:space="preserve"> </w:t>
      </w:r>
      <w:r w:rsidR="00994409" w:rsidRPr="009757ED">
        <w:rPr>
          <w:rFonts w:ascii="NewBaskerville" w:hAnsi="NewBaskerville"/>
          <w:bCs/>
        </w:rPr>
        <w:t>Otros gastos de gestión corriente:</w:t>
      </w:r>
    </w:p>
    <w:p w:rsidR="00F3186A" w:rsidRDefault="00F3186A" w:rsidP="002019D4">
      <w:pPr>
        <w:tabs>
          <w:tab w:val="right" w:pos="8364"/>
        </w:tabs>
        <w:ind w:left="567"/>
        <w:jc w:val="both"/>
        <w:rPr>
          <w:rFonts w:ascii="NewBaskerville" w:hAnsi="NewBaskerville"/>
          <w:bCs/>
        </w:rPr>
      </w:pPr>
    </w:p>
    <w:p w:rsidR="00F3186A" w:rsidRDefault="00F3186A" w:rsidP="002019D4">
      <w:pPr>
        <w:tabs>
          <w:tab w:val="right" w:pos="8364"/>
        </w:tabs>
        <w:ind w:left="567"/>
        <w:jc w:val="both"/>
        <w:rPr>
          <w:rFonts w:ascii="NewBaskerville" w:hAnsi="NewBaskerville"/>
          <w:bCs/>
        </w:rPr>
      </w:pPr>
    </w:p>
    <w:p w:rsidR="006F550B" w:rsidRDefault="006F550B" w:rsidP="002019D4">
      <w:pPr>
        <w:tabs>
          <w:tab w:val="right" w:pos="8364"/>
        </w:tabs>
        <w:ind w:left="567"/>
        <w:jc w:val="both"/>
        <w:rPr>
          <w:rFonts w:ascii="NewBaskerville" w:hAnsi="NewBaskerville"/>
          <w:bCs/>
        </w:rPr>
      </w:pPr>
    </w:p>
    <w:tbl>
      <w:tblPr>
        <w:tblW w:w="5000" w:type="pct"/>
        <w:tblCellMar>
          <w:left w:w="70" w:type="dxa"/>
          <w:right w:w="70" w:type="dxa"/>
        </w:tblCellMar>
        <w:tblLook w:val="04A0" w:firstRow="1" w:lastRow="0" w:firstColumn="1" w:lastColumn="0" w:noHBand="0" w:noVBand="1"/>
      </w:tblPr>
      <w:tblGrid>
        <w:gridCol w:w="5284"/>
        <w:gridCol w:w="297"/>
        <w:gridCol w:w="297"/>
        <w:gridCol w:w="333"/>
        <w:gridCol w:w="1571"/>
        <w:gridCol w:w="1571"/>
      </w:tblGrid>
      <w:tr w:rsidR="00481B90" w:rsidRPr="00481B90" w:rsidTr="00481B90">
        <w:trPr>
          <w:trHeight w:val="300"/>
        </w:trPr>
        <w:tc>
          <w:tcPr>
            <w:tcW w:w="3319" w:type="pct"/>
            <w:gridSpan w:val="4"/>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481B90" w:rsidRPr="00481B90" w:rsidRDefault="00481B90" w:rsidP="00481B90">
            <w:pPr>
              <w:jc w:val="center"/>
              <w:rPr>
                <w:rFonts w:ascii="Lucida Bright" w:hAnsi="Lucida Bright" w:cs="Calibri"/>
                <w:b/>
                <w:bCs/>
                <w:color w:val="000000"/>
                <w:sz w:val="14"/>
                <w:szCs w:val="14"/>
                <w:lang w:val="es-ES"/>
              </w:rPr>
            </w:pPr>
            <w:r w:rsidRPr="00481B90">
              <w:rPr>
                <w:rFonts w:ascii="Lucida Bright" w:hAnsi="Lucida Bright" w:cs="Calibri"/>
                <w:b/>
                <w:bCs/>
                <w:color w:val="000000"/>
                <w:sz w:val="14"/>
                <w:szCs w:val="14"/>
                <w:lang w:val="es-ES"/>
              </w:rPr>
              <w:lastRenderedPageBreak/>
              <w:t>Concepto</w:t>
            </w:r>
          </w:p>
        </w:tc>
        <w:tc>
          <w:tcPr>
            <w:tcW w:w="840" w:type="pct"/>
            <w:tcBorders>
              <w:top w:val="single" w:sz="4" w:space="0" w:color="auto"/>
              <w:left w:val="nil"/>
              <w:bottom w:val="single" w:sz="4" w:space="0" w:color="auto"/>
              <w:right w:val="single" w:sz="4" w:space="0" w:color="auto"/>
            </w:tcBorders>
            <w:shd w:val="clear" w:color="000000" w:fill="CCFFCC"/>
            <w:noWrap/>
            <w:vAlign w:val="bottom"/>
            <w:hideMark/>
          </w:tcPr>
          <w:p w:rsidR="00481B90" w:rsidRPr="00481B90" w:rsidRDefault="00481B90" w:rsidP="00481B90">
            <w:pPr>
              <w:jc w:val="center"/>
              <w:rPr>
                <w:rFonts w:ascii="Lucida Bright" w:hAnsi="Lucida Bright" w:cs="Calibri"/>
                <w:b/>
                <w:bCs/>
                <w:color w:val="000000"/>
                <w:sz w:val="14"/>
                <w:szCs w:val="14"/>
                <w:lang w:val="es-ES"/>
              </w:rPr>
            </w:pPr>
            <w:r w:rsidRPr="00481B90">
              <w:rPr>
                <w:rFonts w:ascii="Lucida Bright" w:hAnsi="Lucida Bright" w:cs="Calibri"/>
                <w:b/>
                <w:bCs/>
                <w:color w:val="000000"/>
                <w:sz w:val="14"/>
                <w:szCs w:val="14"/>
                <w:lang w:val="es-ES"/>
              </w:rPr>
              <w:t>2024</w:t>
            </w:r>
          </w:p>
        </w:tc>
        <w:tc>
          <w:tcPr>
            <w:tcW w:w="840" w:type="pct"/>
            <w:tcBorders>
              <w:top w:val="single" w:sz="4" w:space="0" w:color="auto"/>
              <w:left w:val="nil"/>
              <w:bottom w:val="single" w:sz="4" w:space="0" w:color="auto"/>
              <w:right w:val="single" w:sz="4" w:space="0" w:color="auto"/>
            </w:tcBorders>
            <w:shd w:val="clear" w:color="000000" w:fill="CCFFCC"/>
            <w:noWrap/>
            <w:vAlign w:val="bottom"/>
            <w:hideMark/>
          </w:tcPr>
          <w:p w:rsidR="00481B90" w:rsidRPr="00481B90" w:rsidRDefault="00481B90" w:rsidP="00481B90">
            <w:pPr>
              <w:jc w:val="center"/>
              <w:rPr>
                <w:rFonts w:ascii="Lucida Bright" w:hAnsi="Lucida Bright" w:cs="Calibri"/>
                <w:b/>
                <w:bCs/>
                <w:color w:val="000000"/>
                <w:sz w:val="14"/>
                <w:szCs w:val="14"/>
                <w:lang w:val="es-ES"/>
              </w:rPr>
            </w:pPr>
            <w:r w:rsidRPr="00481B90">
              <w:rPr>
                <w:rFonts w:ascii="Lucida Bright" w:hAnsi="Lucida Bright" w:cs="Calibri"/>
                <w:b/>
                <w:bCs/>
                <w:color w:val="000000"/>
                <w:sz w:val="14"/>
                <w:szCs w:val="14"/>
                <w:lang w:val="es-ES"/>
              </w:rPr>
              <w:t>2023</w:t>
            </w:r>
          </w:p>
        </w:tc>
      </w:tr>
      <w:tr w:rsidR="00481B90" w:rsidRPr="00481B90" w:rsidTr="00481B90">
        <w:trPr>
          <w:trHeight w:val="300"/>
        </w:trPr>
        <w:tc>
          <w:tcPr>
            <w:tcW w:w="3319"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Dietas asistencia al Consejo de Administración (no personal)</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142.159,12</w:t>
            </w:r>
          </w:p>
        </w:tc>
        <w:tc>
          <w:tcPr>
            <w:tcW w:w="840"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142.321,83</w:t>
            </w:r>
          </w:p>
        </w:tc>
      </w:tr>
      <w:tr w:rsidR="00481B90" w:rsidRPr="00481B90" w:rsidTr="00481B90">
        <w:trPr>
          <w:trHeight w:val="300"/>
        </w:trPr>
        <w:tc>
          <w:tcPr>
            <w:tcW w:w="3141" w:type="pct"/>
            <w:gridSpan w:val="3"/>
            <w:tcBorders>
              <w:top w:val="single" w:sz="4" w:space="0" w:color="auto"/>
              <w:left w:val="single" w:sz="4" w:space="0" w:color="auto"/>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Daños a terceros, costas judiciales, etc</w:t>
            </w:r>
          </w:p>
        </w:tc>
        <w:tc>
          <w:tcPr>
            <w:tcW w:w="178"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18.451,99</w:t>
            </w:r>
          </w:p>
        </w:tc>
        <w:tc>
          <w:tcPr>
            <w:tcW w:w="840"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13.289,53</w:t>
            </w:r>
          </w:p>
        </w:tc>
      </w:tr>
      <w:tr w:rsidR="00481B90" w:rsidRPr="00481B90" w:rsidTr="00481B90">
        <w:trPr>
          <w:trHeight w:val="300"/>
        </w:trPr>
        <w:tc>
          <w:tcPr>
            <w:tcW w:w="2982" w:type="pct"/>
            <w:gridSpan w:val="2"/>
            <w:tcBorders>
              <w:top w:val="single" w:sz="4" w:space="0" w:color="auto"/>
              <w:left w:val="single" w:sz="4" w:space="0" w:color="auto"/>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Otros gastos de gestión</w:t>
            </w:r>
          </w:p>
        </w:tc>
        <w:tc>
          <w:tcPr>
            <w:tcW w:w="159" w:type="pct"/>
            <w:tcBorders>
              <w:top w:val="nil"/>
              <w:left w:val="nil"/>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178"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625.480,73</w:t>
            </w:r>
          </w:p>
        </w:tc>
        <w:tc>
          <w:tcPr>
            <w:tcW w:w="840"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344.581,31</w:t>
            </w:r>
          </w:p>
        </w:tc>
      </w:tr>
      <w:tr w:rsidR="00481B90" w:rsidRPr="00481B90" w:rsidTr="00481B90">
        <w:trPr>
          <w:trHeight w:val="300"/>
        </w:trPr>
        <w:tc>
          <w:tcPr>
            <w:tcW w:w="3141" w:type="pct"/>
            <w:gridSpan w:val="3"/>
            <w:tcBorders>
              <w:top w:val="single" w:sz="4" w:space="0" w:color="auto"/>
              <w:left w:val="single" w:sz="4" w:space="0" w:color="auto"/>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Gastos de gestión cobro de deudas en vía de apremio</w:t>
            </w:r>
          </w:p>
        </w:tc>
        <w:tc>
          <w:tcPr>
            <w:tcW w:w="178"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45.774,75</w:t>
            </w:r>
          </w:p>
        </w:tc>
        <w:tc>
          <w:tcPr>
            <w:tcW w:w="840"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39.625,88</w:t>
            </w:r>
          </w:p>
        </w:tc>
      </w:tr>
      <w:tr w:rsidR="00481B90" w:rsidRPr="00481B90" w:rsidTr="00481B90">
        <w:trPr>
          <w:trHeight w:val="300"/>
        </w:trPr>
        <w:tc>
          <w:tcPr>
            <w:tcW w:w="2982" w:type="pct"/>
            <w:gridSpan w:val="2"/>
            <w:tcBorders>
              <w:top w:val="single" w:sz="4" w:space="0" w:color="auto"/>
              <w:left w:val="single" w:sz="4" w:space="0" w:color="auto"/>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Provisión para responsabilidades</w:t>
            </w:r>
          </w:p>
        </w:tc>
        <w:tc>
          <w:tcPr>
            <w:tcW w:w="159" w:type="pct"/>
            <w:tcBorders>
              <w:top w:val="nil"/>
              <w:left w:val="nil"/>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178"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5.508.000,00</w:t>
            </w:r>
          </w:p>
        </w:tc>
        <w:tc>
          <w:tcPr>
            <w:tcW w:w="840"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0,00</w:t>
            </w:r>
          </w:p>
        </w:tc>
      </w:tr>
      <w:tr w:rsidR="00481B90" w:rsidRPr="00481B90" w:rsidTr="00481B90">
        <w:trPr>
          <w:trHeight w:val="300"/>
        </w:trPr>
        <w:tc>
          <w:tcPr>
            <w:tcW w:w="2982" w:type="pct"/>
            <w:gridSpan w:val="2"/>
            <w:tcBorders>
              <w:top w:val="single" w:sz="4" w:space="0" w:color="auto"/>
              <w:left w:val="single" w:sz="4" w:space="0" w:color="auto"/>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Ministerio de Justicia</w:t>
            </w:r>
          </w:p>
        </w:tc>
        <w:tc>
          <w:tcPr>
            <w:tcW w:w="159" w:type="pct"/>
            <w:tcBorders>
              <w:top w:val="nil"/>
              <w:left w:val="nil"/>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178"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87.865,19</w:t>
            </w:r>
          </w:p>
        </w:tc>
        <w:tc>
          <w:tcPr>
            <w:tcW w:w="840"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83.275,44</w:t>
            </w:r>
          </w:p>
        </w:tc>
      </w:tr>
      <w:tr w:rsidR="00481B90" w:rsidRPr="00481B90" w:rsidTr="00481B90">
        <w:trPr>
          <w:trHeight w:val="300"/>
        </w:trPr>
        <w:tc>
          <w:tcPr>
            <w:tcW w:w="2824" w:type="pct"/>
            <w:tcBorders>
              <w:top w:val="nil"/>
              <w:left w:val="single" w:sz="4" w:space="0" w:color="auto"/>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Patrocinios</w:t>
            </w:r>
          </w:p>
        </w:tc>
        <w:tc>
          <w:tcPr>
            <w:tcW w:w="159" w:type="pct"/>
            <w:tcBorders>
              <w:top w:val="nil"/>
              <w:left w:val="nil"/>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159" w:type="pct"/>
            <w:tcBorders>
              <w:top w:val="nil"/>
              <w:left w:val="nil"/>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178"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74.726,18</w:t>
            </w:r>
          </w:p>
        </w:tc>
        <w:tc>
          <w:tcPr>
            <w:tcW w:w="840"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42.764,71</w:t>
            </w:r>
          </w:p>
        </w:tc>
      </w:tr>
      <w:tr w:rsidR="00481B90" w:rsidRPr="00481B90" w:rsidTr="00481B90">
        <w:trPr>
          <w:trHeight w:val="300"/>
        </w:trPr>
        <w:tc>
          <w:tcPr>
            <w:tcW w:w="2982" w:type="pct"/>
            <w:gridSpan w:val="2"/>
            <w:tcBorders>
              <w:top w:val="single" w:sz="4" w:space="0" w:color="auto"/>
              <w:left w:val="single" w:sz="4" w:space="0" w:color="auto"/>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Recargos y Sanciones</w:t>
            </w:r>
          </w:p>
        </w:tc>
        <w:tc>
          <w:tcPr>
            <w:tcW w:w="159" w:type="pct"/>
            <w:tcBorders>
              <w:top w:val="nil"/>
              <w:left w:val="nil"/>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178"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66.073,53</w:t>
            </w:r>
          </w:p>
        </w:tc>
        <w:tc>
          <w:tcPr>
            <w:tcW w:w="840"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32.779,16</w:t>
            </w:r>
          </w:p>
        </w:tc>
      </w:tr>
      <w:tr w:rsidR="00481B90" w:rsidRPr="00481B90" w:rsidTr="00481B90">
        <w:trPr>
          <w:trHeight w:val="300"/>
        </w:trPr>
        <w:tc>
          <w:tcPr>
            <w:tcW w:w="3141" w:type="pct"/>
            <w:gridSpan w:val="3"/>
            <w:tcBorders>
              <w:top w:val="single" w:sz="4" w:space="0" w:color="auto"/>
              <w:left w:val="single" w:sz="4" w:space="0" w:color="auto"/>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Devolución de subvenciones a la explotación</w:t>
            </w:r>
          </w:p>
        </w:tc>
        <w:tc>
          <w:tcPr>
            <w:tcW w:w="178"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0,00</w:t>
            </w:r>
          </w:p>
        </w:tc>
        <w:tc>
          <w:tcPr>
            <w:tcW w:w="840"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63.106,37</w:t>
            </w:r>
          </w:p>
        </w:tc>
      </w:tr>
      <w:tr w:rsidR="00481B90" w:rsidRPr="00481B90" w:rsidTr="00481B90">
        <w:trPr>
          <w:trHeight w:val="300"/>
        </w:trPr>
        <w:tc>
          <w:tcPr>
            <w:tcW w:w="2824" w:type="pct"/>
            <w:tcBorders>
              <w:top w:val="nil"/>
              <w:left w:val="single" w:sz="4" w:space="0" w:color="auto"/>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b/>
                <w:bCs/>
                <w:color w:val="000000"/>
                <w:sz w:val="14"/>
                <w:szCs w:val="14"/>
                <w:lang w:val="es-ES"/>
              </w:rPr>
            </w:pPr>
            <w:r w:rsidRPr="00481B90">
              <w:rPr>
                <w:rFonts w:ascii="Lucida Bright" w:hAnsi="Lucida Bright" w:cs="Calibri"/>
                <w:b/>
                <w:bCs/>
                <w:color w:val="000000"/>
                <w:sz w:val="14"/>
                <w:szCs w:val="14"/>
                <w:lang w:val="es-ES"/>
              </w:rPr>
              <w:t>Total</w:t>
            </w:r>
          </w:p>
        </w:tc>
        <w:tc>
          <w:tcPr>
            <w:tcW w:w="159" w:type="pct"/>
            <w:tcBorders>
              <w:top w:val="nil"/>
              <w:left w:val="nil"/>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159" w:type="pct"/>
            <w:tcBorders>
              <w:top w:val="nil"/>
              <w:left w:val="nil"/>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178"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b/>
                <w:bCs/>
                <w:color w:val="000000"/>
                <w:sz w:val="14"/>
                <w:szCs w:val="14"/>
                <w:lang w:val="es-ES"/>
              </w:rPr>
            </w:pPr>
            <w:r w:rsidRPr="00481B90">
              <w:rPr>
                <w:rFonts w:ascii="Lucida Bright" w:hAnsi="Lucida Bright" w:cs="Calibri"/>
                <w:b/>
                <w:bCs/>
                <w:color w:val="000000"/>
                <w:sz w:val="14"/>
                <w:szCs w:val="14"/>
                <w:lang w:val="es-ES"/>
              </w:rPr>
              <w:t>6.568.531,49</w:t>
            </w:r>
          </w:p>
        </w:tc>
        <w:tc>
          <w:tcPr>
            <w:tcW w:w="840"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b/>
                <w:bCs/>
                <w:color w:val="000000"/>
                <w:sz w:val="14"/>
                <w:szCs w:val="14"/>
                <w:lang w:val="es-ES"/>
              </w:rPr>
            </w:pPr>
            <w:r w:rsidRPr="00481B90">
              <w:rPr>
                <w:rFonts w:ascii="Lucida Bright" w:hAnsi="Lucida Bright" w:cs="Calibri"/>
                <w:b/>
                <w:bCs/>
                <w:color w:val="000000"/>
                <w:sz w:val="14"/>
                <w:szCs w:val="14"/>
                <w:lang w:val="es-ES"/>
              </w:rPr>
              <w:t>761.744,23</w:t>
            </w:r>
          </w:p>
        </w:tc>
      </w:tr>
    </w:tbl>
    <w:p w:rsidR="003737B4" w:rsidRDefault="003737B4" w:rsidP="002019D4">
      <w:pPr>
        <w:tabs>
          <w:tab w:val="right" w:pos="8364"/>
        </w:tabs>
        <w:ind w:left="567"/>
        <w:jc w:val="both"/>
        <w:rPr>
          <w:rFonts w:ascii="NewBaskerville" w:hAnsi="NewBaskerville"/>
          <w:bCs/>
          <w:lang w:val="es-ES"/>
        </w:rPr>
      </w:pPr>
    </w:p>
    <w:bookmarkEnd w:id="2"/>
    <w:p w:rsidR="003737B4" w:rsidRDefault="00211E65" w:rsidP="00211E65">
      <w:pPr>
        <w:tabs>
          <w:tab w:val="right" w:pos="8364"/>
        </w:tabs>
        <w:ind w:firstLine="567"/>
        <w:jc w:val="both"/>
        <w:rPr>
          <w:bCs/>
        </w:rPr>
      </w:pPr>
      <w:r>
        <w:rPr>
          <w:bCs/>
        </w:rPr>
        <w:t>Durante el ejercicio 2024 se han satisfecho indemnizaciones por importe de 621.841,05 euros que se engloban en “Otros gastos de gestión” del cuadro anterior.</w:t>
      </w:r>
    </w:p>
    <w:p w:rsidR="00211E65" w:rsidRDefault="00211E65" w:rsidP="00211E65">
      <w:pPr>
        <w:tabs>
          <w:tab w:val="right" w:pos="8364"/>
        </w:tabs>
        <w:ind w:firstLine="567"/>
        <w:jc w:val="both"/>
        <w:rPr>
          <w:bCs/>
        </w:rPr>
      </w:pPr>
    </w:p>
    <w:p w:rsidR="00481B90" w:rsidRPr="00846803" w:rsidRDefault="00481B90" w:rsidP="00245534">
      <w:pPr>
        <w:tabs>
          <w:tab w:val="right" w:pos="8364"/>
        </w:tabs>
        <w:jc w:val="both"/>
        <w:rPr>
          <w:bCs/>
        </w:rPr>
      </w:pPr>
    </w:p>
    <w:p w:rsidR="002C4355" w:rsidRPr="003737B4" w:rsidRDefault="00BE2A0A" w:rsidP="002019D4">
      <w:pPr>
        <w:tabs>
          <w:tab w:val="right" w:pos="8364"/>
        </w:tabs>
        <w:ind w:left="567"/>
        <w:jc w:val="both"/>
        <w:rPr>
          <w:rFonts w:ascii="NewBaskerville" w:hAnsi="NewBaskerville"/>
          <w:bCs/>
        </w:rPr>
      </w:pPr>
      <w:r>
        <w:rPr>
          <w:rFonts w:ascii="NewBaskerville" w:hAnsi="NewBaskerville"/>
          <w:bCs/>
        </w:rPr>
        <w:t>a.5</w:t>
      </w:r>
      <w:r w:rsidR="00192EA6" w:rsidRPr="003737B4">
        <w:rPr>
          <w:rFonts w:ascii="NewBaskerville" w:hAnsi="NewBaskerville"/>
          <w:bCs/>
        </w:rPr>
        <w:t xml:space="preserve">) </w:t>
      </w:r>
      <w:r w:rsidR="00762B1B" w:rsidRPr="003737B4">
        <w:rPr>
          <w:rFonts w:ascii="NewBaskerville" w:hAnsi="NewBaskerville"/>
          <w:bCs/>
        </w:rPr>
        <w:t>Gastos financieros:</w:t>
      </w:r>
    </w:p>
    <w:p w:rsidR="00762B1B" w:rsidRPr="00846803" w:rsidRDefault="00762B1B" w:rsidP="004A041C">
      <w:pPr>
        <w:tabs>
          <w:tab w:val="right" w:pos="8364"/>
        </w:tabs>
        <w:ind w:left="284" w:hanging="284"/>
        <w:jc w:val="both"/>
        <w:rPr>
          <w:b/>
          <w:bCs/>
        </w:rPr>
      </w:pPr>
    </w:p>
    <w:p w:rsidR="00481B90" w:rsidRDefault="00253378" w:rsidP="00245534">
      <w:pPr>
        <w:tabs>
          <w:tab w:val="right" w:pos="8364"/>
        </w:tabs>
        <w:jc w:val="both"/>
        <w:rPr>
          <w:b/>
          <w:bCs/>
          <w:sz w:val="24"/>
        </w:rPr>
      </w:pPr>
      <w:r>
        <w:rPr>
          <w:bCs/>
          <w:sz w:val="24"/>
        </w:rPr>
        <w:t xml:space="preserve">      </w:t>
      </w:r>
    </w:p>
    <w:tbl>
      <w:tblPr>
        <w:tblW w:w="5000" w:type="pct"/>
        <w:tblCellMar>
          <w:left w:w="70" w:type="dxa"/>
          <w:right w:w="70" w:type="dxa"/>
        </w:tblCellMar>
        <w:tblLook w:val="04A0" w:firstRow="1" w:lastRow="0" w:firstColumn="1" w:lastColumn="0" w:noHBand="0" w:noVBand="1"/>
      </w:tblPr>
      <w:tblGrid>
        <w:gridCol w:w="4562"/>
        <w:gridCol w:w="529"/>
        <w:gridCol w:w="529"/>
        <w:gridCol w:w="591"/>
        <w:gridCol w:w="1571"/>
        <w:gridCol w:w="1571"/>
      </w:tblGrid>
      <w:tr w:rsidR="00481B90" w:rsidRPr="00481B90" w:rsidTr="00481B90">
        <w:trPr>
          <w:trHeight w:val="300"/>
        </w:trPr>
        <w:tc>
          <w:tcPr>
            <w:tcW w:w="3319" w:type="pct"/>
            <w:gridSpan w:val="4"/>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481B90" w:rsidRPr="00481B90" w:rsidRDefault="00481B90" w:rsidP="00481B90">
            <w:pPr>
              <w:jc w:val="center"/>
              <w:rPr>
                <w:rFonts w:ascii="Lucida Bright" w:hAnsi="Lucida Bright" w:cs="Calibri"/>
                <w:b/>
                <w:bCs/>
                <w:color w:val="000000"/>
                <w:sz w:val="14"/>
                <w:szCs w:val="14"/>
                <w:lang w:val="es-ES"/>
              </w:rPr>
            </w:pPr>
            <w:r w:rsidRPr="00481B90">
              <w:rPr>
                <w:rFonts w:ascii="Lucida Bright" w:hAnsi="Lucida Bright" w:cs="Calibri"/>
                <w:b/>
                <w:bCs/>
                <w:color w:val="000000"/>
                <w:sz w:val="14"/>
                <w:szCs w:val="14"/>
                <w:lang w:val="es-ES"/>
              </w:rPr>
              <w:t>Concepto</w:t>
            </w:r>
          </w:p>
        </w:tc>
        <w:tc>
          <w:tcPr>
            <w:tcW w:w="840" w:type="pct"/>
            <w:tcBorders>
              <w:top w:val="single" w:sz="4" w:space="0" w:color="auto"/>
              <w:left w:val="nil"/>
              <w:bottom w:val="single" w:sz="4" w:space="0" w:color="auto"/>
              <w:right w:val="single" w:sz="4" w:space="0" w:color="auto"/>
            </w:tcBorders>
            <w:shd w:val="clear" w:color="000000" w:fill="CCFFCC"/>
            <w:noWrap/>
            <w:vAlign w:val="bottom"/>
            <w:hideMark/>
          </w:tcPr>
          <w:p w:rsidR="00481B90" w:rsidRPr="00481B90" w:rsidRDefault="00481B90" w:rsidP="00481B90">
            <w:pPr>
              <w:jc w:val="center"/>
              <w:rPr>
                <w:rFonts w:ascii="Lucida Bright" w:hAnsi="Lucida Bright" w:cs="Calibri"/>
                <w:b/>
                <w:bCs/>
                <w:color w:val="000000"/>
                <w:sz w:val="14"/>
                <w:szCs w:val="14"/>
                <w:lang w:val="es-ES"/>
              </w:rPr>
            </w:pPr>
            <w:r w:rsidRPr="00481B90">
              <w:rPr>
                <w:rFonts w:ascii="Lucida Bright" w:hAnsi="Lucida Bright" w:cs="Calibri"/>
                <w:b/>
                <w:bCs/>
                <w:color w:val="000000"/>
                <w:sz w:val="14"/>
                <w:szCs w:val="14"/>
                <w:lang w:val="es-ES"/>
              </w:rPr>
              <w:t>2024</w:t>
            </w:r>
          </w:p>
        </w:tc>
        <w:tc>
          <w:tcPr>
            <w:tcW w:w="840" w:type="pct"/>
            <w:tcBorders>
              <w:top w:val="single" w:sz="4" w:space="0" w:color="auto"/>
              <w:left w:val="nil"/>
              <w:bottom w:val="single" w:sz="4" w:space="0" w:color="auto"/>
              <w:right w:val="single" w:sz="4" w:space="0" w:color="auto"/>
            </w:tcBorders>
            <w:shd w:val="clear" w:color="000000" w:fill="CCFFCC"/>
            <w:noWrap/>
            <w:vAlign w:val="bottom"/>
            <w:hideMark/>
          </w:tcPr>
          <w:p w:rsidR="00481B90" w:rsidRPr="00481B90" w:rsidRDefault="00481B90" w:rsidP="00481B90">
            <w:pPr>
              <w:jc w:val="center"/>
              <w:rPr>
                <w:rFonts w:ascii="Lucida Bright" w:hAnsi="Lucida Bright" w:cs="Calibri"/>
                <w:b/>
                <w:bCs/>
                <w:color w:val="000000"/>
                <w:sz w:val="14"/>
                <w:szCs w:val="14"/>
                <w:lang w:val="es-ES"/>
              </w:rPr>
            </w:pPr>
            <w:r w:rsidRPr="00481B90">
              <w:rPr>
                <w:rFonts w:ascii="Lucida Bright" w:hAnsi="Lucida Bright" w:cs="Calibri"/>
                <w:b/>
                <w:bCs/>
                <w:color w:val="000000"/>
                <w:sz w:val="14"/>
                <w:szCs w:val="14"/>
                <w:lang w:val="es-ES"/>
              </w:rPr>
              <w:t>2023</w:t>
            </w:r>
          </w:p>
        </w:tc>
      </w:tr>
      <w:tr w:rsidR="00481B90" w:rsidRPr="00481B90" w:rsidTr="00481B90">
        <w:trPr>
          <w:trHeight w:val="300"/>
        </w:trPr>
        <w:tc>
          <w:tcPr>
            <w:tcW w:w="2721" w:type="pct"/>
            <w:gridSpan w:val="2"/>
            <w:tcBorders>
              <w:top w:val="single" w:sz="4" w:space="0" w:color="auto"/>
              <w:left w:val="single" w:sz="4" w:space="0" w:color="auto"/>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Actualización de provisiones</w:t>
            </w:r>
          </w:p>
        </w:tc>
        <w:tc>
          <w:tcPr>
            <w:tcW w:w="283" w:type="pct"/>
            <w:tcBorders>
              <w:top w:val="nil"/>
              <w:left w:val="nil"/>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316"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285.012,83</w:t>
            </w:r>
          </w:p>
        </w:tc>
        <w:tc>
          <w:tcPr>
            <w:tcW w:w="840"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356.833,74</w:t>
            </w:r>
          </w:p>
        </w:tc>
      </w:tr>
      <w:tr w:rsidR="00481B90" w:rsidRPr="00481B90" w:rsidTr="00481B90">
        <w:trPr>
          <w:trHeight w:val="300"/>
        </w:trPr>
        <w:tc>
          <w:tcPr>
            <w:tcW w:w="3004" w:type="pct"/>
            <w:gridSpan w:val="3"/>
            <w:tcBorders>
              <w:top w:val="single" w:sz="4" w:space="0" w:color="auto"/>
              <w:left w:val="single" w:sz="4" w:space="0" w:color="auto"/>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Intereses de demora por otros conceptos</w:t>
            </w:r>
          </w:p>
        </w:tc>
        <w:tc>
          <w:tcPr>
            <w:tcW w:w="316"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10.904,96</w:t>
            </w:r>
          </w:p>
        </w:tc>
        <w:tc>
          <w:tcPr>
            <w:tcW w:w="840"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9.278,27</w:t>
            </w:r>
          </w:p>
        </w:tc>
      </w:tr>
      <w:tr w:rsidR="00481B90" w:rsidRPr="00481B90" w:rsidTr="00481B90">
        <w:trPr>
          <w:trHeight w:val="300"/>
        </w:trPr>
        <w:tc>
          <w:tcPr>
            <w:tcW w:w="2438" w:type="pct"/>
            <w:tcBorders>
              <w:top w:val="nil"/>
              <w:left w:val="single" w:sz="4" w:space="0" w:color="auto"/>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b/>
                <w:bCs/>
                <w:color w:val="000000"/>
                <w:sz w:val="14"/>
                <w:szCs w:val="14"/>
                <w:lang w:val="es-ES"/>
              </w:rPr>
            </w:pPr>
            <w:r w:rsidRPr="00481B90">
              <w:rPr>
                <w:rFonts w:ascii="Lucida Bright" w:hAnsi="Lucida Bright" w:cs="Calibri"/>
                <w:b/>
                <w:bCs/>
                <w:color w:val="000000"/>
                <w:sz w:val="14"/>
                <w:szCs w:val="14"/>
                <w:lang w:val="es-ES"/>
              </w:rPr>
              <w:t>Total</w:t>
            </w:r>
          </w:p>
        </w:tc>
        <w:tc>
          <w:tcPr>
            <w:tcW w:w="283" w:type="pct"/>
            <w:tcBorders>
              <w:top w:val="nil"/>
              <w:left w:val="nil"/>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283" w:type="pct"/>
            <w:tcBorders>
              <w:top w:val="nil"/>
              <w:left w:val="nil"/>
              <w:bottom w:val="single" w:sz="4" w:space="0" w:color="auto"/>
              <w:right w:val="nil"/>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316"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rPr>
                <w:rFonts w:ascii="Lucida Bright" w:hAnsi="Lucida Bright" w:cs="Calibri"/>
                <w:color w:val="000000"/>
                <w:sz w:val="14"/>
                <w:szCs w:val="14"/>
                <w:lang w:val="es-ES"/>
              </w:rPr>
            </w:pPr>
            <w:r w:rsidRPr="00481B90">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b/>
                <w:bCs/>
                <w:color w:val="000000"/>
                <w:sz w:val="14"/>
                <w:szCs w:val="14"/>
                <w:lang w:val="es-ES"/>
              </w:rPr>
            </w:pPr>
            <w:r w:rsidRPr="00481B90">
              <w:rPr>
                <w:rFonts w:ascii="Lucida Bright" w:hAnsi="Lucida Bright" w:cs="Calibri"/>
                <w:b/>
                <w:bCs/>
                <w:color w:val="000000"/>
                <w:sz w:val="14"/>
                <w:szCs w:val="14"/>
                <w:lang w:val="es-ES"/>
              </w:rPr>
              <w:t>295.917,79</w:t>
            </w:r>
          </w:p>
        </w:tc>
        <w:tc>
          <w:tcPr>
            <w:tcW w:w="840" w:type="pct"/>
            <w:tcBorders>
              <w:top w:val="nil"/>
              <w:left w:val="nil"/>
              <w:bottom w:val="single" w:sz="4" w:space="0" w:color="auto"/>
              <w:right w:val="single" w:sz="4" w:space="0" w:color="auto"/>
            </w:tcBorders>
            <w:shd w:val="clear" w:color="auto" w:fill="auto"/>
            <w:noWrap/>
            <w:vAlign w:val="bottom"/>
            <w:hideMark/>
          </w:tcPr>
          <w:p w:rsidR="00481B90" w:rsidRPr="00481B90" w:rsidRDefault="00481B90" w:rsidP="00481B90">
            <w:pPr>
              <w:jc w:val="right"/>
              <w:rPr>
                <w:rFonts w:ascii="Lucida Bright" w:hAnsi="Lucida Bright" w:cs="Calibri"/>
                <w:b/>
                <w:bCs/>
                <w:color w:val="000000"/>
                <w:sz w:val="14"/>
                <w:szCs w:val="14"/>
                <w:lang w:val="es-ES"/>
              </w:rPr>
            </w:pPr>
            <w:r w:rsidRPr="00481B90">
              <w:rPr>
                <w:rFonts w:ascii="Lucida Bright" w:hAnsi="Lucida Bright" w:cs="Calibri"/>
                <w:b/>
                <w:bCs/>
                <w:color w:val="000000"/>
                <w:sz w:val="14"/>
                <w:szCs w:val="14"/>
                <w:lang w:val="es-ES"/>
              </w:rPr>
              <w:t>366.112,01</w:t>
            </w:r>
          </w:p>
        </w:tc>
      </w:tr>
    </w:tbl>
    <w:p w:rsidR="006F550B" w:rsidRDefault="006F550B" w:rsidP="00245534">
      <w:pPr>
        <w:tabs>
          <w:tab w:val="right" w:pos="8364"/>
        </w:tabs>
        <w:jc w:val="both"/>
        <w:rPr>
          <w:b/>
          <w:bCs/>
          <w:sz w:val="24"/>
        </w:rPr>
      </w:pPr>
    </w:p>
    <w:p w:rsidR="00CA7882" w:rsidRDefault="00CA7882" w:rsidP="00B114F7">
      <w:pPr>
        <w:tabs>
          <w:tab w:val="right" w:pos="8364"/>
        </w:tabs>
        <w:jc w:val="both"/>
        <w:rPr>
          <w:b/>
          <w:bCs/>
          <w:sz w:val="24"/>
        </w:rPr>
      </w:pPr>
    </w:p>
    <w:p w:rsidR="00070E83" w:rsidRDefault="00070E83" w:rsidP="00B114F7">
      <w:pPr>
        <w:tabs>
          <w:tab w:val="right" w:pos="8364"/>
        </w:tabs>
        <w:jc w:val="both"/>
        <w:rPr>
          <w:b/>
          <w:bCs/>
          <w:sz w:val="24"/>
        </w:rPr>
      </w:pPr>
    </w:p>
    <w:p w:rsidR="00070E83" w:rsidRDefault="00070E83" w:rsidP="00B114F7">
      <w:pPr>
        <w:tabs>
          <w:tab w:val="right" w:pos="8364"/>
        </w:tabs>
        <w:jc w:val="both"/>
        <w:rPr>
          <w:b/>
          <w:bCs/>
          <w:sz w:val="24"/>
        </w:rPr>
      </w:pPr>
    </w:p>
    <w:p w:rsidR="00070E83" w:rsidRDefault="00070E83" w:rsidP="00B114F7">
      <w:pPr>
        <w:tabs>
          <w:tab w:val="right" w:pos="8364"/>
        </w:tabs>
        <w:jc w:val="both"/>
        <w:rPr>
          <w:b/>
          <w:bCs/>
          <w:sz w:val="24"/>
        </w:rPr>
      </w:pPr>
    </w:p>
    <w:p w:rsidR="00070E83" w:rsidRDefault="00070E83" w:rsidP="00B114F7">
      <w:pPr>
        <w:tabs>
          <w:tab w:val="right" w:pos="8364"/>
        </w:tabs>
        <w:jc w:val="both"/>
        <w:rPr>
          <w:b/>
          <w:bCs/>
          <w:sz w:val="24"/>
        </w:rPr>
      </w:pPr>
    </w:p>
    <w:p w:rsidR="00070E83" w:rsidRDefault="00070E83" w:rsidP="00B114F7">
      <w:pPr>
        <w:tabs>
          <w:tab w:val="right" w:pos="8364"/>
        </w:tabs>
        <w:jc w:val="both"/>
        <w:rPr>
          <w:b/>
          <w:bCs/>
          <w:sz w:val="24"/>
        </w:rPr>
      </w:pPr>
    </w:p>
    <w:p w:rsidR="00070E83" w:rsidRDefault="00070E83" w:rsidP="00B114F7">
      <w:pPr>
        <w:tabs>
          <w:tab w:val="right" w:pos="8364"/>
        </w:tabs>
        <w:jc w:val="both"/>
        <w:rPr>
          <w:b/>
          <w:bCs/>
          <w:sz w:val="24"/>
        </w:rPr>
      </w:pPr>
    </w:p>
    <w:p w:rsidR="00070E83" w:rsidRDefault="00070E83" w:rsidP="00B114F7">
      <w:pPr>
        <w:tabs>
          <w:tab w:val="right" w:pos="8364"/>
        </w:tabs>
        <w:jc w:val="both"/>
        <w:rPr>
          <w:b/>
          <w:bCs/>
          <w:sz w:val="24"/>
        </w:rPr>
      </w:pPr>
    </w:p>
    <w:p w:rsidR="00070E83" w:rsidRDefault="00070E83" w:rsidP="00B114F7">
      <w:pPr>
        <w:tabs>
          <w:tab w:val="right" w:pos="8364"/>
        </w:tabs>
        <w:jc w:val="both"/>
        <w:rPr>
          <w:b/>
          <w:bCs/>
          <w:sz w:val="24"/>
        </w:rPr>
      </w:pPr>
    </w:p>
    <w:p w:rsidR="00070E83" w:rsidRDefault="00070E83" w:rsidP="00B114F7">
      <w:pPr>
        <w:tabs>
          <w:tab w:val="right" w:pos="8364"/>
        </w:tabs>
        <w:jc w:val="both"/>
        <w:rPr>
          <w:b/>
          <w:bCs/>
          <w:sz w:val="24"/>
        </w:rPr>
      </w:pPr>
    </w:p>
    <w:p w:rsidR="00070E83" w:rsidRDefault="00070E83" w:rsidP="00B114F7">
      <w:pPr>
        <w:tabs>
          <w:tab w:val="right" w:pos="8364"/>
        </w:tabs>
        <w:jc w:val="both"/>
        <w:rPr>
          <w:b/>
          <w:bCs/>
          <w:sz w:val="24"/>
        </w:rPr>
      </w:pPr>
    </w:p>
    <w:p w:rsidR="00070E83" w:rsidRDefault="00070E83" w:rsidP="00B114F7">
      <w:pPr>
        <w:tabs>
          <w:tab w:val="right" w:pos="8364"/>
        </w:tabs>
        <w:jc w:val="both"/>
        <w:rPr>
          <w:b/>
          <w:bCs/>
          <w:sz w:val="24"/>
        </w:rPr>
      </w:pPr>
    </w:p>
    <w:p w:rsidR="00070E83" w:rsidRDefault="00070E83" w:rsidP="00B114F7">
      <w:pPr>
        <w:tabs>
          <w:tab w:val="right" w:pos="8364"/>
        </w:tabs>
        <w:jc w:val="both"/>
        <w:rPr>
          <w:b/>
          <w:bCs/>
          <w:sz w:val="24"/>
        </w:rPr>
      </w:pPr>
    </w:p>
    <w:p w:rsidR="00070E83" w:rsidRDefault="00070E83" w:rsidP="00B114F7">
      <w:pPr>
        <w:tabs>
          <w:tab w:val="right" w:pos="8364"/>
        </w:tabs>
        <w:jc w:val="both"/>
        <w:rPr>
          <w:b/>
          <w:bCs/>
          <w:sz w:val="24"/>
        </w:rPr>
      </w:pPr>
    </w:p>
    <w:p w:rsidR="00070E83" w:rsidRDefault="00070E83" w:rsidP="00B114F7">
      <w:pPr>
        <w:tabs>
          <w:tab w:val="right" w:pos="8364"/>
        </w:tabs>
        <w:jc w:val="both"/>
        <w:rPr>
          <w:b/>
          <w:bCs/>
          <w:sz w:val="24"/>
        </w:rPr>
      </w:pPr>
    </w:p>
    <w:p w:rsidR="00070E83" w:rsidRDefault="00070E83" w:rsidP="00B114F7">
      <w:pPr>
        <w:tabs>
          <w:tab w:val="right" w:pos="8364"/>
        </w:tabs>
        <w:jc w:val="both"/>
        <w:rPr>
          <w:b/>
          <w:bCs/>
          <w:sz w:val="24"/>
        </w:rPr>
      </w:pPr>
    </w:p>
    <w:p w:rsidR="00070E83" w:rsidRDefault="00070E83" w:rsidP="00B114F7">
      <w:pPr>
        <w:tabs>
          <w:tab w:val="right" w:pos="8364"/>
        </w:tabs>
        <w:jc w:val="both"/>
        <w:rPr>
          <w:b/>
          <w:bCs/>
          <w:sz w:val="24"/>
        </w:rPr>
      </w:pPr>
    </w:p>
    <w:p w:rsidR="00070E83" w:rsidRDefault="00070E83" w:rsidP="00B114F7">
      <w:pPr>
        <w:tabs>
          <w:tab w:val="right" w:pos="8364"/>
        </w:tabs>
        <w:jc w:val="both"/>
        <w:rPr>
          <w:b/>
          <w:bCs/>
          <w:sz w:val="24"/>
        </w:rPr>
      </w:pPr>
    </w:p>
    <w:p w:rsidR="00070E83" w:rsidRDefault="00070E83" w:rsidP="00B114F7">
      <w:pPr>
        <w:tabs>
          <w:tab w:val="right" w:pos="8364"/>
        </w:tabs>
        <w:jc w:val="both"/>
        <w:rPr>
          <w:b/>
          <w:bCs/>
          <w:sz w:val="24"/>
        </w:rPr>
      </w:pPr>
    </w:p>
    <w:p w:rsidR="00070E83" w:rsidRDefault="00070E83" w:rsidP="00B114F7">
      <w:pPr>
        <w:tabs>
          <w:tab w:val="right" w:pos="8364"/>
        </w:tabs>
        <w:jc w:val="both"/>
        <w:rPr>
          <w:b/>
          <w:bCs/>
          <w:sz w:val="24"/>
        </w:rPr>
      </w:pPr>
    </w:p>
    <w:p w:rsidR="00070E83" w:rsidRDefault="00070E83" w:rsidP="00B114F7">
      <w:pPr>
        <w:tabs>
          <w:tab w:val="right" w:pos="8364"/>
        </w:tabs>
        <w:jc w:val="both"/>
        <w:rPr>
          <w:b/>
          <w:bCs/>
          <w:sz w:val="24"/>
        </w:rPr>
      </w:pPr>
    </w:p>
    <w:p w:rsidR="00070E83" w:rsidRPr="00192EA6" w:rsidRDefault="00070E83" w:rsidP="00B114F7">
      <w:pPr>
        <w:tabs>
          <w:tab w:val="right" w:pos="8364"/>
        </w:tabs>
        <w:jc w:val="both"/>
        <w:rPr>
          <w:b/>
          <w:bCs/>
          <w:sz w:val="24"/>
        </w:rPr>
      </w:pPr>
    </w:p>
    <w:p w:rsidR="002C4355" w:rsidRPr="007B5A30" w:rsidRDefault="00253378" w:rsidP="002019D4">
      <w:pPr>
        <w:tabs>
          <w:tab w:val="right" w:pos="8364"/>
        </w:tabs>
        <w:ind w:left="567" w:hanging="567"/>
        <w:jc w:val="both"/>
        <w:rPr>
          <w:rFonts w:ascii="NewBaskerville" w:hAnsi="NewBaskerville"/>
          <w:b/>
          <w:bCs/>
        </w:rPr>
      </w:pPr>
      <w:r w:rsidRPr="007B5A30">
        <w:rPr>
          <w:rFonts w:ascii="NewBaskerville" w:hAnsi="NewBaskerville"/>
          <w:b/>
          <w:bCs/>
        </w:rPr>
        <w:lastRenderedPageBreak/>
        <w:t xml:space="preserve"> </w:t>
      </w:r>
      <w:r w:rsidR="003A2FD1" w:rsidRPr="007B5A30">
        <w:rPr>
          <w:rFonts w:ascii="NewBaskerville" w:hAnsi="NewBaskerville"/>
          <w:b/>
          <w:bCs/>
        </w:rPr>
        <w:t>b) Ingresos</w:t>
      </w:r>
      <w:r w:rsidR="000A2322" w:rsidRPr="007B5A30">
        <w:rPr>
          <w:rFonts w:ascii="NewBaskerville" w:hAnsi="NewBaskerville"/>
          <w:b/>
          <w:bCs/>
        </w:rPr>
        <w:t xml:space="preserve"> </w:t>
      </w:r>
    </w:p>
    <w:p w:rsidR="002C4355" w:rsidRDefault="002C4355" w:rsidP="009F0C37">
      <w:pPr>
        <w:tabs>
          <w:tab w:val="right" w:pos="8364"/>
        </w:tabs>
        <w:jc w:val="both"/>
        <w:rPr>
          <w:rFonts w:ascii="NewBaskerville" w:hAnsi="NewBaskerville"/>
          <w:bCs/>
        </w:rPr>
      </w:pPr>
    </w:p>
    <w:p w:rsidR="00A563E0" w:rsidRPr="007B5A30" w:rsidRDefault="00A563E0" w:rsidP="009F0C37">
      <w:pPr>
        <w:tabs>
          <w:tab w:val="right" w:pos="8364"/>
        </w:tabs>
        <w:jc w:val="both"/>
        <w:rPr>
          <w:rFonts w:ascii="NewBaskerville" w:hAnsi="NewBaskerville"/>
          <w:bCs/>
        </w:rPr>
      </w:pPr>
    </w:p>
    <w:p w:rsidR="002C4355" w:rsidRDefault="00192EA6" w:rsidP="002019D4">
      <w:pPr>
        <w:tabs>
          <w:tab w:val="right" w:pos="8364"/>
        </w:tabs>
        <w:ind w:left="567"/>
        <w:jc w:val="both"/>
        <w:rPr>
          <w:rFonts w:ascii="NewBaskerville" w:hAnsi="NewBaskerville"/>
          <w:bCs/>
        </w:rPr>
      </w:pPr>
      <w:r w:rsidRPr="007B5A30">
        <w:rPr>
          <w:rFonts w:ascii="NewBaskerville" w:hAnsi="NewBaskerville"/>
          <w:bCs/>
        </w:rPr>
        <w:t xml:space="preserve"> b.1) </w:t>
      </w:r>
      <w:r w:rsidR="002C4355" w:rsidRPr="007B5A30">
        <w:rPr>
          <w:rFonts w:ascii="NewBaskerville" w:hAnsi="NewBaskerville"/>
          <w:bCs/>
        </w:rPr>
        <w:t>Otros ingresos de negocio</w:t>
      </w:r>
      <w:r w:rsidR="006F550B">
        <w:rPr>
          <w:rFonts w:ascii="NewBaskerville" w:hAnsi="NewBaskerville"/>
          <w:bCs/>
        </w:rPr>
        <w:t>:</w:t>
      </w:r>
    </w:p>
    <w:p w:rsidR="00945658" w:rsidRDefault="00945658" w:rsidP="002019D4">
      <w:pPr>
        <w:tabs>
          <w:tab w:val="right" w:pos="8364"/>
        </w:tabs>
        <w:ind w:left="567"/>
        <w:jc w:val="both"/>
        <w:rPr>
          <w:rFonts w:ascii="NewBaskerville" w:hAnsi="NewBaskerville"/>
          <w:bCs/>
        </w:rPr>
      </w:pPr>
    </w:p>
    <w:p w:rsidR="00945658" w:rsidRPr="007B5A30" w:rsidRDefault="00945658" w:rsidP="002019D4">
      <w:pPr>
        <w:tabs>
          <w:tab w:val="right" w:pos="8364"/>
        </w:tabs>
        <w:ind w:left="567"/>
        <w:jc w:val="both"/>
        <w:rPr>
          <w:rFonts w:ascii="NewBaskerville" w:hAnsi="NewBaskerville"/>
          <w:bCs/>
        </w:rPr>
      </w:pPr>
    </w:p>
    <w:tbl>
      <w:tblPr>
        <w:tblW w:w="5000" w:type="pct"/>
        <w:tblCellMar>
          <w:left w:w="70" w:type="dxa"/>
          <w:right w:w="70" w:type="dxa"/>
        </w:tblCellMar>
        <w:tblLook w:val="04A0" w:firstRow="1" w:lastRow="0" w:firstColumn="1" w:lastColumn="0" w:noHBand="0" w:noVBand="1"/>
      </w:tblPr>
      <w:tblGrid>
        <w:gridCol w:w="4567"/>
        <w:gridCol w:w="529"/>
        <w:gridCol w:w="529"/>
        <w:gridCol w:w="591"/>
        <w:gridCol w:w="1569"/>
        <w:gridCol w:w="1568"/>
      </w:tblGrid>
      <w:tr w:rsidR="00945658" w:rsidRPr="00945658" w:rsidTr="00945658">
        <w:trPr>
          <w:trHeight w:val="300"/>
        </w:trPr>
        <w:tc>
          <w:tcPr>
            <w:tcW w:w="3323" w:type="pct"/>
            <w:gridSpan w:val="4"/>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945658" w:rsidRPr="00945658" w:rsidRDefault="00945658" w:rsidP="00945658">
            <w:pPr>
              <w:jc w:val="center"/>
              <w:rPr>
                <w:rFonts w:ascii="Lucida Bright" w:hAnsi="Lucida Bright" w:cs="Calibri"/>
                <w:b/>
                <w:bCs/>
                <w:color w:val="000000"/>
                <w:sz w:val="14"/>
                <w:szCs w:val="14"/>
                <w:lang w:val="es-ES"/>
              </w:rPr>
            </w:pPr>
            <w:r w:rsidRPr="00945658">
              <w:rPr>
                <w:rFonts w:ascii="Lucida Bright" w:hAnsi="Lucida Bright" w:cs="Calibri"/>
                <w:b/>
                <w:bCs/>
                <w:color w:val="000000"/>
                <w:sz w:val="14"/>
                <w:szCs w:val="14"/>
                <w:lang w:val="es-ES"/>
              </w:rPr>
              <w:t>Concepto</w:t>
            </w:r>
          </w:p>
        </w:tc>
        <w:tc>
          <w:tcPr>
            <w:tcW w:w="839" w:type="pct"/>
            <w:tcBorders>
              <w:top w:val="single" w:sz="4" w:space="0" w:color="auto"/>
              <w:left w:val="nil"/>
              <w:bottom w:val="single" w:sz="4" w:space="0" w:color="auto"/>
              <w:right w:val="single" w:sz="4" w:space="0" w:color="auto"/>
            </w:tcBorders>
            <w:shd w:val="clear" w:color="000000" w:fill="CCFFCC"/>
            <w:noWrap/>
            <w:vAlign w:val="bottom"/>
            <w:hideMark/>
          </w:tcPr>
          <w:p w:rsidR="00945658" w:rsidRPr="00945658" w:rsidRDefault="00945658" w:rsidP="00945658">
            <w:pPr>
              <w:jc w:val="center"/>
              <w:rPr>
                <w:rFonts w:ascii="Lucida Bright" w:hAnsi="Lucida Bright" w:cs="Calibri"/>
                <w:b/>
                <w:bCs/>
                <w:color w:val="000000"/>
                <w:sz w:val="14"/>
                <w:szCs w:val="14"/>
                <w:lang w:val="es-ES"/>
              </w:rPr>
            </w:pPr>
            <w:r w:rsidRPr="00945658">
              <w:rPr>
                <w:rFonts w:ascii="Lucida Bright" w:hAnsi="Lucida Bright" w:cs="Calibri"/>
                <w:b/>
                <w:bCs/>
                <w:color w:val="000000"/>
                <w:sz w:val="14"/>
                <w:szCs w:val="14"/>
                <w:lang w:val="es-ES"/>
              </w:rPr>
              <w:t>2024</w:t>
            </w:r>
          </w:p>
        </w:tc>
        <w:tc>
          <w:tcPr>
            <w:tcW w:w="839" w:type="pct"/>
            <w:tcBorders>
              <w:top w:val="single" w:sz="4" w:space="0" w:color="auto"/>
              <w:left w:val="nil"/>
              <w:bottom w:val="single" w:sz="4" w:space="0" w:color="auto"/>
              <w:right w:val="single" w:sz="4" w:space="0" w:color="auto"/>
            </w:tcBorders>
            <w:shd w:val="clear" w:color="000000" w:fill="CCFFCC"/>
            <w:noWrap/>
            <w:vAlign w:val="bottom"/>
            <w:hideMark/>
          </w:tcPr>
          <w:p w:rsidR="00945658" w:rsidRPr="00945658" w:rsidRDefault="00945658" w:rsidP="00945658">
            <w:pPr>
              <w:jc w:val="center"/>
              <w:rPr>
                <w:rFonts w:ascii="Lucida Bright" w:hAnsi="Lucida Bright" w:cs="Calibri"/>
                <w:b/>
                <w:bCs/>
                <w:color w:val="000000"/>
                <w:sz w:val="14"/>
                <w:szCs w:val="14"/>
                <w:lang w:val="es-ES"/>
              </w:rPr>
            </w:pPr>
            <w:r w:rsidRPr="00945658">
              <w:rPr>
                <w:rFonts w:ascii="Lucida Bright" w:hAnsi="Lucida Bright" w:cs="Calibri"/>
                <w:b/>
                <w:bCs/>
                <w:color w:val="000000"/>
                <w:sz w:val="14"/>
                <w:szCs w:val="14"/>
                <w:lang w:val="es-ES"/>
              </w:rPr>
              <w:t>2023</w:t>
            </w:r>
          </w:p>
        </w:tc>
      </w:tr>
      <w:tr w:rsidR="00945658" w:rsidRPr="00945658" w:rsidTr="00945658">
        <w:trPr>
          <w:trHeight w:val="300"/>
        </w:trPr>
        <w:tc>
          <w:tcPr>
            <w:tcW w:w="2724" w:type="pct"/>
            <w:gridSpan w:val="2"/>
            <w:tcBorders>
              <w:top w:val="single" w:sz="4" w:space="0" w:color="auto"/>
              <w:left w:val="single" w:sz="4" w:space="0" w:color="auto"/>
              <w:bottom w:val="single" w:sz="4" w:space="0" w:color="auto"/>
              <w:right w:val="nil"/>
            </w:tcBorders>
            <w:shd w:val="clear" w:color="auto" w:fill="auto"/>
            <w:noWrap/>
            <w:vAlign w:val="bottom"/>
            <w:hideMark/>
          </w:tcPr>
          <w:p w:rsidR="00945658" w:rsidRPr="00945658" w:rsidRDefault="00945658" w:rsidP="00945658">
            <w:pPr>
              <w:rPr>
                <w:rFonts w:ascii="Lucida Bright" w:hAnsi="Lucida Bright" w:cs="Calibri"/>
                <w:color w:val="000000"/>
                <w:sz w:val="14"/>
                <w:szCs w:val="14"/>
                <w:lang w:val="es-ES"/>
              </w:rPr>
            </w:pPr>
            <w:r w:rsidRPr="00945658">
              <w:rPr>
                <w:rFonts w:ascii="Lucida Bright" w:hAnsi="Lucida Bright" w:cs="Calibri"/>
                <w:color w:val="000000"/>
                <w:sz w:val="14"/>
                <w:szCs w:val="14"/>
                <w:lang w:val="es-ES"/>
              </w:rPr>
              <w:t>Importes adicionales a las tasas</w:t>
            </w:r>
          </w:p>
        </w:tc>
        <w:tc>
          <w:tcPr>
            <w:tcW w:w="283" w:type="pct"/>
            <w:tcBorders>
              <w:top w:val="nil"/>
              <w:left w:val="nil"/>
              <w:bottom w:val="single" w:sz="4" w:space="0" w:color="auto"/>
              <w:right w:val="nil"/>
            </w:tcBorders>
            <w:shd w:val="clear" w:color="auto" w:fill="auto"/>
            <w:noWrap/>
            <w:vAlign w:val="bottom"/>
            <w:hideMark/>
          </w:tcPr>
          <w:p w:rsidR="00945658" w:rsidRPr="00945658" w:rsidRDefault="00945658" w:rsidP="00945658">
            <w:pPr>
              <w:rPr>
                <w:rFonts w:ascii="Lucida Bright" w:hAnsi="Lucida Bright" w:cs="Calibri"/>
                <w:color w:val="000000"/>
                <w:sz w:val="14"/>
                <w:szCs w:val="14"/>
                <w:lang w:val="es-ES"/>
              </w:rPr>
            </w:pPr>
            <w:r w:rsidRPr="00945658">
              <w:rPr>
                <w:rFonts w:ascii="Lucida Bright" w:hAnsi="Lucida Bright" w:cs="Calibri"/>
                <w:color w:val="000000"/>
                <w:sz w:val="14"/>
                <w:szCs w:val="14"/>
                <w:lang w:val="es-ES"/>
              </w:rPr>
              <w:t> </w:t>
            </w:r>
          </w:p>
        </w:tc>
        <w:tc>
          <w:tcPr>
            <w:tcW w:w="316" w:type="pct"/>
            <w:tcBorders>
              <w:top w:val="nil"/>
              <w:left w:val="nil"/>
              <w:bottom w:val="single" w:sz="4" w:space="0" w:color="auto"/>
              <w:right w:val="single" w:sz="4" w:space="0" w:color="auto"/>
            </w:tcBorders>
            <w:shd w:val="clear" w:color="auto" w:fill="auto"/>
            <w:noWrap/>
            <w:vAlign w:val="bottom"/>
            <w:hideMark/>
          </w:tcPr>
          <w:p w:rsidR="00945658" w:rsidRPr="00945658" w:rsidRDefault="00945658" w:rsidP="00945658">
            <w:pPr>
              <w:rPr>
                <w:rFonts w:ascii="Lucida Bright" w:hAnsi="Lucida Bright" w:cs="Calibri"/>
                <w:color w:val="000000"/>
                <w:sz w:val="14"/>
                <w:szCs w:val="14"/>
                <w:lang w:val="es-ES"/>
              </w:rPr>
            </w:pPr>
            <w:r w:rsidRPr="00945658">
              <w:rPr>
                <w:rFonts w:ascii="Lucida Bright" w:hAnsi="Lucida Bright" w:cs="Calibri"/>
                <w:color w:val="000000"/>
                <w:sz w:val="14"/>
                <w:szCs w:val="14"/>
                <w:lang w:val="es-ES"/>
              </w:rPr>
              <w:t> </w:t>
            </w:r>
          </w:p>
        </w:tc>
        <w:tc>
          <w:tcPr>
            <w:tcW w:w="839" w:type="pct"/>
            <w:tcBorders>
              <w:top w:val="nil"/>
              <w:left w:val="single" w:sz="4" w:space="0" w:color="auto"/>
              <w:bottom w:val="single" w:sz="4" w:space="0" w:color="auto"/>
              <w:right w:val="single" w:sz="4" w:space="0" w:color="auto"/>
            </w:tcBorders>
            <w:shd w:val="clear" w:color="auto" w:fill="auto"/>
            <w:noWrap/>
            <w:vAlign w:val="bottom"/>
            <w:hideMark/>
          </w:tcPr>
          <w:p w:rsidR="00945658" w:rsidRPr="00945658" w:rsidRDefault="00945658" w:rsidP="00945658">
            <w:pPr>
              <w:jc w:val="right"/>
              <w:rPr>
                <w:rFonts w:ascii="Lucida Bright" w:hAnsi="Lucida Bright" w:cs="Calibri"/>
                <w:color w:val="000000"/>
                <w:sz w:val="14"/>
                <w:szCs w:val="14"/>
                <w:lang w:val="es-ES"/>
              </w:rPr>
            </w:pPr>
            <w:r w:rsidRPr="00945658">
              <w:rPr>
                <w:rFonts w:ascii="Lucida Bright" w:hAnsi="Lucida Bright" w:cs="Calibri"/>
                <w:color w:val="000000"/>
                <w:sz w:val="14"/>
                <w:szCs w:val="14"/>
                <w:lang w:val="es-ES"/>
              </w:rPr>
              <w:t>29.424.114,21</w:t>
            </w:r>
          </w:p>
        </w:tc>
        <w:tc>
          <w:tcPr>
            <w:tcW w:w="839" w:type="pct"/>
            <w:tcBorders>
              <w:top w:val="nil"/>
              <w:left w:val="nil"/>
              <w:bottom w:val="single" w:sz="4" w:space="0" w:color="auto"/>
              <w:right w:val="single" w:sz="4" w:space="0" w:color="auto"/>
            </w:tcBorders>
            <w:shd w:val="clear" w:color="auto" w:fill="auto"/>
            <w:noWrap/>
            <w:vAlign w:val="bottom"/>
            <w:hideMark/>
          </w:tcPr>
          <w:p w:rsidR="00945658" w:rsidRPr="00945658" w:rsidRDefault="00945658" w:rsidP="00945658">
            <w:pPr>
              <w:jc w:val="right"/>
              <w:rPr>
                <w:rFonts w:ascii="Lucida Bright" w:hAnsi="Lucida Bright" w:cs="Calibri"/>
                <w:color w:val="000000"/>
                <w:sz w:val="14"/>
                <w:szCs w:val="14"/>
                <w:lang w:val="es-ES"/>
              </w:rPr>
            </w:pPr>
            <w:r w:rsidRPr="00945658">
              <w:rPr>
                <w:rFonts w:ascii="Lucida Bright" w:hAnsi="Lucida Bright" w:cs="Calibri"/>
                <w:color w:val="000000"/>
                <w:sz w:val="14"/>
                <w:szCs w:val="14"/>
                <w:lang w:val="es-ES"/>
              </w:rPr>
              <w:t>31.241.745,02</w:t>
            </w:r>
          </w:p>
        </w:tc>
      </w:tr>
      <w:tr w:rsidR="00945658" w:rsidRPr="00945658" w:rsidTr="00945658">
        <w:trPr>
          <w:trHeight w:val="300"/>
        </w:trPr>
        <w:tc>
          <w:tcPr>
            <w:tcW w:w="2724" w:type="pct"/>
            <w:gridSpan w:val="2"/>
            <w:tcBorders>
              <w:top w:val="single" w:sz="4" w:space="0" w:color="auto"/>
              <w:left w:val="single" w:sz="4" w:space="0" w:color="auto"/>
              <w:bottom w:val="single" w:sz="4" w:space="0" w:color="auto"/>
              <w:right w:val="nil"/>
            </w:tcBorders>
            <w:shd w:val="clear" w:color="auto" w:fill="auto"/>
            <w:noWrap/>
            <w:vAlign w:val="bottom"/>
            <w:hideMark/>
          </w:tcPr>
          <w:p w:rsidR="00945658" w:rsidRPr="00945658" w:rsidRDefault="00945658" w:rsidP="00945658">
            <w:pPr>
              <w:rPr>
                <w:rFonts w:ascii="Lucida Bright" w:hAnsi="Lucida Bright" w:cs="Calibri"/>
                <w:color w:val="000000"/>
                <w:sz w:val="14"/>
                <w:szCs w:val="14"/>
                <w:lang w:val="es-ES"/>
              </w:rPr>
            </w:pPr>
            <w:r w:rsidRPr="00945658">
              <w:rPr>
                <w:rFonts w:ascii="Lucida Bright" w:hAnsi="Lucida Bright" w:cs="Calibri"/>
                <w:color w:val="000000"/>
                <w:sz w:val="14"/>
                <w:szCs w:val="14"/>
                <w:lang w:val="es-ES"/>
              </w:rPr>
              <w:t>Tarifas por servicios comerciales</w:t>
            </w:r>
          </w:p>
        </w:tc>
        <w:tc>
          <w:tcPr>
            <w:tcW w:w="283" w:type="pct"/>
            <w:tcBorders>
              <w:top w:val="nil"/>
              <w:left w:val="nil"/>
              <w:bottom w:val="single" w:sz="4" w:space="0" w:color="auto"/>
              <w:right w:val="nil"/>
            </w:tcBorders>
            <w:shd w:val="clear" w:color="auto" w:fill="auto"/>
            <w:noWrap/>
            <w:vAlign w:val="bottom"/>
            <w:hideMark/>
          </w:tcPr>
          <w:p w:rsidR="00945658" w:rsidRPr="00945658" w:rsidRDefault="00945658" w:rsidP="00945658">
            <w:pPr>
              <w:rPr>
                <w:rFonts w:ascii="Lucida Bright" w:hAnsi="Lucida Bright" w:cs="Calibri"/>
                <w:color w:val="000000"/>
                <w:sz w:val="14"/>
                <w:szCs w:val="14"/>
                <w:lang w:val="es-ES"/>
              </w:rPr>
            </w:pPr>
            <w:r w:rsidRPr="00945658">
              <w:rPr>
                <w:rFonts w:ascii="Lucida Bright" w:hAnsi="Lucida Bright" w:cs="Calibri"/>
                <w:color w:val="000000"/>
                <w:sz w:val="14"/>
                <w:szCs w:val="14"/>
                <w:lang w:val="es-ES"/>
              </w:rPr>
              <w:t> </w:t>
            </w:r>
          </w:p>
        </w:tc>
        <w:tc>
          <w:tcPr>
            <w:tcW w:w="316" w:type="pct"/>
            <w:tcBorders>
              <w:top w:val="nil"/>
              <w:left w:val="nil"/>
              <w:bottom w:val="single" w:sz="4" w:space="0" w:color="auto"/>
              <w:right w:val="single" w:sz="4" w:space="0" w:color="auto"/>
            </w:tcBorders>
            <w:shd w:val="clear" w:color="auto" w:fill="auto"/>
            <w:noWrap/>
            <w:vAlign w:val="bottom"/>
            <w:hideMark/>
          </w:tcPr>
          <w:p w:rsidR="00945658" w:rsidRPr="00945658" w:rsidRDefault="00945658" w:rsidP="00945658">
            <w:pPr>
              <w:rPr>
                <w:rFonts w:ascii="Lucida Bright" w:hAnsi="Lucida Bright" w:cs="Calibri"/>
                <w:color w:val="000000"/>
                <w:sz w:val="14"/>
                <w:szCs w:val="14"/>
                <w:lang w:val="es-ES"/>
              </w:rPr>
            </w:pPr>
            <w:r w:rsidRPr="00945658">
              <w:rPr>
                <w:rFonts w:ascii="Lucida Bright" w:hAnsi="Lucida Bright" w:cs="Calibri"/>
                <w:color w:val="000000"/>
                <w:sz w:val="14"/>
                <w:szCs w:val="14"/>
                <w:lang w:val="es-ES"/>
              </w:rPr>
              <w:t> </w:t>
            </w:r>
          </w:p>
        </w:tc>
        <w:tc>
          <w:tcPr>
            <w:tcW w:w="839" w:type="pct"/>
            <w:tcBorders>
              <w:top w:val="nil"/>
              <w:left w:val="single" w:sz="4" w:space="0" w:color="auto"/>
              <w:bottom w:val="single" w:sz="4" w:space="0" w:color="auto"/>
              <w:right w:val="single" w:sz="4" w:space="0" w:color="auto"/>
            </w:tcBorders>
            <w:shd w:val="clear" w:color="auto" w:fill="auto"/>
            <w:noWrap/>
            <w:vAlign w:val="bottom"/>
            <w:hideMark/>
          </w:tcPr>
          <w:p w:rsidR="00945658" w:rsidRPr="00945658" w:rsidRDefault="00945658" w:rsidP="00945658">
            <w:pPr>
              <w:jc w:val="right"/>
              <w:rPr>
                <w:rFonts w:ascii="Lucida Bright" w:hAnsi="Lucida Bright" w:cs="Calibri"/>
                <w:color w:val="000000"/>
                <w:sz w:val="14"/>
                <w:szCs w:val="14"/>
                <w:lang w:val="es-ES"/>
              </w:rPr>
            </w:pPr>
            <w:r w:rsidRPr="00945658">
              <w:rPr>
                <w:rFonts w:ascii="Lucida Bright" w:hAnsi="Lucida Bright" w:cs="Calibri"/>
                <w:color w:val="000000"/>
                <w:sz w:val="14"/>
                <w:szCs w:val="14"/>
                <w:lang w:val="es-ES"/>
              </w:rPr>
              <w:t>8.764.010,00</w:t>
            </w:r>
          </w:p>
        </w:tc>
        <w:tc>
          <w:tcPr>
            <w:tcW w:w="839" w:type="pct"/>
            <w:tcBorders>
              <w:top w:val="nil"/>
              <w:left w:val="nil"/>
              <w:bottom w:val="single" w:sz="4" w:space="0" w:color="auto"/>
              <w:right w:val="single" w:sz="4" w:space="0" w:color="auto"/>
            </w:tcBorders>
            <w:shd w:val="clear" w:color="auto" w:fill="auto"/>
            <w:noWrap/>
            <w:vAlign w:val="bottom"/>
            <w:hideMark/>
          </w:tcPr>
          <w:p w:rsidR="00945658" w:rsidRPr="00945658" w:rsidRDefault="00945658" w:rsidP="00945658">
            <w:pPr>
              <w:jc w:val="right"/>
              <w:rPr>
                <w:rFonts w:ascii="Lucida Bright" w:hAnsi="Lucida Bright" w:cs="Calibri"/>
                <w:color w:val="000000"/>
                <w:sz w:val="14"/>
                <w:szCs w:val="14"/>
                <w:lang w:val="es-ES"/>
              </w:rPr>
            </w:pPr>
            <w:r w:rsidRPr="00945658">
              <w:rPr>
                <w:rFonts w:ascii="Lucida Bright" w:hAnsi="Lucida Bright" w:cs="Calibri"/>
                <w:color w:val="000000"/>
                <w:sz w:val="14"/>
                <w:szCs w:val="14"/>
                <w:lang w:val="es-ES"/>
              </w:rPr>
              <w:t>8.349.830,27</w:t>
            </w:r>
          </w:p>
        </w:tc>
      </w:tr>
      <w:tr w:rsidR="00945658" w:rsidRPr="00945658" w:rsidTr="00945658">
        <w:trPr>
          <w:trHeight w:val="300"/>
        </w:trPr>
        <w:tc>
          <w:tcPr>
            <w:tcW w:w="3323"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45658" w:rsidRPr="00945658" w:rsidRDefault="00945658" w:rsidP="00945658">
            <w:pPr>
              <w:rPr>
                <w:rFonts w:ascii="Lucida Bright" w:hAnsi="Lucida Bright" w:cs="Calibri"/>
                <w:color w:val="000000"/>
                <w:sz w:val="14"/>
                <w:szCs w:val="14"/>
                <w:lang w:val="es-ES"/>
              </w:rPr>
            </w:pPr>
            <w:r w:rsidRPr="00945658">
              <w:rPr>
                <w:rFonts w:ascii="Lucida Bright" w:hAnsi="Lucida Bright" w:cs="Calibri"/>
                <w:color w:val="000000"/>
                <w:sz w:val="14"/>
                <w:szCs w:val="14"/>
                <w:lang w:val="es-ES"/>
              </w:rPr>
              <w:t xml:space="preserve">Tarifas por el servicio de recepción de desechos </w:t>
            </w:r>
            <w:r w:rsidR="0031200E" w:rsidRPr="00945658">
              <w:rPr>
                <w:rFonts w:ascii="Lucida Bright" w:hAnsi="Lucida Bright" w:cs="Calibri"/>
                <w:color w:val="000000"/>
                <w:sz w:val="14"/>
                <w:szCs w:val="14"/>
                <w:lang w:val="es-ES"/>
              </w:rPr>
              <w:t>generados</w:t>
            </w:r>
            <w:r w:rsidRPr="00945658">
              <w:rPr>
                <w:rFonts w:ascii="Lucida Bright" w:hAnsi="Lucida Bright" w:cs="Calibri"/>
                <w:color w:val="000000"/>
                <w:sz w:val="14"/>
                <w:szCs w:val="14"/>
                <w:lang w:val="es-ES"/>
              </w:rPr>
              <w:t xml:space="preserve"> por buques</w:t>
            </w:r>
          </w:p>
        </w:tc>
        <w:tc>
          <w:tcPr>
            <w:tcW w:w="839" w:type="pct"/>
            <w:tcBorders>
              <w:top w:val="nil"/>
              <w:left w:val="single" w:sz="4" w:space="0" w:color="auto"/>
              <w:bottom w:val="single" w:sz="4" w:space="0" w:color="auto"/>
              <w:right w:val="single" w:sz="4" w:space="0" w:color="auto"/>
            </w:tcBorders>
            <w:shd w:val="clear" w:color="auto" w:fill="auto"/>
            <w:noWrap/>
            <w:vAlign w:val="bottom"/>
            <w:hideMark/>
          </w:tcPr>
          <w:p w:rsidR="00945658" w:rsidRPr="00945658" w:rsidRDefault="00945658" w:rsidP="00945658">
            <w:pPr>
              <w:jc w:val="right"/>
              <w:rPr>
                <w:rFonts w:ascii="Lucida Bright" w:hAnsi="Lucida Bright" w:cs="Calibri"/>
                <w:color w:val="000000"/>
                <w:sz w:val="14"/>
                <w:szCs w:val="14"/>
                <w:lang w:val="es-ES"/>
              </w:rPr>
            </w:pPr>
            <w:r w:rsidRPr="00945658">
              <w:rPr>
                <w:rFonts w:ascii="Lucida Bright" w:hAnsi="Lucida Bright" w:cs="Calibri"/>
                <w:color w:val="000000"/>
                <w:sz w:val="14"/>
                <w:szCs w:val="14"/>
                <w:lang w:val="es-ES"/>
              </w:rPr>
              <w:t>3.895.983,32</w:t>
            </w:r>
          </w:p>
        </w:tc>
        <w:tc>
          <w:tcPr>
            <w:tcW w:w="839" w:type="pct"/>
            <w:tcBorders>
              <w:top w:val="nil"/>
              <w:left w:val="nil"/>
              <w:bottom w:val="single" w:sz="4" w:space="0" w:color="auto"/>
              <w:right w:val="single" w:sz="4" w:space="0" w:color="auto"/>
            </w:tcBorders>
            <w:shd w:val="clear" w:color="auto" w:fill="auto"/>
            <w:noWrap/>
            <w:vAlign w:val="bottom"/>
            <w:hideMark/>
          </w:tcPr>
          <w:p w:rsidR="00945658" w:rsidRPr="00945658" w:rsidRDefault="00945658" w:rsidP="00945658">
            <w:pPr>
              <w:jc w:val="right"/>
              <w:rPr>
                <w:rFonts w:ascii="Lucida Bright" w:hAnsi="Lucida Bright" w:cs="Calibri"/>
                <w:color w:val="000000"/>
                <w:sz w:val="14"/>
                <w:szCs w:val="14"/>
                <w:lang w:val="es-ES"/>
              </w:rPr>
            </w:pPr>
            <w:r w:rsidRPr="00945658">
              <w:rPr>
                <w:rFonts w:ascii="Lucida Bright" w:hAnsi="Lucida Bright" w:cs="Calibri"/>
                <w:color w:val="000000"/>
                <w:sz w:val="14"/>
                <w:szCs w:val="14"/>
                <w:lang w:val="es-ES"/>
              </w:rPr>
              <w:t>4.296.813,60</w:t>
            </w:r>
          </w:p>
        </w:tc>
      </w:tr>
      <w:tr w:rsidR="00945658" w:rsidRPr="00945658" w:rsidTr="00945658">
        <w:trPr>
          <w:trHeight w:val="300"/>
        </w:trPr>
        <w:tc>
          <w:tcPr>
            <w:tcW w:w="2441" w:type="pct"/>
            <w:tcBorders>
              <w:top w:val="nil"/>
              <w:left w:val="single" w:sz="4" w:space="0" w:color="auto"/>
              <w:bottom w:val="single" w:sz="4" w:space="0" w:color="auto"/>
              <w:right w:val="nil"/>
            </w:tcBorders>
            <w:shd w:val="clear" w:color="auto" w:fill="auto"/>
            <w:noWrap/>
            <w:vAlign w:val="bottom"/>
            <w:hideMark/>
          </w:tcPr>
          <w:p w:rsidR="00945658" w:rsidRPr="00945658" w:rsidRDefault="00945658" w:rsidP="00945658">
            <w:pPr>
              <w:rPr>
                <w:rFonts w:ascii="Lucida Bright" w:hAnsi="Lucida Bright" w:cs="Calibri"/>
                <w:b/>
                <w:bCs/>
                <w:color w:val="000000"/>
                <w:sz w:val="14"/>
                <w:szCs w:val="14"/>
                <w:lang w:val="es-ES"/>
              </w:rPr>
            </w:pPr>
            <w:r w:rsidRPr="00945658">
              <w:rPr>
                <w:rFonts w:ascii="Lucida Bright" w:hAnsi="Lucida Bright" w:cs="Calibri"/>
                <w:b/>
                <w:bCs/>
                <w:color w:val="000000"/>
                <w:sz w:val="14"/>
                <w:szCs w:val="14"/>
                <w:lang w:val="es-ES"/>
              </w:rPr>
              <w:t>Total</w:t>
            </w:r>
          </w:p>
        </w:tc>
        <w:tc>
          <w:tcPr>
            <w:tcW w:w="283" w:type="pct"/>
            <w:tcBorders>
              <w:top w:val="nil"/>
              <w:left w:val="nil"/>
              <w:bottom w:val="single" w:sz="4" w:space="0" w:color="auto"/>
              <w:right w:val="nil"/>
            </w:tcBorders>
            <w:shd w:val="clear" w:color="auto" w:fill="auto"/>
            <w:noWrap/>
            <w:vAlign w:val="bottom"/>
            <w:hideMark/>
          </w:tcPr>
          <w:p w:rsidR="00945658" w:rsidRPr="00945658" w:rsidRDefault="00945658" w:rsidP="00945658">
            <w:pPr>
              <w:rPr>
                <w:rFonts w:ascii="Lucida Bright" w:hAnsi="Lucida Bright" w:cs="Calibri"/>
                <w:color w:val="000000"/>
                <w:sz w:val="14"/>
                <w:szCs w:val="14"/>
                <w:lang w:val="es-ES"/>
              </w:rPr>
            </w:pPr>
            <w:r w:rsidRPr="00945658">
              <w:rPr>
                <w:rFonts w:ascii="Lucida Bright" w:hAnsi="Lucida Bright" w:cs="Calibri"/>
                <w:color w:val="000000"/>
                <w:sz w:val="14"/>
                <w:szCs w:val="14"/>
                <w:lang w:val="es-ES"/>
              </w:rPr>
              <w:t> </w:t>
            </w:r>
          </w:p>
        </w:tc>
        <w:tc>
          <w:tcPr>
            <w:tcW w:w="283" w:type="pct"/>
            <w:tcBorders>
              <w:top w:val="nil"/>
              <w:left w:val="nil"/>
              <w:bottom w:val="single" w:sz="4" w:space="0" w:color="auto"/>
              <w:right w:val="nil"/>
            </w:tcBorders>
            <w:shd w:val="clear" w:color="auto" w:fill="auto"/>
            <w:noWrap/>
            <w:vAlign w:val="bottom"/>
            <w:hideMark/>
          </w:tcPr>
          <w:p w:rsidR="00945658" w:rsidRPr="00945658" w:rsidRDefault="00945658" w:rsidP="00945658">
            <w:pPr>
              <w:rPr>
                <w:rFonts w:ascii="Lucida Bright" w:hAnsi="Lucida Bright" w:cs="Calibri"/>
                <w:color w:val="000000"/>
                <w:sz w:val="14"/>
                <w:szCs w:val="14"/>
                <w:lang w:val="es-ES"/>
              </w:rPr>
            </w:pPr>
            <w:r w:rsidRPr="00945658">
              <w:rPr>
                <w:rFonts w:ascii="Lucida Bright" w:hAnsi="Lucida Bright" w:cs="Calibri"/>
                <w:color w:val="000000"/>
                <w:sz w:val="14"/>
                <w:szCs w:val="14"/>
                <w:lang w:val="es-ES"/>
              </w:rPr>
              <w:t> </w:t>
            </w:r>
          </w:p>
        </w:tc>
        <w:tc>
          <w:tcPr>
            <w:tcW w:w="316" w:type="pct"/>
            <w:tcBorders>
              <w:top w:val="nil"/>
              <w:left w:val="nil"/>
              <w:bottom w:val="single" w:sz="4" w:space="0" w:color="auto"/>
              <w:right w:val="single" w:sz="4" w:space="0" w:color="auto"/>
            </w:tcBorders>
            <w:shd w:val="clear" w:color="auto" w:fill="auto"/>
            <w:noWrap/>
            <w:vAlign w:val="bottom"/>
            <w:hideMark/>
          </w:tcPr>
          <w:p w:rsidR="00945658" w:rsidRPr="00945658" w:rsidRDefault="00945658" w:rsidP="00945658">
            <w:pPr>
              <w:rPr>
                <w:rFonts w:ascii="Lucida Bright" w:hAnsi="Lucida Bright" w:cs="Calibri"/>
                <w:color w:val="000000"/>
                <w:sz w:val="14"/>
                <w:szCs w:val="14"/>
                <w:lang w:val="es-ES"/>
              </w:rPr>
            </w:pPr>
            <w:r w:rsidRPr="00945658">
              <w:rPr>
                <w:rFonts w:ascii="Lucida Bright" w:hAnsi="Lucida Bright" w:cs="Calibri"/>
                <w:color w:val="000000"/>
                <w:sz w:val="14"/>
                <w:szCs w:val="14"/>
                <w:lang w:val="es-ES"/>
              </w:rPr>
              <w:t> </w:t>
            </w:r>
          </w:p>
        </w:tc>
        <w:tc>
          <w:tcPr>
            <w:tcW w:w="839" w:type="pct"/>
            <w:tcBorders>
              <w:top w:val="nil"/>
              <w:left w:val="single" w:sz="4" w:space="0" w:color="auto"/>
              <w:bottom w:val="single" w:sz="4" w:space="0" w:color="auto"/>
              <w:right w:val="single" w:sz="4" w:space="0" w:color="auto"/>
            </w:tcBorders>
            <w:shd w:val="clear" w:color="auto" w:fill="auto"/>
            <w:noWrap/>
            <w:vAlign w:val="bottom"/>
            <w:hideMark/>
          </w:tcPr>
          <w:p w:rsidR="00945658" w:rsidRPr="00945658" w:rsidRDefault="00945658" w:rsidP="00945658">
            <w:pPr>
              <w:jc w:val="right"/>
              <w:rPr>
                <w:rFonts w:ascii="Lucida Bright" w:hAnsi="Lucida Bright" w:cs="Calibri"/>
                <w:b/>
                <w:bCs/>
                <w:color w:val="000000"/>
                <w:sz w:val="14"/>
                <w:szCs w:val="14"/>
                <w:lang w:val="es-ES"/>
              </w:rPr>
            </w:pPr>
            <w:r w:rsidRPr="00945658">
              <w:rPr>
                <w:rFonts w:ascii="Lucida Bright" w:hAnsi="Lucida Bright" w:cs="Calibri"/>
                <w:b/>
                <w:bCs/>
                <w:color w:val="000000"/>
                <w:sz w:val="14"/>
                <w:szCs w:val="14"/>
                <w:lang w:val="es-ES"/>
              </w:rPr>
              <w:t>42.084.107,53</w:t>
            </w:r>
          </w:p>
        </w:tc>
        <w:tc>
          <w:tcPr>
            <w:tcW w:w="839" w:type="pct"/>
            <w:tcBorders>
              <w:top w:val="nil"/>
              <w:left w:val="nil"/>
              <w:bottom w:val="single" w:sz="4" w:space="0" w:color="auto"/>
              <w:right w:val="single" w:sz="4" w:space="0" w:color="auto"/>
            </w:tcBorders>
            <w:shd w:val="clear" w:color="auto" w:fill="auto"/>
            <w:noWrap/>
            <w:vAlign w:val="bottom"/>
            <w:hideMark/>
          </w:tcPr>
          <w:p w:rsidR="00945658" w:rsidRPr="00945658" w:rsidRDefault="00945658" w:rsidP="00945658">
            <w:pPr>
              <w:jc w:val="right"/>
              <w:rPr>
                <w:rFonts w:ascii="Lucida Bright" w:hAnsi="Lucida Bright" w:cs="Calibri"/>
                <w:b/>
                <w:bCs/>
                <w:color w:val="000000"/>
                <w:sz w:val="14"/>
                <w:szCs w:val="14"/>
                <w:lang w:val="es-ES"/>
              </w:rPr>
            </w:pPr>
            <w:r w:rsidRPr="00945658">
              <w:rPr>
                <w:rFonts w:ascii="Lucida Bright" w:hAnsi="Lucida Bright" w:cs="Calibri"/>
                <w:b/>
                <w:bCs/>
                <w:color w:val="000000"/>
                <w:sz w:val="14"/>
                <w:szCs w:val="14"/>
                <w:lang w:val="es-ES"/>
              </w:rPr>
              <w:t>43.888.388,89</w:t>
            </w:r>
          </w:p>
        </w:tc>
      </w:tr>
    </w:tbl>
    <w:p w:rsidR="002304EF" w:rsidRPr="00846803" w:rsidRDefault="002304EF" w:rsidP="00C05DE0">
      <w:pPr>
        <w:tabs>
          <w:tab w:val="right" w:pos="8364"/>
        </w:tabs>
        <w:jc w:val="both"/>
      </w:pPr>
    </w:p>
    <w:p w:rsidR="00A563E0" w:rsidRDefault="00A563E0" w:rsidP="00D8691B">
      <w:pPr>
        <w:tabs>
          <w:tab w:val="right" w:pos="8364"/>
        </w:tabs>
        <w:ind w:right="2977"/>
        <w:jc w:val="both"/>
        <w:rPr>
          <w:sz w:val="24"/>
        </w:rPr>
      </w:pPr>
    </w:p>
    <w:p w:rsidR="005B3620" w:rsidRDefault="00192EA6" w:rsidP="002019D4">
      <w:pPr>
        <w:tabs>
          <w:tab w:val="right" w:pos="8364"/>
        </w:tabs>
        <w:ind w:left="567"/>
        <w:jc w:val="both"/>
        <w:rPr>
          <w:rFonts w:ascii="NewBaskerville" w:hAnsi="NewBaskerville"/>
          <w:bCs/>
        </w:rPr>
      </w:pPr>
      <w:r w:rsidRPr="006265E2">
        <w:rPr>
          <w:rFonts w:ascii="NewBaskerville" w:hAnsi="NewBaskerville"/>
          <w:bCs/>
        </w:rPr>
        <w:t xml:space="preserve">b.2) </w:t>
      </w:r>
      <w:r w:rsidR="002C4355" w:rsidRPr="006265E2">
        <w:rPr>
          <w:rFonts w:ascii="NewBaskerville" w:hAnsi="NewBaskerville"/>
          <w:bCs/>
        </w:rPr>
        <w:t>Ingresos accesorios y otros de gestión corriente</w:t>
      </w:r>
      <w:r w:rsidR="007148D9">
        <w:rPr>
          <w:rFonts w:ascii="NewBaskerville" w:hAnsi="NewBaskerville"/>
          <w:bCs/>
        </w:rPr>
        <w:t>:</w:t>
      </w:r>
    </w:p>
    <w:p w:rsidR="00407993" w:rsidRPr="006265E2" w:rsidRDefault="00407993" w:rsidP="002019D4">
      <w:pPr>
        <w:tabs>
          <w:tab w:val="right" w:pos="8364"/>
        </w:tabs>
        <w:ind w:left="567"/>
        <w:jc w:val="both"/>
        <w:rPr>
          <w:rFonts w:ascii="NewBaskerville" w:hAnsi="NewBaskerville"/>
          <w:bCs/>
        </w:rPr>
      </w:pPr>
    </w:p>
    <w:p w:rsidR="00300BDF" w:rsidRDefault="00300BDF" w:rsidP="002019D4">
      <w:pPr>
        <w:tabs>
          <w:tab w:val="right" w:pos="8364"/>
        </w:tabs>
        <w:ind w:left="567"/>
        <w:jc w:val="both"/>
        <w:rPr>
          <w:bCs/>
        </w:rPr>
      </w:pPr>
    </w:p>
    <w:tbl>
      <w:tblPr>
        <w:tblW w:w="5000" w:type="pct"/>
        <w:tblCellMar>
          <w:left w:w="70" w:type="dxa"/>
          <w:right w:w="70" w:type="dxa"/>
        </w:tblCellMar>
        <w:tblLook w:val="04A0" w:firstRow="1" w:lastRow="0" w:firstColumn="1" w:lastColumn="0" w:noHBand="0" w:noVBand="1"/>
      </w:tblPr>
      <w:tblGrid>
        <w:gridCol w:w="5104"/>
        <w:gridCol w:w="355"/>
        <w:gridCol w:w="355"/>
        <w:gridCol w:w="397"/>
        <w:gridCol w:w="1571"/>
        <w:gridCol w:w="1571"/>
      </w:tblGrid>
      <w:tr w:rsidR="00407993" w:rsidRPr="00407993" w:rsidTr="00407993">
        <w:trPr>
          <w:trHeight w:val="300"/>
        </w:trPr>
        <w:tc>
          <w:tcPr>
            <w:tcW w:w="3319" w:type="pct"/>
            <w:gridSpan w:val="4"/>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407993" w:rsidRPr="00407993" w:rsidRDefault="00407993" w:rsidP="00407993">
            <w:pPr>
              <w:jc w:val="center"/>
              <w:rPr>
                <w:rFonts w:ascii="Lucida Bright" w:hAnsi="Lucida Bright" w:cs="Calibri"/>
                <w:b/>
                <w:bCs/>
                <w:color w:val="000000"/>
                <w:sz w:val="14"/>
                <w:szCs w:val="14"/>
                <w:lang w:val="es-ES"/>
              </w:rPr>
            </w:pPr>
            <w:r w:rsidRPr="00407993">
              <w:rPr>
                <w:rFonts w:ascii="Lucida Bright" w:hAnsi="Lucida Bright" w:cs="Calibri"/>
                <w:b/>
                <w:bCs/>
                <w:color w:val="000000"/>
                <w:sz w:val="14"/>
                <w:szCs w:val="14"/>
                <w:lang w:val="es-ES"/>
              </w:rPr>
              <w:t>Concepto</w:t>
            </w:r>
          </w:p>
        </w:tc>
        <w:tc>
          <w:tcPr>
            <w:tcW w:w="840" w:type="pct"/>
            <w:tcBorders>
              <w:top w:val="single" w:sz="4" w:space="0" w:color="auto"/>
              <w:left w:val="nil"/>
              <w:bottom w:val="single" w:sz="4" w:space="0" w:color="auto"/>
              <w:right w:val="single" w:sz="4" w:space="0" w:color="auto"/>
            </w:tcBorders>
            <w:shd w:val="clear" w:color="000000" w:fill="CCFFCC"/>
            <w:noWrap/>
            <w:vAlign w:val="bottom"/>
            <w:hideMark/>
          </w:tcPr>
          <w:p w:rsidR="00407993" w:rsidRPr="00407993" w:rsidRDefault="00407993" w:rsidP="00407993">
            <w:pPr>
              <w:jc w:val="center"/>
              <w:rPr>
                <w:rFonts w:ascii="Lucida Bright" w:hAnsi="Lucida Bright" w:cs="Calibri"/>
                <w:b/>
                <w:bCs/>
                <w:color w:val="000000"/>
                <w:sz w:val="14"/>
                <w:szCs w:val="14"/>
                <w:lang w:val="es-ES"/>
              </w:rPr>
            </w:pPr>
            <w:r w:rsidRPr="00407993">
              <w:rPr>
                <w:rFonts w:ascii="Lucida Bright" w:hAnsi="Lucida Bright" w:cs="Calibri"/>
                <w:b/>
                <w:bCs/>
                <w:color w:val="000000"/>
                <w:sz w:val="14"/>
                <w:szCs w:val="14"/>
                <w:lang w:val="es-ES"/>
              </w:rPr>
              <w:t>2024</w:t>
            </w:r>
          </w:p>
        </w:tc>
        <w:tc>
          <w:tcPr>
            <w:tcW w:w="840" w:type="pct"/>
            <w:tcBorders>
              <w:top w:val="single" w:sz="4" w:space="0" w:color="auto"/>
              <w:left w:val="nil"/>
              <w:bottom w:val="single" w:sz="4" w:space="0" w:color="auto"/>
              <w:right w:val="single" w:sz="4" w:space="0" w:color="auto"/>
            </w:tcBorders>
            <w:shd w:val="clear" w:color="000000" w:fill="CCFFCC"/>
            <w:noWrap/>
            <w:vAlign w:val="bottom"/>
            <w:hideMark/>
          </w:tcPr>
          <w:p w:rsidR="00407993" w:rsidRPr="00407993" w:rsidRDefault="00407993" w:rsidP="00407993">
            <w:pPr>
              <w:jc w:val="center"/>
              <w:rPr>
                <w:rFonts w:ascii="Lucida Bright" w:hAnsi="Lucida Bright" w:cs="Calibri"/>
                <w:b/>
                <w:bCs/>
                <w:color w:val="000000"/>
                <w:sz w:val="14"/>
                <w:szCs w:val="14"/>
                <w:lang w:val="es-ES"/>
              </w:rPr>
            </w:pPr>
            <w:r w:rsidRPr="00407993">
              <w:rPr>
                <w:rFonts w:ascii="Lucida Bright" w:hAnsi="Lucida Bright" w:cs="Calibri"/>
                <w:b/>
                <w:bCs/>
                <w:color w:val="000000"/>
                <w:sz w:val="14"/>
                <w:szCs w:val="14"/>
                <w:lang w:val="es-ES"/>
              </w:rPr>
              <w:t>2023</w:t>
            </w:r>
          </w:p>
        </w:tc>
      </w:tr>
      <w:tr w:rsidR="00407993" w:rsidRPr="00407993" w:rsidTr="00407993">
        <w:trPr>
          <w:trHeight w:val="300"/>
        </w:trPr>
        <w:tc>
          <w:tcPr>
            <w:tcW w:w="2917" w:type="pct"/>
            <w:gridSpan w:val="2"/>
            <w:tcBorders>
              <w:top w:val="single" w:sz="4" w:space="0" w:color="auto"/>
              <w:left w:val="single" w:sz="4" w:space="0" w:color="auto"/>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Ingresos por tráficos mínimos</w:t>
            </w:r>
          </w:p>
        </w:tc>
        <w:tc>
          <w:tcPr>
            <w:tcW w:w="190" w:type="pct"/>
            <w:tcBorders>
              <w:top w:val="nil"/>
              <w:left w:val="nil"/>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0,00</w:t>
            </w:r>
          </w:p>
        </w:tc>
        <w:tc>
          <w:tcPr>
            <w:tcW w:w="840"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0,00</w:t>
            </w:r>
          </w:p>
        </w:tc>
      </w:tr>
      <w:tr w:rsidR="00407993" w:rsidRPr="00407993" w:rsidTr="00407993">
        <w:trPr>
          <w:trHeight w:val="300"/>
        </w:trPr>
        <w:tc>
          <w:tcPr>
            <w:tcW w:w="2917" w:type="pct"/>
            <w:gridSpan w:val="2"/>
            <w:tcBorders>
              <w:top w:val="single" w:sz="4" w:space="0" w:color="auto"/>
              <w:left w:val="single" w:sz="4" w:space="0" w:color="auto"/>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Ingresos por arrendamientos</w:t>
            </w:r>
          </w:p>
        </w:tc>
        <w:tc>
          <w:tcPr>
            <w:tcW w:w="190" w:type="pct"/>
            <w:tcBorders>
              <w:top w:val="nil"/>
              <w:left w:val="nil"/>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271.471,57</w:t>
            </w:r>
          </w:p>
        </w:tc>
        <w:tc>
          <w:tcPr>
            <w:tcW w:w="840"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301.569,85</w:t>
            </w:r>
          </w:p>
        </w:tc>
      </w:tr>
      <w:tr w:rsidR="00407993" w:rsidRPr="00407993" w:rsidTr="00407993">
        <w:trPr>
          <w:trHeight w:val="300"/>
        </w:trPr>
        <w:tc>
          <w:tcPr>
            <w:tcW w:w="2917" w:type="pct"/>
            <w:gridSpan w:val="2"/>
            <w:tcBorders>
              <w:top w:val="single" w:sz="4" w:space="0" w:color="auto"/>
              <w:left w:val="single" w:sz="4" w:space="0" w:color="auto"/>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Ingresos por servicios al personal</w:t>
            </w:r>
          </w:p>
        </w:tc>
        <w:tc>
          <w:tcPr>
            <w:tcW w:w="190" w:type="pct"/>
            <w:tcBorders>
              <w:top w:val="nil"/>
              <w:left w:val="nil"/>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416.749,43</w:t>
            </w:r>
          </w:p>
        </w:tc>
        <w:tc>
          <w:tcPr>
            <w:tcW w:w="840"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391.515,51</w:t>
            </w:r>
          </w:p>
        </w:tc>
      </w:tr>
      <w:tr w:rsidR="00407993" w:rsidRPr="00407993" w:rsidTr="00407993">
        <w:trPr>
          <w:trHeight w:val="300"/>
        </w:trPr>
        <w:tc>
          <w:tcPr>
            <w:tcW w:w="2917" w:type="pct"/>
            <w:gridSpan w:val="2"/>
            <w:tcBorders>
              <w:top w:val="single" w:sz="4" w:space="0" w:color="auto"/>
              <w:left w:val="single" w:sz="4" w:space="0" w:color="auto"/>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Ingresos por ventas de publicaciones</w:t>
            </w:r>
          </w:p>
        </w:tc>
        <w:tc>
          <w:tcPr>
            <w:tcW w:w="190" w:type="pct"/>
            <w:tcBorders>
              <w:top w:val="nil"/>
              <w:left w:val="nil"/>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26.658,06</w:t>
            </w:r>
          </w:p>
        </w:tc>
        <w:tc>
          <w:tcPr>
            <w:tcW w:w="840"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19.311,85</w:t>
            </w:r>
          </w:p>
        </w:tc>
      </w:tr>
      <w:tr w:rsidR="00407993" w:rsidRPr="00407993" w:rsidTr="00407993">
        <w:trPr>
          <w:trHeight w:val="300"/>
        </w:trPr>
        <w:tc>
          <w:tcPr>
            <w:tcW w:w="3107" w:type="pct"/>
            <w:gridSpan w:val="3"/>
            <w:tcBorders>
              <w:top w:val="single" w:sz="4" w:space="0" w:color="auto"/>
              <w:left w:val="single" w:sz="4" w:space="0" w:color="auto"/>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Servicios de vigilancia, inspección y dirección de obra</w:t>
            </w:r>
          </w:p>
        </w:tc>
        <w:tc>
          <w:tcPr>
            <w:tcW w:w="212"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840"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r>
      <w:tr w:rsidR="00407993" w:rsidRPr="00407993" w:rsidTr="00407993">
        <w:trPr>
          <w:trHeight w:val="300"/>
        </w:trPr>
        <w:tc>
          <w:tcPr>
            <w:tcW w:w="2917" w:type="pct"/>
            <w:gridSpan w:val="2"/>
            <w:tcBorders>
              <w:top w:val="single" w:sz="4" w:space="0" w:color="auto"/>
              <w:left w:val="single" w:sz="4" w:space="0" w:color="auto"/>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Ingresos por multas y sanciones</w:t>
            </w:r>
          </w:p>
        </w:tc>
        <w:tc>
          <w:tcPr>
            <w:tcW w:w="190" w:type="pct"/>
            <w:tcBorders>
              <w:top w:val="nil"/>
              <w:left w:val="nil"/>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616.582,48</w:t>
            </w:r>
          </w:p>
        </w:tc>
        <w:tc>
          <w:tcPr>
            <w:tcW w:w="840"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522.437,91</w:t>
            </w:r>
          </w:p>
        </w:tc>
      </w:tr>
      <w:tr w:rsidR="00407993" w:rsidRPr="00407993" w:rsidTr="00407993">
        <w:trPr>
          <w:trHeight w:val="300"/>
        </w:trPr>
        <w:tc>
          <w:tcPr>
            <w:tcW w:w="2917" w:type="pct"/>
            <w:gridSpan w:val="2"/>
            <w:tcBorders>
              <w:top w:val="single" w:sz="4" w:space="0" w:color="auto"/>
              <w:left w:val="single" w:sz="4" w:space="0" w:color="auto"/>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Ingresos por indemnizaciones</w:t>
            </w:r>
          </w:p>
        </w:tc>
        <w:tc>
          <w:tcPr>
            <w:tcW w:w="190" w:type="pct"/>
            <w:tcBorders>
              <w:top w:val="nil"/>
              <w:left w:val="nil"/>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840"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r>
      <w:tr w:rsidR="00407993" w:rsidRPr="00407993" w:rsidTr="00407993">
        <w:trPr>
          <w:trHeight w:val="300"/>
        </w:trPr>
        <w:tc>
          <w:tcPr>
            <w:tcW w:w="3107" w:type="pct"/>
            <w:gridSpan w:val="3"/>
            <w:tcBorders>
              <w:top w:val="single" w:sz="4" w:space="0" w:color="auto"/>
              <w:left w:val="single" w:sz="4" w:space="0" w:color="auto"/>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Daños a instalaciones,  costas judiciales</w:t>
            </w:r>
          </w:p>
        </w:tc>
        <w:tc>
          <w:tcPr>
            <w:tcW w:w="212"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44.328,80</w:t>
            </w:r>
          </w:p>
        </w:tc>
        <w:tc>
          <w:tcPr>
            <w:tcW w:w="840"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30.364,07</w:t>
            </w:r>
          </w:p>
        </w:tc>
      </w:tr>
      <w:tr w:rsidR="00407993" w:rsidRPr="00407993" w:rsidTr="00407993">
        <w:trPr>
          <w:trHeight w:val="300"/>
        </w:trPr>
        <w:tc>
          <w:tcPr>
            <w:tcW w:w="2728" w:type="pct"/>
            <w:tcBorders>
              <w:top w:val="nil"/>
              <w:left w:val="single" w:sz="4" w:space="0" w:color="auto"/>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Recargos</w:t>
            </w:r>
          </w:p>
        </w:tc>
        <w:tc>
          <w:tcPr>
            <w:tcW w:w="190" w:type="pct"/>
            <w:tcBorders>
              <w:top w:val="nil"/>
              <w:left w:val="nil"/>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190" w:type="pct"/>
            <w:tcBorders>
              <w:top w:val="nil"/>
              <w:left w:val="nil"/>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129.187,36</w:t>
            </w:r>
          </w:p>
        </w:tc>
        <w:tc>
          <w:tcPr>
            <w:tcW w:w="840"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67.548,29</w:t>
            </w:r>
          </w:p>
        </w:tc>
      </w:tr>
      <w:tr w:rsidR="00407993" w:rsidRPr="00407993" w:rsidTr="00407993">
        <w:trPr>
          <w:trHeight w:val="300"/>
        </w:trPr>
        <w:tc>
          <w:tcPr>
            <w:tcW w:w="2917" w:type="pct"/>
            <w:gridSpan w:val="2"/>
            <w:tcBorders>
              <w:top w:val="single" w:sz="4" w:space="0" w:color="auto"/>
              <w:left w:val="single" w:sz="4" w:space="0" w:color="auto"/>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Rehabilitación de fallidos</w:t>
            </w:r>
          </w:p>
        </w:tc>
        <w:tc>
          <w:tcPr>
            <w:tcW w:w="190" w:type="pct"/>
            <w:tcBorders>
              <w:top w:val="nil"/>
              <w:left w:val="nil"/>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14,50</w:t>
            </w:r>
          </w:p>
        </w:tc>
        <w:tc>
          <w:tcPr>
            <w:tcW w:w="840"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252,41</w:t>
            </w:r>
          </w:p>
        </w:tc>
      </w:tr>
      <w:tr w:rsidR="00407993" w:rsidRPr="00407993" w:rsidTr="00407993">
        <w:trPr>
          <w:trHeight w:val="300"/>
        </w:trPr>
        <w:tc>
          <w:tcPr>
            <w:tcW w:w="2917" w:type="pct"/>
            <w:gridSpan w:val="2"/>
            <w:tcBorders>
              <w:top w:val="single" w:sz="4" w:space="0" w:color="auto"/>
              <w:left w:val="single" w:sz="4" w:space="0" w:color="auto"/>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Otros ingresos de gestión:</w:t>
            </w:r>
          </w:p>
        </w:tc>
        <w:tc>
          <w:tcPr>
            <w:tcW w:w="190" w:type="pct"/>
            <w:tcBorders>
              <w:top w:val="nil"/>
              <w:left w:val="nil"/>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4.544.583,86</w:t>
            </w:r>
          </w:p>
        </w:tc>
        <w:tc>
          <w:tcPr>
            <w:tcW w:w="840"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2.729.924,07</w:t>
            </w:r>
          </w:p>
        </w:tc>
      </w:tr>
      <w:tr w:rsidR="00407993" w:rsidRPr="00407993" w:rsidTr="00407993">
        <w:trPr>
          <w:trHeight w:val="420"/>
        </w:trPr>
        <w:tc>
          <w:tcPr>
            <w:tcW w:w="331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07993" w:rsidRPr="00407993" w:rsidRDefault="00407993" w:rsidP="00407993">
            <w:pPr>
              <w:rPr>
                <w:rFonts w:ascii="Lucida Bright" w:hAnsi="Lucida Bright" w:cs="Calibri"/>
                <w:i/>
                <w:iCs/>
                <w:color w:val="000000"/>
                <w:sz w:val="14"/>
                <w:szCs w:val="14"/>
                <w:lang w:val="es-ES"/>
              </w:rPr>
            </w:pPr>
            <w:r w:rsidRPr="00407993">
              <w:rPr>
                <w:rFonts w:ascii="Lucida Bright" w:hAnsi="Lucida Bright" w:cs="Calibri"/>
                <w:i/>
                <w:iCs/>
                <w:color w:val="000000"/>
                <w:sz w:val="14"/>
                <w:szCs w:val="14"/>
                <w:lang w:val="es-ES"/>
              </w:rPr>
              <w:t xml:space="preserve">      a) Contraprestación por ocupación del dominio público portuario sin título habilitante, reclamación por enriquecimiento injusto</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i/>
                <w:iCs/>
                <w:color w:val="000000"/>
                <w:sz w:val="14"/>
                <w:szCs w:val="14"/>
                <w:lang w:val="es-ES"/>
              </w:rPr>
            </w:pPr>
            <w:r w:rsidRPr="00407993">
              <w:rPr>
                <w:rFonts w:ascii="Lucida Bright" w:hAnsi="Lucida Bright" w:cs="Calibri"/>
                <w:i/>
                <w:iCs/>
                <w:color w:val="000000"/>
                <w:sz w:val="14"/>
                <w:szCs w:val="14"/>
                <w:lang w:val="es-ES"/>
              </w:rPr>
              <w:t>164.988,59</w:t>
            </w:r>
          </w:p>
        </w:tc>
        <w:tc>
          <w:tcPr>
            <w:tcW w:w="840"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i/>
                <w:iCs/>
                <w:color w:val="000000"/>
                <w:sz w:val="14"/>
                <w:szCs w:val="14"/>
                <w:lang w:val="es-ES"/>
              </w:rPr>
            </w:pPr>
            <w:r w:rsidRPr="00407993">
              <w:rPr>
                <w:rFonts w:ascii="Lucida Bright" w:hAnsi="Lucida Bright" w:cs="Calibri"/>
                <w:i/>
                <w:iCs/>
                <w:color w:val="000000"/>
                <w:sz w:val="14"/>
                <w:szCs w:val="14"/>
                <w:lang w:val="es-ES"/>
              </w:rPr>
              <w:t>835.711,30</w:t>
            </w:r>
          </w:p>
        </w:tc>
      </w:tr>
      <w:tr w:rsidR="00407993" w:rsidRPr="00407993" w:rsidTr="00407993">
        <w:trPr>
          <w:trHeight w:val="420"/>
        </w:trPr>
        <w:tc>
          <w:tcPr>
            <w:tcW w:w="331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07993" w:rsidRPr="00407993" w:rsidRDefault="00407993" w:rsidP="00407993">
            <w:pPr>
              <w:rPr>
                <w:rFonts w:ascii="Lucida Bright" w:hAnsi="Lucida Bright" w:cs="Calibri"/>
                <w:i/>
                <w:iCs/>
                <w:color w:val="000000"/>
                <w:sz w:val="14"/>
                <w:szCs w:val="14"/>
                <w:lang w:val="es-ES"/>
              </w:rPr>
            </w:pPr>
            <w:r w:rsidRPr="00407993">
              <w:rPr>
                <w:rFonts w:ascii="Lucida Bright" w:hAnsi="Lucida Bright" w:cs="Calibri"/>
                <w:i/>
                <w:iCs/>
                <w:color w:val="000000"/>
                <w:sz w:val="14"/>
                <w:szCs w:val="14"/>
                <w:lang w:val="es-ES"/>
              </w:rPr>
              <w:t xml:space="preserve">      b) Contraprestación por actividad del dominio público portuario sin título habilitante, reclamación por enriquecimiento injusto</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i/>
                <w:iCs/>
                <w:color w:val="000000"/>
                <w:sz w:val="14"/>
                <w:szCs w:val="14"/>
                <w:lang w:val="es-ES"/>
              </w:rPr>
            </w:pPr>
            <w:r w:rsidRPr="00407993">
              <w:rPr>
                <w:rFonts w:ascii="Lucida Bright" w:hAnsi="Lucida Bright" w:cs="Calibri"/>
                <w:i/>
                <w:iCs/>
                <w:color w:val="000000"/>
                <w:sz w:val="14"/>
                <w:szCs w:val="14"/>
                <w:lang w:val="es-ES"/>
              </w:rPr>
              <w:t>291.166,94</w:t>
            </w:r>
          </w:p>
        </w:tc>
        <w:tc>
          <w:tcPr>
            <w:tcW w:w="840"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i/>
                <w:iCs/>
                <w:color w:val="000000"/>
                <w:sz w:val="14"/>
                <w:szCs w:val="14"/>
                <w:lang w:val="es-ES"/>
              </w:rPr>
            </w:pPr>
            <w:r w:rsidRPr="00407993">
              <w:rPr>
                <w:rFonts w:ascii="Lucida Bright" w:hAnsi="Lucida Bright" w:cs="Calibri"/>
                <w:i/>
                <w:iCs/>
                <w:color w:val="000000"/>
                <w:sz w:val="14"/>
                <w:szCs w:val="14"/>
                <w:lang w:val="es-ES"/>
              </w:rPr>
              <w:t>444.589,09</w:t>
            </w:r>
          </w:p>
        </w:tc>
      </w:tr>
      <w:tr w:rsidR="00407993" w:rsidRPr="00407993" w:rsidTr="00407993">
        <w:trPr>
          <w:trHeight w:val="420"/>
        </w:trPr>
        <w:tc>
          <w:tcPr>
            <w:tcW w:w="331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07993" w:rsidRPr="00407993" w:rsidRDefault="00407993" w:rsidP="00407993">
            <w:pPr>
              <w:rPr>
                <w:rFonts w:ascii="Lucida Bright" w:hAnsi="Lucida Bright" w:cs="Calibri"/>
                <w:i/>
                <w:iCs/>
                <w:color w:val="000000"/>
                <w:sz w:val="14"/>
                <w:szCs w:val="14"/>
                <w:lang w:val="es-ES"/>
              </w:rPr>
            </w:pPr>
            <w:r w:rsidRPr="00407993">
              <w:rPr>
                <w:rFonts w:ascii="Lucida Bright" w:hAnsi="Lucida Bright" w:cs="Calibri"/>
                <w:i/>
                <w:iCs/>
                <w:color w:val="000000"/>
                <w:sz w:val="14"/>
                <w:szCs w:val="14"/>
                <w:lang w:val="es-ES"/>
              </w:rPr>
              <w:t xml:space="preserve">     c) Otras contraprestaciones</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i/>
                <w:iCs/>
                <w:color w:val="000000"/>
                <w:sz w:val="14"/>
                <w:szCs w:val="14"/>
                <w:lang w:val="es-ES"/>
              </w:rPr>
            </w:pPr>
            <w:r w:rsidRPr="00407993">
              <w:rPr>
                <w:rFonts w:ascii="Lucida Bright" w:hAnsi="Lucida Bright" w:cs="Calibri"/>
                <w:i/>
                <w:iCs/>
                <w:color w:val="000000"/>
                <w:sz w:val="14"/>
                <w:szCs w:val="14"/>
                <w:lang w:val="es-ES"/>
              </w:rPr>
              <w:t>4.078.969,07</w:t>
            </w:r>
          </w:p>
        </w:tc>
        <w:tc>
          <w:tcPr>
            <w:tcW w:w="840"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i/>
                <w:iCs/>
                <w:color w:val="000000"/>
                <w:sz w:val="14"/>
                <w:szCs w:val="14"/>
                <w:lang w:val="es-ES"/>
              </w:rPr>
            </w:pPr>
            <w:r w:rsidRPr="00407993">
              <w:rPr>
                <w:rFonts w:ascii="Lucida Bright" w:hAnsi="Lucida Bright" w:cs="Calibri"/>
                <w:i/>
                <w:iCs/>
                <w:color w:val="000000"/>
                <w:sz w:val="14"/>
                <w:szCs w:val="14"/>
                <w:lang w:val="es-ES"/>
              </w:rPr>
              <w:t>1.445.156,84</w:t>
            </w:r>
          </w:p>
        </w:tc>
      </w:tr>
      <w:tr w:rsidR="00407993" w:rsidRPr="00407993" w:rsidTr="00407993">
        <w:trPr>
          <w:trHeight w:val="390"/>
        </w:trPr>
        <w:tc>
          <w:tcPr>
            <w:tcW w:w="331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07993" w:rsidRPr="00407993" w:rsidRDefault="00407993" w:rsidP="00407993">
            <w:pPr>
              <w:rPr>
                <w:rFonts w:ascii="Lucida Bright" w:hAnsi="Lucida Bright" w:cs="Calibri"/>
                <w:i/>
                <w:iCs/>
                <w:color w:val="000000"/>
                <w:sz w:val="14"/>
                <w:szCs w:val="14"/>
                <w:lang w:val="es-ES"/>
              </w:rPr>
            </w:pPr>
            <w:r w:rsidRPr="00407993">
              <w:rPr>
                <w:rFonts w:ascii="Lucida Bright" w:hAnsi="Lucida Bright" w:cs="Calibri"/>
                <w:i/>
                <w:iCs/>
                <w:color w:val="000000"/>
                <w:sz w:val="14"/>
                <w:szCs w:val="14"/>
                <w:lang w:val="es-ES"/>
              </w:rPr>
              <w:t xml:space="preserve">     d) Otros ingresos de gestión</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i/>
                <w:iCs/>
                <w:color w:val="000000"/>
                <w:sz w:val="14"/>
                <w:szCs w:val="14"/>
                <w:lang w:val="es-ES"/>
              </w:rPr>
            </w:pPr>
            <w:r w:rsidRPr="00407993">
              <w:rPr>
                <w:rFonts w:ascii="Lucida Bright" w:hAnsi="Lucida Bright" w:cs="Calibri"/>
                <w:i/>
                <w:iCs/>
                <w:color w:val="000000"/>
                <w:sz w:val="14"/>
                <w:szCs w:val="14"/>
                <w:lang w:val="es-ES"/>
              </w:rPr>
              <w:t>9.459,26</w:t>
            </w:r>
          </w:p>
        </w:tc>
        <w:tc>
          <w:tcPr>
            <w:tcW w:w="840"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i/>
                <w:iCs/>
                <w:color w:val="000000"/>
                <w:sz w:val="14"/>
                <w:szCs w:val="14"/>
                <w:lang w:val="es-ES"/>
              </w:rPr>
            </w:pPr>
            <w:r w:rsidRPr="00407993">
              <w:rPr>
                <w:rFonts w:ascii="Lucida Bright" w:hAnsi="Lucida Bright" w:cs="Calibri"/>
                <w:i/>
                <w:iCs/>
                <w:color w:val="000000"/>
                <w:sz w:val="14"/>
                <w:szCs w:val="14"/>
                <w:lang w:val="es-ES"/>
              </w:rPr>
              <w:t>4.466,84</w:t>
            </w:r>
          </w:p>
        </w:tc>
      </w:tr>
      <w:tr w:rsidR="00407993" w:rsidRPr="00407993" w:rsidTr="00407993">
        <w:trPr>
          <w:trHeight w:val="300"/>
        </w:trPr>
        <w:tc>
          <w:tcPr>
            <w:tcW w:w="2728" w:type="pct"/>
            <w:tcBorders>
              <w:top w:val="nil"/>
              <w:left w:val="single" w:sz="4" w:space="0" w:color="auto"/>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b/>
                <w:bCs/>
                <w:color w:val="000000"/>
                <w:sz w:val="14"/>
                <w:szCs w:val="14"/>
                <w:lang w:val="es-ES"/>
              </w:rPr>
            </w:pPr>
            <w:r w:rsidRPr="00407993">
              <w:rPr>
                <w:rFonts w:ascii="Lucida Bright" w:hAnsi="Lucida Bright" w:cs="Calibri"/>
                <w:b/>
                <w:bCs/>
                <w:color w:val="000000"/>
                <w:sz w:val="14"/>
                <w:szCs w:val="14"/>
                <w:lang w:val="es-ES"/>
              </w:rPr>
              <w:t>Total</w:t>
            </w:r>
          </w:p>
        </w:tc>
        <w:tc>
          <w:tcPr>
            <w:tcW w:w="190" w:type="pct"/>
            <w:tcBorders>
              <w:top w:val="nil"/>
              <w:left w:val="nil"/>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190" w:type="pct"/>
            <w:tcBorders>
              <w:top w:val="nil"/>
              <w:left w:val="nil"/>
              <w:bottom w:val="single" w:sz="4" w:space="0" w:color="auto"/>
              <w:right w:val="nil"/>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rPr>
                <w:rFonts w:ascii="Lucida Bright" w:hAnsi="Lucida Bright" w:cs="Calibri"/>
                <w:color w:val="000000"/>
                <w:sz w:val="14"/>
                <w:szCs w:val="14"/>
                <w:lang w:val="es-ES"/>
              </w:rPr>
            </w:pPr>
            <w:r w:rsidRPr="00407993">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b/>
                <w:bCs/>
                <w:color w:val="000000"/>
                <w:sz w:val="14"/>
                <w:szCs w:val="14"/>
                <w:lang w:val="es-ES"/>
              </w:rPr>
            </w:pPr>
            <w:r w:rsidRPr="00407993">
              <w:rPr>
                <w:rFonts w:ascii="Lucida Bright" w:hAnsi="Lucida Bright" w:cs="Calibri"/>
                <w:b/>
                <w:bCs/>
                <w:color w:val="000000"/>
                <w:sz w:val="14"/>
                <w:szCs w:val="14"/>
                <w:lang w:val="es-ES"/>
              </w:rPr>
              <w:t>6.049.576,06</w:t>
            </w:r>
          </w:p>
        </w:tc>
        <w:tc>
          <w:tcPr>
            <w:tcW w:w="840" w:type="pct"/>
            <w:tcBorders>
              <w:top w:val="nil"/>
              <w:left w:val="nil"/>
              <w:bottom w:val="single" w:sz="4" w:space="0" w:color="auto"/>
              <w:right w:val="single" w:sz="4" w:space="0" w:color="auto"/>
            </w:tcBorders>
            <w:shd w:val="clear" w:color="auto" w:fill="auto"/>
            <w:noWrap/>
            <w:vAlign w:val="bottom"/>
            <w:hideMark/>
          </w:tcPr>
          <w:p w:rsidR="00407993" w:rsidRPr="00407993" w:rsidRDefault="00407993" w:rsidP="00407993">
            <w:pPr>
              <w:jc w:val="right"/>
              <w:rPr>
                <w:rFonts w:ascii="Lucida Bright" w:hAnsi="Lucida Bright" w:cs="Calibri"/>
                <w:b/>
                <w:bCs/>
                <w:color w:val="000000"/>
                <w:sz w:val="14"/>
                <w:szCs w:val="14"/>
                <w:lang w:val="es-ES"/>
              </w:rPr>
            </w:pPr>
            <w:r w:rsidRPr="00407993">
              <w:rPr>
                <w:rFonts w:ascii="Lucida Bright" w:hAnsi="Lucida Bright" w:cs="Calibri"/>
                <w:b/>
                <w:bCs/>
                <w:color w:val="000000"/>
                <w:sz w:val="14"/>
                <w:szCs w:val="14"/>
                <w:lang w:val="es-ES"/>
              </w:rPr>
              <w:t>4.062.923,96</w:t>
            </w:r>
          </w:p>
        </w:tc>
      </w:tr>
    </w:tbl>
    <w:p w:rsidR="00300BDF" w:rsidRDefault="00300BDF" w:rsidP="002019D4">
      <w:pPr>
        <w:tabs>
          <w:tab w:val="right" w:pos="8364"/>
        </w:tabs>
        <w:ind w:left="567"/>
        <w:jc w:val="both"/>
        <w:rPr>
          <w:bCs/>
        </w:rPr>
      </w:pPr>
    </w:p>
    <w:p w:rsidR="00AD6BAC" w:rsidRDefault="00AD6BAC" w:rsidP="002019D4">
      <w:pPr>
        <w:tabs>
          <w:tab w:val="right" w:pos="8364"/>
        </w:tabs>
        <w:ind w:left="567"/>
        <w:jc w:val="both"/>
        <w:rPr>
          <w:bCs/>
        </w:rPr>
      </w:pPr>
    </w:p>
    <w:p w:rsidR="00F460E3" w:rsidRDefault="00F460E3" w:rsidP="002019D4">
      <w:pPr>
        <w:tabs>
          <w:tab w:val="right" w:pos="8364"/>
        </w:tabs>
        <w:ind w:left="567"/>
        <w:jc w:val="both"/>
        <w:rPr>
          <w:bCs/>
        </w:rPr>
      </w:pPr>
    </w:p>
    <w:p w:rsidR="006B4182" w:rsidRDefault="00192EA6" w:rsidP="002019D4">
      <w:pPr>
        <w:tabs>
          <w:tab w:val="right" w:pos="8364"/>
        </w:tabs>
        <w:ind w:left="567"/>
        <w:jc w:val="both"/>
        <w:rPr>
          <w:rFonts w:ascii="NewBaskerville" w:hAnsi="NewBaskerville"/>
          <w:bCs/>
        </w:rPr>
      </w:pPr>
      <w:r w:rsidRPr="00AD6BAC">
        <w:rPr>
          <w:rFonts w:ascii="NewBaskerville" w:hAnsi="NewBaskerville"/>
          <w:bCs/>
        </w:rPr>
        <w:t xml:space="preserve">b.3) </w:t>
      </w:r>
      <w:r w:rsidR="003F0772" w:rsidRPr="00AD6BAC">
        <w:rPr>
          <w:rFonts w:ascii="NewBaskerville" w:hAnsi="NewBaskerville"/>
          <w:bCs/>
        </w:rPr>
        <w:t>Subvenciones de explotación</w:t>
      </w:r>
    </w:p>
    <w:p w:rsidR="00F460E3" w:rsidRPr="00AD6BAC" w:rsidRDefault="00F460E3" w:rsidP="002019D4">
      <w:pPr>
        <w:tabs>
          <w:tab w:val="right" w:pos="8364"/>
        </w:tabs>
        <w:ind w:left="567"/>
        <w:jc w:val="both"/>
        <w:rPr>
          <w:rFonts w:ascii="NewBaskerville" w:hAnsi="NewBaskerville"/>
          <w:bCs/>
        </w:rPr>
      </w:pPr>
    </w:p>
    <w:p w:rsidR="003E0D64" w:rsidRPr="003E0D64" w:rsidRDefault="003E0D64" w:rsidP="003E0D64">
      <w:pPr>
        <w:pStyle w:val="Textoindependiente2"/>
        <w:ind w:firstLine="567"/>
        <w:rPr>
          <w:rFonts w:ascii="NewBaskerville" w:hAnsi="NewBaskerville"/>
          <w:sz w:val="20"/>
          <w:szCs w:val="20"/>
        </w:rPr>
      </w:pPr>
      <w:r w:rsidRPr="003E0D64">
        <w:rPr>
          <w:rFonts w:ascii="NewBaskerville" w:hAnsi="NewBaskerville"/>
          <w:sz w:val="20"/>
          <w:szCs w:val="20"/>
        </w:rPr>
        <w:t xml:space="preserve">En el ejercicio se han </w:t>
      </w:r>
      <w:r w:rsidRPr="003E0D64">
        <w:rPr>
          <w:rFonts w:ascii="NewBaskerville" w:hAnsi="NewBaskerville"/>
          <w:bCs w:val="0"/>
          <w:sz w:val="20"/>
          <w:szCs w:val="20"/>
        </w:rPr>
        <w:t xml:space="preserve">se ha clasificado como subvención a la explotación y se ha registrado en el epígrafe </w:t>
      </w:r>
      <w:r w:rsidRPr="003E0D64">
        <w:rPr>
          <w:rFonts w:ascii="NewBaskerville" w:hAnsi="NewBaskerville"/>
          <w:b/>
          <w:bCs w:val="0"/>
          <w:sz w:val="20"/>
          <w:szCs w:val="20"/>
        </w:rPr>
        <w:t>5.b) Subvenciones de explotación incorporadas al resultado del ejercicio</w:t>
      </w:r>
      <w:r>
        <w:rPr>
          <w:rFonts w:ascii="NewBaskerville" w:hAnsi="NewBaskerville"/>
          <w:b/>
          <w:bCs w:val="0"/>
          <w:sz w:val="20"/>
          <w:szCs w:val="20"/>
        </w:rPr>
        <w:t xml:space="preserve"> </w:t>
      </w:r>
      <w:r>
        <w:rPr>
          <w:rFonts w:ascii="NewBaskerville" w:hAnsi="NewBaskerville"/>
          <w:bCs w:val="0"/>
          <w:sz w:val="20"/>
          <w:szCs w:val="20"/>
        </w:rPr>
        <w:t>los siguientes importes</w:t>
      </w:r>
      <w:r w:rsidRPr="003E0D64">
        <w:rPr>
          <w:rFonts w:ascii="NewBaskerville" w:hAnsi="NewBaskerville"/>
          <w:sz w:val="20"/>
          <w:szCs w:val="20"/>
        </w:rPr>
        <w:t>:</w:t>
      </w:r>
    </w:p>
    <w:p w:rsidR="003E0D64" w:rsidRDefault="003E0D64" w:rsidP="003E0D64">
      <w:pPr>
        <w:pStyle w:val="Textoindependiente2"/>
        <w:rPr>
          <w:rFonts w:ascii="NewBaskerville" w:hAnsi="NewBaskerville"/>
          <w:sz w:val="20"/>
          <w:szCs w:val="20"/>
        </w:rPr>
      </w:pPr>
    </w:p>
    <w:p w:rsidR="003E0D64" w:rsidRDefault="003E0D64" w:rsidP="003E0D64">
      <w:pPr>
        <w:pStyle w:val="Textoindependiente2"/>
        <w:numPr>
          <w:ilvl w:val="0"/>
          <w:numId w:val="6"/>
        </w:numPr>
        <w:rPr>
          <w:rFonts w:ascii="NewBaskerville" w:hAnsi="NewBaskerville"/>
          <w:sz w:val="20"/>
          <w:szCs w:val="20"/>
        </w:rPr>
      </w:pPr>
      <w:r>
        <w:rPr>
          <w:rFonts w:ascii="NewBaskerville" w:hAnsi="NewBaskerville"/>
          <w:sz w:val="20"/>
          <w:szCs w:val="20"/>
        </w:rPr>
        <w:t>Programa Horizonte 2020 de la Unión Europea, Proyecto Eiffel, de innovación para la mitigación del cambio climático. Del que se ha reconocido la cantidad de 64.662,78 euros.</w:t>
      </w:r>
    </w:p>
    <w:p w:rsidR="00914209" w:rsidRDefault="00914209" w:rsidP="003E0D64">
      <w:pPr>
        <w:pStyle w:val="Textoindependiente2"/>
        <w:numPr>
          <w:ilvl w:val="0"/>
          <w:numId w:val="6"/>
        </w:numPr>
        <w:rPr>
          <w:rFonts w:ascii="NewBaskerville" w:hAnsi="NewBaskerville"/>
          <w:sz w:val="20"/>
          <w:szCs w:val="20"/>
        </w:rPr>
      </w:pPr>
    </w:p>
    <w:p w:rsidR="00914209" w:rsidRDefault="00914209" w:rsidP="00914209">
      <w:pPr>
        <w:pStyle w:val="Textoindependiente2"/>
        <w:ind w:left="1287"/>
        <w:rPr>
          <w:rFonts w:ascii="NewBaskerville" w:hAnsi="NewBaskerville"/>
          <w:sz w:val="20"/>
          <w:szCs w:val="20"/>
        </w:rPr>
      </w:pPr>
    </w:p>
    <w:p w:rsidR="003E0D64" w:rsidRDefault="003E0D64" w:rsidP="003E0D64">
      <w:pPr>
        <w:pStyle w:val="Textoindependiente2"/>
        <w:numPr>
          <w:ilvl w:val="0"/>
          <w:numId w:val="6"/>
        </w:numPr>
        <w:rPr>
          <w:rFonts w:ascii="NewBaskerville" w:hAnsi="NewBaskerville"/>
          <w:sz w:val="20"/>
          <w:szCs w:val="20"/>
        </w:rPr>
      </w:pPr>
      <w:r>
        <w:rPr>
          <w:rFonts w:ascii="NewBaskerville" w:hAnsi="NewBaskerville"/>
          <w:sz w:val="20"/>
          <w:szCs w:val="20"/>
        </w:rPr>
        <w:lastRenderedPageBreak/>
        <w:t>Programa Horizonte 2020 de la Unión Europea, Proyecto Balith, de diseño de baterías de flujo orgánico redox. Del que se ha reconocido la cantidad de 5.432,19 euros.</w:t>
      </w:r>
    </w:p>
    <w:p w:rsidR="003E0D64" w:rsidRDefault="003E0D64" w:rsidP="003E0D64">
      <w:pPr>
        <w:pStyle w:val="Textoindependiente2"/>
        <w:ind w:left="1287"/>
        <w:rPr>
          <w:rFonts w:ascii="NewBaskerville" w:hAnsi="NewBaskerville"/>
          <w:sz w:val="20"/>
          <w:szCs w:val="20"/>
        </w:rPr>
      </w:pPr>
    </w:p>
    <w:p w:rsidR="003D5B03" w:rsidRDefault="003F0772" w:rsidP="00F460E3">
      <w:pPr>
        <w:tabs>
          <w:tab w:val="right" w:pos="8364"/>
        </w:tabs>
        <w:ind w:left="360"/>
        <w:jc w:val="both"/>
        <w:rPr>
          <w:b/>
          <w:bCs/>
        </w:rPr>
      </w:pPr>
      <w:r w:rsidRPr="00846803">
        <w:rPr>
          <w:bCs/>
        </w:rPr>
        <w:t xml:space="preserve"> </w:t>
      </w:r>
      <w:r w:rsidR="00CB0A46">
        <w:rPr>
          <w:rFonts w:ascii="NewBaskerville" w:hAnsi="NewBaskerville"/>
          <w:bCs/>
        </w:rPr>
        <w:t>En el ejercicio 202</w:t>
      </w:r>
      <w:r w:rsidR="00F460E3">
        <w:rPr>
          <w:rFonts w:ascii="NewBaskerville" w:hAnsi="NewBaskerville"/>
          <w:bCs/>
        </w:rPr>
        <w:t>3</w:t>
      </w:r>
      <w:r w:rsidR="007148D9">
        <w:rPr>
          <w:rFonts w:ascii="NewBaskerville" w:hAnsi="NewBaskerville"/>
          <w:bCs/>
        </w:rPr>
        <w:t xml:space="preserve"> </w:t>
      </w:r>
      <w:r w:rsidR="00CB0A46">
        <w:rPr>
          <w:rFonts w:ascii="NewBaskerville" w:hAnsi="NewBaskerville"/>
          <w:bCs/>
        </w:rPr>
        <w:t>se recibieron</w:t>
      </w:r>
      <w:r w:rsidR="003E0D64">
        <w:rPr>
          <w:rFonts w:ascii="NewBaskerville" w:hAnsi="NewBaskerville"/>
          <w:bCs/>
        </w:rPr>
        <w:t xml:space="preserve"> y clasificaron como</w:t>
      </w:r>
      <w:r w:rsidR="00CB0A46">
        <w:rPr>
          <w:rFonts w:ascii="NewBaskerville" w:hAnsi="NewBaskerville"/>
          <w:bCs/>
        </w:rPr>
        <w:t xml:space="preserve"> subvenciones a la explotación</w:t>
      </w:r>
      <w:r w:rsidR="007148D9">
        <w:rPr>
          <w:rFonts w:ascii="NewBaskerville" w:hAnsi="NewBaskerville"/>
          <w:bCs/>
        </w:rPr>
        <w:t xml:space="preserve"> por valor de </w:t>
      </w:r>
      <w:r w:rsidR="00F460E3">
        <w:rPr>
          <w:rFonts w:ascii="NewBaskerville" w:hAnsi="NewBaskerville"/>
          <w:bCs/>
        </w:rPr>
        <w:t>137</w:t>
      </w:r>
      <w:r w:rsidR="007148D9">
        <w:rPr>
          <w:rFonts w:ascii="NewBaskerville" w:hAnsi="NewBaskerville"/>
          <w:bCs/>
        </w:rPr>
        <w:t>.</w:t>
      </w:r>
      <w:r w:rsidR="00F460E3">
        <w:rPr>
          <w:rFonts w:ascii="NewBaskerville" w:hAnsi="NewBaskerville"/>
          <w:bCs/>
        </w:rPr>
        <w:t>191</w:t>
      </w:r>
      <w:r w:rsidR="007148D9">
        <w:rPr>
          <w:rFonts w:ascii="NewBaskerville" w:hAnsi="NewBaskerville"/>
          <w:bCs/>
        </w:rPr>
        <w:t>,</w:t>
      </w:r>
      <w:r w:rsidR="00F460E3">
        <w:rPr>
          <w:rFonts w:ascii="NewBaskerville" w:hAnsi="NewBaskerville"/>
          <w:bCs/>
        </w:rPr>
        <w:t>05</w:t>
      </w:r>
      <w:r w:rsidR="007148D9">
        <w:rPr>
          <w:rFonts w:ascii="NewBaskerville" w:hAnsi="NewBaskerville"/>
          <w:bCs/>
        </w:rPr>
        <w:t xml:space="preserve"> euros</w:t>
      </w:r>
      <w:r w:rsidR="00CB0A46">
        <w:rPr>
          <w:rFonts w:ascii="NewBaskerville" w:hAnsi="NewBaskerville"/>
          <w:bCs/>
        </w:rPr>
        <w:t>.</w:t>
      </w:r>
    </w:p>
    <w:p w:rsidR="003D5B03" w:rsidRDefault="003D5B03">
      <w:pPr>
        <w:tabs>
          <w:tab w:val="right" w:pos="8364"/>
        </w:tabs>
        <w:ind w:left="851" w:hanging="851"/>
        <w:jc w:val="both"/>
        <w:rPr>
          <w:rFonts w:ascii="NewBaskerville" w:hAnsi="NewBaskerville"/>
          <w:b/>
          <w:bCs/>
        </w:rPr>
      </w:pPr>
    </w:p>
    <w:p w:rsidR="00F460E3" w:rsidRPr="00CB0A46" w:rsidRDefault="00F460E3">
      <w:pPr>
        <w:tabs>
          <w:tab w:val="right" w:pos="8364"/>
        </w:tabs>
        <w:ind w:left="851" w:hanging="851"/>
        <w:jc w:val="both"/>
        <w:rPr>
          <w:rFonts w:ascii="NewBaskerville" w:hAnsi="NewBaskerville"/>
          <w:b/>
          <w:bCs/>
        </w:rPr>
      </w:pPr>
    </w:p>
    <w:p w:rsidR="00087381" w:rsidRDefault="00A861CC" w:rsidP="002019D4">
      <w:pPr>
        <w:tabs>
          <w:tab w:val="right" w:pos="8364"/>
        </w:tabs>
        <w:ind w:left="567"/>
        <w:jc w:val="both"/>
        <w:rPr>
          <w:rFonts w:ascii="NewBaskerville" w:hAnsi="NewBaskerville"/>
          <w:bCs/>
        </w:rPr>
      </w:pPr>
      <w:r>
        <w:rPr>
          <w:rFonts w:ascii="NewBaskerville" w:hAnsi="NewBaskerville"/>
          <w:bCs/>
        </w:rPr>
        <w:t>b.4</w:t>
      </w:r>
      <w:r w:rsidR="00192EA6" w:rsidRPr="00CB0A46">
        <w:rPr>
          <w:rFonts w:ascii="NewBaskerville" w:hAnsi="NewBaskerville"/>
          <w:bCs/>
        </w:rPr>
        <w:t>)</w:t>
      </w:r>
      <w:r w:rsidR="00730D95" w:rsidRPr="00CB0A46">
        <w:rPr>
          <w:rFonts w:ascii="NewBaskerville" w:hAnsi="NewBaskerville"/>
          <w:bCs/>
        </w:rPr>
        <w:t xml:space="preserve"> </w:t>
      </w:r>
      <w:r w:rsidR="00087381" w:rsidRPr="00CB0A46">
        <w:rPr>
          <w:rFonts w:ascii="NewBaskerville" w:hAnsi="NewBaskerville"/>
          <w:bCs/>
        </w:rPr>
        <w:t>Ingresos financieros</w:t>
      </w:r>
    </w:p>
    <w:p w:rsidR="00A84954" w:rsidRDefault="00A84954" w:rsidP="002019D4">
      <w:pPr>
        <w:tabs>
          <w:tab w:val="right" w:pos="8364"/>
        </w:tabs>
        <w:ind w:left="567"/>
        <w:jc w:val="both"/>
        <w:rPr>
          <w:rFonts w:ascii="NewBaskerville" w:hAnsi="NewBaskerville"/>
          <w:bCs/>
        </w:rPr>
      </w:pPr>
    </w:p>
    <w:tbl>
      <w:tblPr>
        <w:tblW w:w="5000" w:type="pct"/>
        <w:tblCellMar>
          <w:left w:w="70" w:type="dxa"/>
          <w:right w:w="70" w:type="dxa"/>
        </w:tblCellMar>
        <w:tblLook w:val="04A0" w:firstRow="1" w:lastRow="0" w:firstColumn="1" w:lastColumn="0" w:noHBand="0" w:noVBand="1"/>
      </w:tblPr>
      <w:tblGrid>
        <w:gridCol w:w="4562"/>
        <w:gridCol w:w="529"/>
        <w:gridCol w:w="529"/>
        <w:gridCol w:w="591"/>
        <w:gridCol w:w="1571"/>
        <w:gridCol w:w="1571"/>
      </w:tblGrid>
      <w:tr w:rsidR="00A84954" w:rsidRPr="00A84954" w:rsidTr="00A84954">
        <w:trPr>
          <w:trHeight w:val="300"/>
        </w:trPr>
        <w:tc>
          <w:tcPr>
            <w:tcW w:w="3319" w:type="pct"/>
            <w:gridSpan w:val="4"/>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A84954" w:rsidRPr="00A84954" w:rsidRDefault="00A84954" w:rsidP="00A84954">
            <w:pPr>
              <w:jc w:val="center"/>
              <w:rPr>
                <w:rFonts w:ascii="Lucida Bright" w:hAnsi="Lucida Bright" w:cs="Calibri"/>
                <w:b/>
                <w:bCs/>
                <w:color w:val="000000"/>
                <w:sz w:val="14"/>
                <w:szCs w:val="14"/>
                <w:lang w:val="es-ES"/>
              </w:rPr>
            </w:pPr>
            <w:r w:rsidRPr="00A84954">
              <w:rPr>
                <w:rFonts w:ascii="Lucida Bright" w:hAnsi="Lucida Bright" w:cs="Calibri"/>
                <w:b/>
                <w:bCs/>
                <w:color w:val="000000"/>
                <w:sz w:val="14"/>
                <w:szCs w:val="14"/>
                <w:lang w:val="es-ES"/>
              </w:rPr>
              <w:t>Concepto</w:t>
            </w:r>
          </w:p>
        </w:tc>
        <w:tc>
          <w:tcPr>
            <w:tcW w:w="840" w:type="pct"/>
            <w:tcBorders>
              <w:top w:val="single" w:sz="4" w:space="0" w:color="auto"/>
              <w:left w:val="nil"/>
              <w:bottom w:val="single" w:sz="4" w:space="0" w:color="auto"/>
              <w:right w:val="single" w:sz="4" w:space="0" w:color="auto"/>
            </w:tcBorders>
            <w:shd w:val="clear" w:color="000000" w:fill="CCFFCC"/>
            <w:noWrap/>
            <w:vAlign w:val="bottom"/>
            <w:hideMark/>
          </w:tcPr>
          <w:p w:rsidR="00A84954" w:rsidRPr="00A84954" w:rsidRDefault="00A84954" w:rsidP="00A84954">
            <w:pPr>
              <w:jc w:val="center"/>
              <w:rPr>
                <w:rFonts w:ascii="Lucida Bright" w:hAnsi="Lucida Bright" w:cs="Calibri"/>
                <w:b/>
                <w:bCs/>
                <w:color w:val="000000"/>
                <w:sz w:val="14"/>
                <w:szCs w:val="14"/>
                <w:lang w:val="es-ES"/>
              </w:rPr>
            </w:pPr>
            <w:r w:rsidRPr="00A84954">
              <w:rPr>
                <w:rFonts w:ascii="Lucida Bright" w:hAnsi="Lucida Bright" w:cs="Calibri"/>
                <w:b/>
                <w:bCs/>
                <w:color w:val="000000"/>
                <w:sz w:val="14"/>
                <w:szCs w:val="14"/>
                <w:lang w:val="es-ES"/>
              </w:rPr>
              <w:t>2024</w:t>
            </w:r>
          </w:p>
        </w:tc>
        <w:tc>
          <w:tcPr>
            <w:tcW w:w="840" w:type="pct"/>
            <w:tcBorders>
              <w:top w:val="single" w:sz="4" w:space="0" w:color="auto"/>
              <w:left w:val="nil"/>
              <w:bottom w:val="single" w:sz="4" w:space="0" w:color="auto"/>
              <w:right w:val="single" w:sz="4" w:space="0" w:color="auto"/>
            </w:tcBorders>
            <w:shd w:val="clear" w:color="000000" w:fill="CCFFCC"/>
            <w:noWrap/>
            <w:vAlign w:val="bottom"/>
            <w:hideMark/>
          </w:tcPr>
          <w:p w:rsidR="00A84954" w:rsidRPr="00A84954" w:rsidRDefault="00A84954" w:rsidP="00A84954">
            <w:pPr>
              <w:jc w:val="center"/>
              <w:rPr>
                <w:rFonts w:ascii="Lucida Bright" w:hAnsi="Lucida Bright" w:cs="Calibri"/>
                <w:b/>
                <w:bCs/>
                <w:color w:val="000000"/>
                <w:sz w:val="14"/>
                <w:szCs w:val="14"/>
                <w:lang w:val="es-ES"/>
              </w:rPr>
            </w:pPr>
            <w:r w:rsidRPr="00A84954">
              <w:rPr>
                <w:rFonts w:ascii="Lucida Bright" w:hAnsi="Lucida Bright" w:cs="Calibri"/>
                <w:b/>
                <w:bCs/>
                <w:color w:val="000000"/>
                <w:sz w:val="14"/>
                <w:szCs w:val="14"/>
                <w:lang w:val="es-ES"/>
              </w:rPr>
              <w:t>2023</w:t>
            </w:r>
          </w:p>
        </w:tc>
      </w:tr>
      <w:tr w:rsidR="00A84954" w:rsidRPr="00A84954" w:rsidTr="00A84954">
        <w:trPr>
          <w:trHeight w:val="300"/>
        </w:trPr>
        <w:tc>
          <w:tcPr>
            <w:tcW w:w="2721" w:type="pct"/>
            <w:gridSpan w:val="2"/>
            <w:tcBorders>
              <w:top w:val="single" w:sz="4" w:space="0" w:color="auto"/>
              <w:left w:val="single" w:sz="4" w:space="0" w:color="auto"/>
              <w:bottom w:val="single" w:sz="4" w:space="0" w:color="auto"/>
              <w:right w:val="nil"/>
            </w:tcBorders>
            <w:shd w:val="clear" w:color="auto" w:fill="auto"/>
            <w:noWrap/>
            <w:vAlign w:val="bottom"/>
            <w:hideMark/>
          </w:tcPr>
          <w:p w:rsidR="00A84954" w:rsidRPr="00A84954" w:rsidRDefault="00A84954" w:rsidP="00A84954">
            <w:pPr>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 xml:space="preserve">Intereses de demora  </w:t>
            </w:r>
          </w:p>
        </w:tc>
        <w:tc>
          <w:tcPr>
            <w:tcW w:w="283" w:type="pct"/>
            <w:tcBorders>
              <w:top w:val="nil"/>
              <w:left w:val="nil"/>
              <w:bottom w:val="single" w:sz="4" w:space="0" w:color="auto"/>
              <w:right w:val="nil"/>
            </w:tcBorders>
            <w:shd w:val="clear" w:color="auto" w:fill="auto"/>
            <w:noWrap/>
            <w:vAlign w:val="bottom"/>
            <w:hideMark/>
          </w:tcPr>
          <w:p w:rsidR="00A84954" w:rsidRPr="00A84954" w:rsidRDefault="00A84954" w:rsidP="00A84954">
            <w:pPr>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 </w:t>
            </w:r>
          </w:p>
        </w:tc>
        <w:tc>
          <w:tcPr>
            <w:tcW w:w="316" w:type="pct"/>
            <w:tcBorders>
              <w:top w:val="nil"/>
              <w:left w:val="nil"/>
              <w:bottom w:val="single" w:sz="4" w:space="0" w:color="auto"/>
              <w:right w:val="single" w:sz="4" w:space="0" w:color="auto"/>
            </w:tcBorders>
            <w:shd w:val="clear" w:color="auto" w:fill="auto"/>
            <w:noWrap/>
            <w:vAlign w:val="bottom"/>
            <w:hideMark/>
          </w:tcPr>
          <w:p w:rsidR="00A84954" w:rsidRPr="00A84954" w:rsidRDefault="00A84954" w:rsidP="00A84954">
            <w:pPr>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A84954" w:rsidRPr="00A84954" w:rsidRDefault="00A84954" w:rsidP="00A84954">
            <w:pPr>
              <w:jc w:val="right"/>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56.151,22</w:t>
            </w:r>
          </w:p>
        </w:tc>
        <w:tc>
          <w:tcPr>
            <w:tcW w:w="840" w:type="pct"/>
            <w:tcBorders>
              <w:top w:val="nil"/>
              <w:left w:val="nil"/>
              <w:bottom w:val="single" w:sz="4" w:space="0" w:color="auto"/>
              <w:right w:val="single" w:sz="4" w:space="0" w:color="auto"/>
            </w:tcBorders>
            <w:shd w:val="clear" w:color="auto" w:fill="auto"/>
            <w:noWrap/>
            <w:vAlign w:val="bottom"/>
            <w:hideMark/>
          </w:tcPr>
          <w:p w:rsidR="00A84954" w:rsidRPr="00A84954" w:rsidRDefault="00A84954" w:rsidP="00A84954">
            <w:pPr>
              <w:jc w:val="right"/>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32.418,01</w:t>
            </w:r>
          </w:p>
        </w:tc>
      </w:tr>
      <w:tr w:rsidR="00A84954" w:rsidRPr="00A84954" w:rsidTr="00A84954">
        <w:trPr>
          <w:trHeight w:val="300"/>
        </w:trPr>
        <w:tc>
          <w:tcPr>
            <w:tcW w:w="3004" w:type="pct"/>
            <w:gridSpan w:val="3"/>
            <w:tcBorders>
              <w:top w:val="single" w:sz="4" w:space="0" w:color="auto"/>
              <w:left w:val="single" w:sz="4" w:space="0" w:color="auto"/>
              <w:bottom w:val="single" w:sz="4" w:space="0" w:color="auto"/>
              <w:right w:val="nil"/>
            </w:tcBorders>
            <w:shd w:val="clear" w:color="auto" w:fill="auto"/>
            <w:noWrap/>
            <w:vAlign w:val="bottom"/>
            <w:hideMark/>
          </w:tcPr>
          <w:p w:rsidR="00A84954" w:rsidRPr="00A84954" w:rsidRDefault="00A84954" w:rsidP="00A84954">
            <w:pPr>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Intereses de cuentas corrientes e inversiones financieras</w:t>
            </w:r>
          </w:p>
        </w:tc>
        <w:tc>
          <w:tcPr>
            <w:tcW w:w="316" w:type="pct"/>
            <w:tcBorders>
              <w:top w:val="nil"/>
              <w:left w:val="nil"/>
              <w:bottom w:val="single" w:sz="4" w:space="0" w:color="auto"/>
              <w:right w:val="single" w:sz="4" w:space="0" w:color="auto"/>
            </w:tcBorders>
            <w:shd w:val="clear" w:color="auto" w:fill="auto"/>
            <w:noWrap/>
            <w:vAlign w:val="bottom"/>
            <w:hideMark/>
          </w:tcPr>
          <w:p w:rsidR="00A84954" w:rsidRPr="00A84954" w:rsidRDefault="00A84954" w:rsidP="00A84954">
            <w:pPr>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A84954" w:rsidRPr="00A84954" w:rsidRDefault="00A84954" w:rsidP="00A84954">
            <w:pPr>
              <w:jc w:val="right"/>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8.036.062,63</w:t>
            </w:r>
          </w:p>
        </w:tc>
        <w:tc>
          <w:tcPr>
            <w:tcW w:w="840" w:type="pct"/>
            <w:tcBorders>
              <w:top w:val="nil"/>
              <w:left w:val="nil"/>
              <w:bottom w:val="single" w:sz="4" w:space="0" w:color="auto"/>
              <w:right w:val="single" w:sz="4" w:space="0" w:color="auto"/>
            </w:tcBorders>
            <w:shd w:val="clear" w:color="auto" w:fill="auto"/>
            <w:noWrap/>
            <w:vAlign w:val="bottom"/>
            <w:hideMark/>
          </w:tcPr>
          <w:p w:rsidR="00A84954" w:rsidRPr="00A84954" w:rsidRDefault="00A84954" w:rsidP="00A84954">
            <w:pPr>
              <w:jc w:val="right"/>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4.964.370,78</w:t>
            </w:r>
          </w:p>
        </w:tc>
      </w:tr>
      <w:tr w:rsidR="00A84954" w:rsidRPr="00A84954" w:rsidTr="00A84954">
        <w:trPr>
          <w:trHeight w:val="300"/>
        </w:trPr>
        <w:tc>
          <w:tcPr>
            <w:tcW w:w="2438" w:type="pct"/>
            <w:tcBorders>
              <w:top w:val="nil"/>
              <w:left w:val="single" w:sz="4" w:space="0" w:color="auto"/>
              <w:bottom w:val="single" w:sz="4" w:space="0" w:color="auto"/>
              <w:right w:val="nil"/>
            </w:tcBorders>
            <w:shd w:val="clear" w:color="auto" w:fill="auto"/>
            <w:noWrap/>
            <w:vAlign w:val="bottom"/>
            <w:hideMark/>
          </w:tcPr>
          <w:p w:rsidR="00A84954" w:rsidRPr="00A84954" w:rsidRDefault="00A84954" w:rsidP="00A84954">
            <w:pPr>
              <w:rPr>
                <w:rFonts w:ascii="Lucida Bright" w:hAnsi="Lucida Bright" w:cs="Calibri"/>
                <w:b/>
                <w:bCs/>
                <w:color w:val="000000"/>
                <w:sz w:val="14"/>
                <w:szCs w:val="14"/>
                <w:lang w:val="es-ES"/>
              </w:rPr>
            </w:pPr>
            <w:r w:rsidRPr="00A84954">
              <w:rPr>
                <w:rFonts w:ascii="Lucida Bright" w:hAnsi="Lucida Bright" w:cs="Calibri"/>
                <w:b/>
                <w:bCs/>
                <w:color w:val="000000"/>
                <w:sz w:val="14"/>
                <w:szCs w:val="14"/>
                <w:lang w:val="es-ES"/>
              </w:rPr>
              <w:t>Total</w:t>
            </w:r>
          </w:p>
        </w:tc>
        <w:tc>
          <w:tcPr>
            <w:tcW w:w="283" w:type="pct"/>
            <w:tcBorders>
              <w:top w:val="nil"/>
              <w:left w:val="nil"/>
              <w:bottom w:val="single" w:sz="4" w:space="0" w:color="auto"/>
              <w:right w:val="nil"/>
            </w:tcBorders>
            <w:shd w:val="clear" w:color="auto" w:fill="auto"/>
            <w:noWrap/>
            <w:vAlign w:val="bottom"/>
            <w:hideMark/>
          </w:tcPr>
          <w:p w:rsidR="00A84954" w:rsidRPr="00A84954" w:rsidRDefault="00A84954" w:rsidP="00A84954">
            <w:pPr>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 </w:t>
            </w:r>
          </w:p>
        </w:tc>
        <w:tc>
          <w:tcPr>
            <w:tcW w:w="283" w:type="pct"/>
            <w:tcBorders>
              <w:top w:val="nil"/>
              <w:left w:val="nil"/>
              <w:bottom w:val="single" w:sz="4" w:space="0" w:color="auto"/>
              <w:right w:val="nil"/>
            </w:tcBorders>
            <w:shd w:val="clear" w:color="auto" w:fill="auto"/>
            <w:noWrap/>
            <w:vAlign w:val="bottom"/>
            <w:hideMark/>
          </w:tcPr>
          <w:p w:rsidR="00A84954" w:rsidRPr="00A84954" w:rsidRDefault="00A84954" w:rsidP="00A84954">
            <w:pPr>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 </w:t>
            </w:r>
          </w:p>
        </w:tc>
        <w:tc>
          <w:tcPr>
            <w:tcW w:w="316" w:type="pct"/>
            <w:tcBorders>
              <w:top w:val="nil"/>
              <w:left w:val="nil"/>
              <w:bottom w:val="single" w:sz="4" w:space="0" w:color="auto"/>
              <w:right w:val="single" w:sz="4" w:space="0" w:color="auto"/>
            </w:tcBorders>
            <w:shd w:val="clear" w:color="auto" w:fill="auto"/>
            <w:noWrap/>
            <w:vAlign w:val="bottom"/>
            <w:hideMark/>
          </w:tcPr>
          <w:p w:rsidR="00A84954" w:rsidRPr="00A84954" w:rsidRDefault="00A84954" w:rsidP="00A84954">
            <w:pPr>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A84954" w:rsidRPr="00A84954" w:rsidRDefault="00A84954" w:rsidP="00A84954">
            <w:pPr>
              <w:jc w:val="right"/>
              <w:rPr>
                <w:rFonts w:ascii="Lucida Bright" w:hAnsi="Lucida Bright" w:cs="Calibri"/>
                <w:b/>
                <w:bCs/>
                <w:color w:val="000000"/>
                <w:sz w:val="14"/>
                <w:szCs w:val="14"/>
                <w:lang w:val="es-ES"/>
              </w:rPr>
            </w:pPr>
            <w:r w:rsidRPr="00A84954">
              <w:rPr>
                <w:rFonts w:ascii="Lucida Bright" w:hAnsi="Lucida Bright" w:cs="Calibri"/>
                <w:b/>
                <w:bCs/>
                <w:color w:val="000000"/>
                <w:sz w:val="14"/>
                <w:szCs w:val="14"/>
                <w:lang w:val="es-ES"/>
              </w:rPr>
              <w:t>8.092.213,85</w:t>
            </w:r>
          </w:p>
        </w:tc>
        <w:tc>
          <w:tcPr>
            <w:tcW w:w="840" w:type="pct"/>
            <w:tcBorders>
              <w:top w:val="nil"/>
              <w:left w:val="nil"/>
              <w:bottom w:val="single" w:sz="4" w:space="0" w:color="auto"/>
              <w:right w:val="single" w:sz="4" w:space="0" w:color="auto"/>
            </w:tcBorders>
            <w:shd w:val="clear" w:color="auto" w:fill="auto"/>
            <w:noWrap/>
            <w:vAlign w:val="bottom"/>
            <w:hideMark/>
          </w:tcPr>
          <w:p w:rsidR="00A84954" w:rsidRPr="00A84954" w:rsidRDefault="00A84954" w:rsidP="00A84954">
            <w:pPr>
              <w:jc w:val="right"/>
              <w:rPr>
                <w:rFonts w:ascii="Lucida Bright" w:hAnsi="Lucida Bright" w:cs="Calibri"/>
                <w:b/>
                <w:bCs/>
                <w:color w:val="000000"/>
                <w:sz w:val="14"/>
                <w:szCs w:val="14"/>
                <w:lang w:val="es-ES"/>
              </w:rPr>
            </w:pPr>
            <w:r w:rsidRPr="00A84954">
              <w:rPr>
                <w:rFonts w:ascii="Lucida Bright" w:hAnsi="Lucida Bright" w:cs="Calibri"/>
                <w:b/>
                <w:bCs/>
                <w:color w:val="000000"/>
                <w:sz w:val="14"/>
                <w:szCs w:val="14"/>
                <w:lang w:val="es-ES"/>
              </w:rPr>
              <w:t>4.996.788,79</w:t>
            </w:r>
          </w:p>
        </w:tc>
      </w:tr>
    </w:tbl>
    <w:p w:rsidR="00A05591" w:rsidRPr="00CB0A46" w:rsidRDefault="00A05591" w:rsidP="002019D4">
      <w:pPr>
        <w:tabs>
          <w:tab w:val="right" w:pos="8364"/>
        </w:tabs>
        <w:ind w:left="567"/>
        <w:jc w:val="both"/>
        <w:rPr>
          <w:rFonts w:ascii="NewBaskerville" w:hAnsi="NewBaskerville"/>
          <w:bCs/>
        </w:rPr>
      </w:pPr>
    </w:p>
    <w:p w:rsidR="00E70917" w:rsidRPr="00846803" w:rsidRDefault="00E70917" w:rsidP="0009572E">
      <w:pPr>
        <w:tabs>
          <w:tab w:val="right" w:pos="8364"/>
        </w:tabs>
        <w:jc w:val="both"/>
        <w:rPr>
          <w:bCs/>
        </w:rPr>
      </w:pPr>
    </w:p>
    <w:p w:rsidR="004A041C" w:rsidRPr="00EB4317" w:rsidRDefault="004A041C" w:rsidP="00DE5AD0">
      <w:pPr>
        <w:tabs>
          <w:tab w:val="right" w:pos="8364"/>
        </w:tabs>
        <w:jc w:val="both"/>
        <w:rPr>
          <w:bCs/>
        </w:rPr>
      </w:pPr>
    </w:p>
    <w:p w:rsidR="007D153C" w:rsidRDefault="007D153C" w:rsidP="002019D4">
      <w:pPr>
        <w:tabs>
          <w:tab w:val="right" w:pos="8364"/>
        </w:tabs>
        <w:ind w:left="567" w:hanging="567"/>
        <w:jc w:val="both"/>
        <w:rPr>
          <w:b/>
          <w:bCs/>
          <w:sz w:val="22"/>
        </w:rPr>
      </w:pPr>
    </w:p>
    <w:p w:rsidR="00EF6B46" w:rsidRPr="00B51BDD" w:rsidRDefault="002019D4" w:rsidP="002019D4">
      <w:pPr>
        <w:tabs>
          <w:tab w:val="right" w:pos="8364"/>
        </w:tabs>
        <w:ind w:left="567" w:hanging="567"/>
        <w:jc w:val="both"/>
        <w:rPr>
          <w:rFonts w:ascii="NewBaskerville" w:hAnsi="NewBaskerville"/>
          <w:b/>
          <w:bCs/>
          <w:sz w:val="22"/>
        </w:rPr>
      </w:pPr>
      <w:r w:rsidRPr="00B51BDD">
        <w:rPr>
          <w:rFonts w:ascii="NewBaskerville" w:hAnsi="NewBaskerville"/>
          <w:b/>
          <w:bCs/>
          <w:sz w:val="22"/>
        </w:rPr>
        <w:t xml:space="preserve">c) </w:t>
      </w:r>
      <w:r w:rsidR="00EF6B46" w:rsidRPr="00B51BDD">
        <w:rPr>
          <w:rFonts w:ascii="NewBaskerville" w:hAnsi="NewBaskerville"/>
          <w:b/>
          <w:bCs/>
          <w:sz w:val="22"/>
        </w:rPr>
        <w:t xml:space="preserve">Fondo de compensación Interportuario </w:t>
      </w:r>
      <w:r w:rsidR="00D54A29">
        <w:rPr>
          <w:rFonts w:ascii="NewBaskerville" w:hAnsi="NewBaskerville"/>
          <w:b/>
          <w:bCs/>
          <w:sz w:val="22"/>
        </w:rPr>
        <w:t>(F.C.I.)</w:t>
      </w:r>
    </w:p>
    <w:p w:rsidR="00130FA3" w:rsidRPr="00EB4317" w:rsidRDefault="00130FA3" w:rsidP="00130FA3">
      <w:pPr>
        <w:ind w:left="567"/>
        <w:jc w:val="both"/>
      </w:pPr>
    </w:p>
    <w:p w:rsidR="009941EF" w:rsidRPr="00B51BDD" w:rsidRDefault="005539B0" w:rsidP="005539B0">
      <w:pPr>
        <w:tabs>
          <w:tab w:val="left" w:pos="567"/>
          <w:tab w:val="right" w:pos="8364"/>
        </w:tabs>
        <w:jc w:val="both"/>
        <w:rPr>
          <w:rFonts w:ascii="NewBaskerville" w:hAnsi="NewBaskerville"/>
        </w:rPr>
      </w:pPr>
      <w:r w:rsidRPr="00B51BDD">
        <w:rPr>
          <w:rFonts w:ascii="NewBaskerville" w:hAnsi="NewBaskerville"/>
        </w:rPr>
        <w:tab/>
        <w:t>En el ejercicio 202</w:t>
      </w:r>
      <w:r w:rsidR="00A84954">
        <w:rPr>
          <w:rFonts w:ascii="NewBaskerville" w:hAnsi="NewBaskerville"/>
        </w:rPr>
        <w:t>4</w:t>
      </w:r>
      <w:r w:rsidRPr="00B51BDD">
        <w:rPr>
          <w:rFonts w:ascii="NewBaskerville" w:hAnsi="NewBaskerville"/>
        </w:rPr>
        <w:t xml:space="preserve"> se ha aportado </w:t>
      </w:r>
      <w:r w:rsidR="00D54A29">
        <w:rPr>
          <w:rFonts w:ascii="NewBaskerville" w:hAnsi="NewBaskerville"/>
        </w:rPr>
        <w:t>1.</w:t>
      </w:r>
      <w:r w:rsidR="00A84954">
        <w:rPr>
          <w:rFonts w:ascii="NewBaskerville" w:hAnsi="NewBaskerville"/>
        </w:rPr>
        <w:t>897</w:t>
      </w:r>
      <w:r w:rsidR="00D54A29">
        <w:rPr>
          <w:rFonts w:ascii="NewBaskerville" w:hAnsi="NewBaskerville"/>
        </w:rPr>
        <w:t>.000,00</w:t>
      </w:r>
      <w:r w:rsidR="00130FA3" w:rsidRPr="00B51BDD">
        <w:rPr>
          <w:rFonts w:ascii="NewBaskerville" w:hAnsi="NewBaskerville"/>
        </w:rPr>
        <w:t xml:space="preserve"> </w:t>
      </w:r>
      <w:r w:rsidRPr="00B51BDD">
        <w:t>€</w:t>
      </w:r>
      <w:r w:rsidRPr="00B51BDD">
        <w:rPr>
          <w:rFonts w:ascii="NewBaskerville" w:hAnsi="NewBaskerville"/>
        </w:rPr>
        <w:t xml:space="preserve"> al F.C.I. y se ha recibido </w:t>
      </w:r>
      <w:r w:rsidR="00D54A29">
        <w:rPr>
          <w:rFonts w:ascii="NewBaskerville" w:hAnsi="NewBaskerville"/>
        </w:rPr>
        <w:t>1.</w:t>
      </w:r>
      <w:r w:rsidR="00A84954">
        <w:rPr>
          <w:rFonts w:ascii="NewBaskerville" w:hAnsi="NewBaskerville"/>
        </w:rPr>
        <w:t>346</w:t>
      </w:r>
      <w:r w:rsidRPr="00B51BDD">
        <w:rPr>
          <w:rFonts w:ascii="NewBaskerville" w:hAnsi="NewBaskerville"/>
        </w:rPr>
        <w:t>.000</w:t>
      </w:r>
      <w:r w:rsidR="00D54A29">
        <w:rPr>
          <w:rFonts w:ascii="NewBaskerville" w:hAnsi="NewBaskerville"/>
        </w:rPr>
        <w:t>,00</w:t>
      </w:r>
      <w:r w:rsidRPr="00B51BDD">
        <w:rPr>
          <w:rFonts w:ascii="NewBaskerville" w:hAnsi="NewBaskerville"/>
        </w:rPr>
        <w:t xml:space="preserve"> </w:t>
      </w:r>
      <w:r w:rsidRPr="00B51BDD">
        <w:t>€</w:t>
      </w:r>
      <w:r w:rsidRPr="00B51BDD">
        <w:rPr>
          <w:rFonts w:ascii="NewBaskerville" w:hAnsi="NewBaskerville"/>
        </w:rPr>
        <w:t>.</w:t>
      </w:r>
      <w:r w:rsidR="00D54A29">
        <w:rPr>
          <w:rFonts w:ascii="NewBaskerville" w:hAnsi="NewBaskerville"/>
        </w:rPr>
        <w:t xml:space="preserve"> </w:t>
      </w:r>
      <w:r w:rsidR="00130FA3" w:rsidRPr="00B51BDD">
        <w:rPr>
          <w:rFonts w:ascii="NewBaskerville" w:hAnsi="NewBaskerville"/>
        </w:rPr>
        <w:t>En el ejerci</w:t>
      </w:r>
      <w:r w:rsidR="003131F1" w:rsidRPr="00B51BDD">
        <w:rPr>
          <w:rFonts w:ascii="NewBaskerville" w:hAnsi="NewBaskerville"/>
        </w:rPr>
        <w:t>ci</w:t>
      </w:r>
      <w:r w:rsidR="00021A30">
        <w:rPr>
          <w:rFonts w:ascii="NewBaskerville" w:hAnsi="NewBaskerville"/>
        </w:rPr>
        <w:t>o 202</w:t>
      </w:r>
      <w:r w:rsidR="00A84954">
        <w:rPr>
          <w:rFonts w:ascii="NewBaskerville" w:hAnsi="NewBaskerville"/>
        </w:rPr>
        <w:t>3</w:t>
      </w:r>
      <w:r w:rsidRPr="00B51BDD">
        <w:rPr>
          <w:rFonts w:ascii="NewBaskerville" w:hAnsi="NewBaskerville"/>
        </w:rPr>
        <w:t xml:space="preserve"> se aportó</w:t>
      </w:r>
      <w:r w:rsidR="00130FA3" w:rsidRPr="00B51BDD">
        <w:rPr>
          <w:rFonts w:ascii="NewBaskerville" w:hAnsi="NewBaskerville"/>
        </w:rPr>
        <w:t xml:space="preserve"> </w:t>
      </w:r>
      <w:r w:rsidR="00021A30">
        <w:rPr>
          <w:rFonts w:ascii="NewBaskerville" w:hAnsi="NewBaskerville"/>
        </w:rPr>
        <w:t>1.</w:t>
      </w:r>
      <w:r w:rsidR="00A84954">
        <w:rPr>
          <w:rFonts w:ascii="NewBaskerville" w:hAnsi="NewBaskerville"/>
        </w:rPr>
        <w:t>458</w:t>
      </w:r>
      <w:r w:rsidR="0053692E" w:rsidRPr="00B51BDD">
        <w:rPr>
          <w:rFonts w:ascii="NewBaskerville" w:hAnsi="NewBaskerville"/>
        </w:rPr>
        <w:t>.000</w:t>
      </w:r>
      <w:r w:rsidR="00D54A29">
        <w:rPr>
          <w:rFonts w:ascii="NewBaskerville" w:hAnsi="NewBaskerville"/>
        </w:rPr>
        <w:t>,00</w:t>
      </w:r>
      <w:r w:rsidRPr="00B51BDD">
        <w:rPr>
          <w:rFonts w:ascii="NewBaskerville" w:hAnsi="NewBaskerville"/>
        </w:rPr>
        <w:t xml:space="preserve"> </w:t>
      </w:r>
      <w:r w:rsidRPr="00B51BDD">
        <w:t>€</w:t>
      </w:r>
      <w:r w:rsidRPr="00B51BDD">
        <w:rPr>
          <w:rFonts w:ascii="NewBaskerville" w:hAnsi="NewBaskerville"/>
        </w:rPr>
        <w:t xml:space="preserve"> al F.C.I. y se recibi</w:t>
      </w:r>
      <w:r w:rsidR="00AE1189">
        <w:rPr>
          <w:rFonts w:ascii="NewBaskerville" w:hAnsi="NewBaskerville"/>
        </w:rPr>
        <w:t>ó</w:t>
      </w:r>
      <w:r w:rsidR="007D7867" w:rsidRPr="00B51BDD">
        <w:rPr>
          <w:rFonts w:ascii="NewBaskerville" w:hAnsi="NewBaskerville"/>
        </w:rPr>
        <w:t xml:space="preserve"> </w:t>
      </w:r>
      <w:r w:rsidR="00021A30">
        <w:rPr>
          <w:rFonts w:ascii="NewBaskerville" w:hAnsi="NewBaskerville"/>
        </w:rPr>
        <w:t>1.</w:t>
      </w:r>
      <w:r w:rsidR="00A84954">
        <w:rPr>
          <w:rFonts w:ascii="NewBaskerville" w:hAnsi="NewBaskerville"/>
        </w:rPr>
        <w:t>432</w:t>
      </w:r>
      <w:r w:rsidR="0053692E" w:rsidRPr="00B51BDD">
        <w:rPr>
          <w:rFonts w:ascii="NewBaskerville" w:hAnsi="NewBaskerville"/>
        </w:rPr>
        <w:t>.000</w:t>
      </w:r>
      <w:r w:rsidR="00D54A29">
        <w:rPr>
          <w:rFonts w:ascii="NewBaskerville" w:hAnsi="NewBaskerville"/>
        </w:rPr>
        <w:t>,00</w:t>
      </w:r>
      <w:r w:rsidR="00100DA5" w:rsidRPr="00B51BDD">
        <w:rPr>
          <w:rFonts w:ascii="NewBaskerville" w:hAnsi="NewBaskerville"/>
        </w:rPr>
        <w:t xml:space="preserve"> </w:t>
      </w:r>
      <w:r w:rsidR="00D40231" w:rsidRPr="00B51BDD">
        <w:t>€</w:t>
      </w:r>
      <w:r w:rsidR="00D40231" w:rsidRPr="00B51BDD">
        <w:rPr>
          <w:rFonts w:ascii="NewBaskerville" w:hAnsi="NewBaskerville"/>
        </w:rPr>
        <w:t xml:space="preserve">. </w:t>
      </w:r>
    </w:p>
    <w:p w:rsidR="00605444" w:rsidRPr="00EB4317" w:rsidRDefault="00605444" w:rsidP="004B5382">
      <w:pPr>
        <w:tabs>
          <w:tab w:val="right" w:pos="8364"/>
        </w:tabs>
        <w:jc w:val="both"/>
        <w:rPr>
          <w:b/>
          <w:bCs/>
        </w:rPr>
      </w:pPr>
    </w:p>
    <w:p w:rsidR="008A1987" w:rsidRPr="00EB4317" w:rsidRDefault="008A1987" w:rsidP="00EF6B46">
      <w:pPr>
        <w:tabs>
          <w:tab w:val="right" w:pos="8364"/>
        </w:tabs>
        <w:ind w:left="567" w:hanging="567"/>
        <w:jc w:val="both"/>
        <w:rPr>
          <w:b/>
          <w:bCs/>
        </w:rPr>
      </w:pPr>
    </w:p>
    <w:p w:rsidR="002D2A8D" w:rsidRDefault="002D2A8D" w:rsidP="00EF6B46">
      <w:pPr>
        <w:tabs>
          <w:tab w:val="right" w:pos="8364"/>
        </w:tabs>
        <w:ind w:left="567" w:hanging="567"/>
        <w:jc w:val="both"/>
        <w:rPr>
          <w:b/>
          <w:bCs/>
        </w:rPr>
      </w:pPr>
    </w:p>
    <w:p w:rsidR="00EF6B46" w:rsidRPr="00D54A29" w:rsidRDefault="00EF6B46" w:rsidP="00EF6B46">
      <w:pPr>
        <w:tabs>
          <w:tab w:val="right" w:pos="8364"/>
        </w:tabs>
        <w:ind w:left="567" w:hanging="567"/>
        <w:jc w:val="both"/>
        <w:rPr>
          <w:rFonts w:ascii="NewBaskerville" w:hAnsi="NewBaskerville"/>
          <w:b/>
          <w:bCs/>
          <w:sz w:val="24"/>
          <w:szCs w:val="24"/>
        </w:rPr>
      </w:pPr>
      <w:r w:rsidRPr="00D54A29">
        <w:rPr>
          <w:rFonts w:ascii="NewBaskerville" w:hAnsi="NewBaskerville"/>
          <w:b/>
          <w:bCs/>
          <w:sz w:val="24"/>
          <w:szCs w:val="24"/>
        </w:rPr>
        <w:t>1</w:t>
      </w:r>
      <w:r w:rsidR="00A00693" w:rsidRPr="00D54A29">
        <w:rPr>
          <w:rFonts w:ascii="NewBaskerville" w:hAnsi="NewBaskerville"/>
          <w:b/>
          <w:bCs/>
          <w:sz w:val="24"/>
          <w:szCs w:val="24"/>
        </w:rPr>
        <w:t>5</w:t>
      </w:r>
      <w:r w:rsidR="002019D4" w:rsidRPr="00D54A29">
        <w:rPr>
          <w:rFonts w:ascii="NewBaskerville" w:hAnsi="NewBaskerville"/>
          <w:b/>
          <w:bCs/>
          <w:sz w:val="24"/>
          <w:szCs w:val="24"/>
        </w:rPr>
        <w:t xml:space="preserve">. </w:t>
      </w:r>
      <w:r w:rsidRPr="00D54A29">
        <w:rPr>
          <w:rFonts w:ascii="NewBaskerville" w:hAnsi="NewBaskerville"/>
          <w:b/>
          <w:bCs/>
          <w:sz w:val="24"/>
          <w:szCs w:val="24"/>
        </w:rPr>
        <w:t>Detalle de la cifra de negocios de los puertos que pertenecen a esta Autoridad Portuaria</w:t>
      </w:r>
    </w:p>
    <w:p w:rsidR="00E70917" w:rsidRDefault="00E70917" w:rsidP="00EF6B46">
      <w:pPr>
        <w:tabs>
          <w:tab w:val="right" w:pos="8364"/>
        </w:tabs>
        <w:ind w:left="567" w:hanging="567"/>
        <w:jc w:val="both"/>
        <w:rPr>
          <w:b/>
          <w:bCs/>
        </w:rPr>
      </w:pPr>
    </w:p>
    <w:tbl>
      <w:tblPr>
        <w:tblW w:w="5000" w:type="pct"/>
        <w:tblCellMar>
          <w:left w:w="70" w:type="dxa"/>
          <w:right w:w="70" w:type="dxa"/>
        </w:tblCellMar>
        <w:tblLook w:val="04A0" w:firstRow="1" w:lastRow="0" w:firstColumn="1" w:lastColumn="0" w:noHBand="0" w:noVBand="1"/>
      </w:tblPr>
      <w:tblGrid>
        <w:gridCol w:w="1489"/>
        <w:gridCol w:w="1489"/>
        <w:gridCol w:w="1489"/>
        <w:gridCol w:w="1018"/>
        <w:gridCol w:w="1934"/>
        <w:gridCol w:w="1934"/>
      </w:tblGrid>
      <w:tr w:rsidR="00A84954" w:rsidRPr="00A84954" w:rsidTr="00A84954">
        <w:trPr>
          <w:trHeight w:val="300"/>
        </w:trPr>
        <w:tc>
          <w:tcPr>
            <w:tcW w:w="796" w:type="pct"/>
            <w:tcBorders>
              <w:top w:val="nil"/>
              <w:left w:val="nil"/>
              <w:bottom w:val="nil"/>
              <w:right w:val="nil"/>
            </w:tcBorders>
            <w:shd w:val="clear" w:color="auto" w:fill="auto"/>
            <w:noWrap/>
            <w:vAlign w:val="bottom"/>
            <w:hideMark/>
          </w:tcPr>
          <w:p w:rsidR="00A84954" w:rsidRPr="00A84954" w:rsidRDefault="00A84954" w:rsidP="00A84954">
            <w:pPr>
              <w:rPr>
                <w:rFonts w:ascii="Calibri" w:hAnsi="Calibri" w:cs="Calibri"/>
                <w:color w:val="000000"/>
                <w:sz w:val="22"/>
                <w:szCs w:val="22"/>
                <w:lang w:val="es-ES"/>
              </w:rPr>
            </w:pPr>
          </w:p>
        </w:tc>
        <w:tc>
          <w:tcPr>
            <w:tcW w:w="796" w:type="pct"/>
            <w:tcBorders>
              <w:top w:val="nil"/>
              <w:left w:val="nil"/>
              <w:bottom w:val="nil"/>
              <w:right w:val="nil"/>
            </w:tcBorders>
            <w:shd w:val="clear" w:color="auto" w:fill="auto"/>
            <w:noWrap/>
            <w:vAlign w:val="bottom"/>
            <w:hideMark/>
          </w:tcPr>
          <w:p w:rsidR="00A84954" w:rsidRPr="00A84954" w:rsidRDefault="00A84954" w:rsidP="00A84954">
            <w:pPr>
              <w:rPr>
                <w:rFonts w:ascii="Calibri" w:hAnsi="Calibri" w:cs="Calibri"/>
                <w:color w:val="000000"/>
                <w:sz w:val="22"/>
                <w:szCs w:val="22"/>
                <w:lang w:val="es-ES"/>
              </w:rPr>
            </w:pPr>
          </w:p>
        </w:tc>
        <w:tc>
          <w:tcPr>
            <w:tcW w:w="796" w:type="pct"/>
            <w:tcBorders>
              <w:top w:val="nil"/>
              <w:left w:val="nil"/>
              <w:bottom w:val="nil"/>
              <w:right w:val="nil"/>
            </w:tcBorders>
            <w:shd w:val="clear" w:color="auto" w:fill="auto"/>
            <w:noWrap/>
            <w:vAlign w:val="bottom"/>
            <w:hideMark/>
          </w:tcPr>
          <w:p w:rsidR="00A84954" w:rsidRPr="00A84954" w:rsidRDefault="00A84954" w:rsidP="00A84954">
            <w:pPr>
              <w:rPr>
                <w:rFonts w:ascii="Calibri" w:hAnsi="Calibri" w:cs="Calibri"/>
                <w:color w:val="000000"/>
                <w:sz w:val="22"/>
                <w:szCs w:val="22"/>
                <w:lang w:val="es-ES"/>
              </w:rPr>
            </w:pPr>
          </w:p>
        </w:tc>
        <w:tc>
          <w:tcPr>
            <w:tcW w:w="544" w:type="pct"/>
            <w:tcBorders>
              <w:top w:val="nil"/>
              <w:left w:val="nil"/>
              <w:bottom w:val="nil"/>
              <w:right w:val="nil"/>
            </w:tcBorders>
            <w:shd w:val="clear" w:color="auto" w:fill="auto"/>
            <w:noWrap/>
            <w:vAlign w:val="bottom"/>
            <w:hideMark/>
          </w:tcPr>
          <w:p w:rsidR="00A84954" w:rsidRPr="00A84954" w:rsidRDefault="00A84954" w:rsidP="00A84954">
            <w:pPr>
              <w:rPr>
                <w:rFonts w:ascii="Calibri" w:hAnsi="Calibri" w:cs="Calibri"/>
                <w:color w:val="000000"/>
                <w:sz w:val="22"/>
                <w:szCs w:val="22"/>
                <w:lang w:val="es-ES"/>
              </w:rPr>
            </w:pPr>
          </w:p>
        </w:tc>
        <w:tc>
          <w:tcPr>
            <w:tcW w:w="2069" w:type="pct"/>
            <w:gridSpan w:val="2"/>
            <w:tcBorders>
              <w:top w:val="single" w:sz="4" w:space="0" w:color="auto"/>
              <w:left w:val="single" w:sz="4" w:space="0" w:color="auto"/>
              <w:bottom w:val="single" w:sz="4" w:space="0" w:color="auto"/>
              <w:right w:val="single" w:sz="4" w:space="0" w:color="000000"/>
            </w:tcBorders>
            <w:shd w:val="clear" w:color="000000" w:fill="CCFFCC"/>
            <w:vAlign w:val="bottom"/>
            <w:hideMark/>
          </w:tcPr>
          <w:p w:rsidR="00A84954" w:rsidRPr="00A84954" w:rsidRDefault="00A84954" w:rsidP="00A84954">
            <w:pPr>
              <w:jc w:val="center"/>
              <w:rPr>
                <w:rFonts w:ascii="Lucida Bright" w:hAnsi="Lucida Bright" w:cs="Calibri"/>
                <w:b/>
                <w:bCs/>
                <w:color w:val="000000"/>
                <w:sz w:val="14"/>
                <w:szCs w:val="14"/>
                <w:lang w:val="es-ES"/>
              </w:rPr>
            </w:pPr>
            <w:r w:rsidRPr="00A84954">
              <w:rPr>
                <w:rFonts w:ascii="Lucida Bright" w:hAnsi="Lucida Bright" w:cs="Calibri"/>
                <w:b/>
                <w:bCs/>
                <w:color w:val="000000"/>
                <w:sz w:val="14"/>
                <w:szCs w:val="14"/>
                <w:lang w:val="es-ES"/>
              </w:rPr>
              <w:t>Importe Neto de la Cifra de Negocios</w:t>
            </w:r>
          </w:p>
        </w:tc>
      </w:tr>
      <w:tr w:rsidR="00A84954" w:rsidRPr="00A84954" w:rsidTr="00A84954">
        <w:trPr>
          <w:trHeight w:val="300"/>
        </w:trPr>
        <w:tc>
          <w:tcPr>
            <w:tcW w:w="2931" w:type="pct"/>
            <w:gridSpan w:val="4"/>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A84954" w:rsidRPr="00A84954" w:rsidRDefault="00A84954" w:rsidP="00A84954">
            <w:pPr>
              <w:jc w:val="center"/>
              <w:rPr>
                <w:rFonts w:ascii="Lucida Bright" w:hAnsi="Lucida Bright" w:cs="Calibri"/>
                <w:b/>
                <w:bCs/>
                <w:color w:val="000000"/>
                <w:sz w:val="14"/>
                <w:szCs w:val="14"/>
                <w:lang w:val="es-ES"/>
              </w:rPr>
            </w:pPr>
            <w:r w:rsidRPr="00A84954">
              <w:rPr>
                <w:rFonts w:ascii="Lucida Bright" w:hAnsi="Lucida Bright" w:cs="Calibri"/>
                <w:b/>
                <w:bCs/>
                <w:color w:val="000000"/>
                <w:sz w:val="14"/>
                <w:szCs w:val="14"/>
                <w:lang w:val="es-ES"/>
              </w:rPr>
              <w:t>Puertos</w:t>
            </w:r>
          </w:p>
        </w:tc>
        <w:tc>
          <w:tcPr>
            <w:tcW w:w="1034" w:type="pct"/>
            <w:tcBorders>
              <w:top w:val="nil"/>
              <w:left w:val="nil"/>
              <w:bottom w:val="single" w:sz="4" w:space="0" w:color="auto"/>
              <w:right w:val="single" w:sz="4" w:space="0" w:color="auto"/>
            </w:tcBorders>
            <w:shd w:val="clear" w:color="000000" w:fill="CCFFCC"/>
            <w:noWrap/>
            <w:vAlign w:val="bottom"/>
            <w:hideMark/>
          </w:tcPr>
          <w:p w:rsidR="00A84954" w:rsidRPr="00A84954" w:rsidRDefault="00A84954" w:rsidP="00A84954">
            <w:pPr>
              <w:jc w:val="center"/>
              <w:rPr>
                <w:rFonts w:ascii="Lucida Bright" w:hAnsi="Lucida Bright" w:cs="Calibri"/>
                <w:b/>
                <w:bCs/>
                <w:color w:val="000000"/>
                <w:sz w:val="14"/>
                <w:szCs w:val="14"/>
                <w:lang w:val="es-ES"/>
              </w:rPr>
            </w:pPr>
            <w:r w:rsidRPr="00A84954">
              <w:rPr>
                <w:rFonts w:ascii="Lucida Bright" w:hAnsi="Lucida Bright" w:cs="Calibri"/>
                <w:b/>
                <w:bCs/>
                <w:color w:val="000000"/>
                <w:sz w:val="14"/>
                <w:szCs w:val="14"/>
                <w:lang w:val="es-ES"/>
              </w:rPr>
              <w:t>2024</w:t>
            </w:r>
          </w:p>
        </w:tc>
        <w:tc>
          <w:tcPr>
            <w:tcW w:w="1034" w:type="pct"/>
            <w:tcBorders>
              <w:top w:val="nil"/>
              <w:left w:val="nil"/>
              <w:bottom w:val="single" w:sz="4" w:space="0" w:color="auto"/>
              <w:right w:val="single" w:sz="4" w:space="0" w:color="auto"/>
            </w:tcBorders>
            <w:shd w:val="clear" w:color="000000" w:fill="CCFFCC"/>
            <w:noWrap/>
            <w:vAlign w:val="bottom"/>
            <w:hideMark/>
          </w:tcPr>
          <w:p w:rsidR="00A84954" w:rsidRPr="00A84954" w:rsidRDefault="00A84954" w:rsidP="00A84954">
            <w:pPr>
              <w:jc w:val="center"/>
              <w:rPr>
                <w:rFonts w:ascii="Lucida Bright" w:hAnsi="Lucida Bright" w:cs="Calibri"/>
                <w:b/>
                <w:bCs/>
                <w:color w:val="000000"/>
                <w:sz w:val="14"/>
                <w:szCs w:val="14"/>
                <w:lang w:val="es-ES"/>
              </w:rPr>
            </w:pPr>
            <w:r w:rsidRPr="00A84954">
              <w:rPr>
                <w:rFonts w:ascii="Lucida Bright" w:hAnsi="Lucida Bright" w:cs="Calibri"/>
                <w:b/>
                <w:bCs/>
                <w:color w:val="000000"/>
                <w:sz w:val="14"/>
                <w:szCs w:val="14"/>
                <w:lang w:val="es-ES"/>
              </w:rPr>
              <w:t>2023</w:t>
            </w:r>
          </w:p>
        </w:tc>
      </w:tr>
      <w:tr w:rsidR="00A84954" w:rsidRPr="00A84954" w:rsidTr="00A84954">
        <w:trPr>
          <w:trHeight w:val="300"/>
        </w:trPr>
        <w:tc>
          <w:tcPr>
            <w:tcW w:w="2931"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4954" w:rsidRPr="00A84954" w:rsidRDefault="00A84954" w:rsidP="00A84954">
            <w:pPr>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Puerto de Palma</w:t>
            </w:r>
          </w:p>
        </w:tc>
        <w:tc>
          <w:tcPr>
            <w:tcW w:w="1034" w:type="pct"/>
            <w:tcBorders>
              <w:top w:val="nil"/>
              <w:left w:val="nil"/>
              <w:bottom w:val="single" w:sz="4" w:space="0" w:color="auto"/>
              <w:right w:val="single" w:sz="4" w:space="0" w:color="auto"/>
            </w:tcBorders>
            <w:shd w:val="clear" w:color="auto" w:fill="auto"/>
            <w:noWrap/>
            <w:vAlign w:val="bottom"/>
            <w:hideMark/>
          </w:tcPr>
          <w:p w:rsidR="00A84954" w:rsidRPr="00A84954" w:rsidRDefault="00A84954" w:rsidP="00A84954">
            <w:pPr>
              <w:jc w:val="right"/>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58.568.470,15</w:t>
            </w:r>
          </w:p>
        </w:tc>
        <w:tc>
          <w:tcPr>
            <w:tcW w:w="1034" w:type="pct"/>
            <w:tcBorders>
              <w:top w:val="nil"/>
              <w:left w:val="nil"/>
              <w:bottom w:val="single" w:sz="4" w:space="0" w:color="auto"/>
              <w:right w:val="single" w:sz="4" w:space="0" w:color="auto"/>
            </w:tcBorders>
            <w:shd w:val="clear" w:color="auto" w:fill="auto"/>
            <w:noWrap/>
            <w:vAlign w:val="bottom"/>
            <w:hideMark/>
          </w:tcPr>
          <w:p w:rsidR="00A84954" w:rsidRPr="00A84954" w:rsidRDefault="00A84954" w:rsidP="00A84954">
            <w:pPr>
              <w:jc w:val="right"/>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55.073.570,75</w:t>
            </w:r>
          </w:p>
        </w:tc>
      </w:tr>
      <w:tr w:rsidR="00A84954" w:rsidRPr="00A84954" w:rsidTr="00A84954">
        <w:trPr>
          <w:trHeight w:val="300"/>
        </w:trPr>
        <w:tc>
          <w:tcPr>
            <w:tcW w:w="2931"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4954" w:rsidRPr="00A84954" w:rsidRDefault="00A84954" w:rsidP="00A84954">
            <w:pPr>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Puerto de Eivissa - Ibiza</w:t>
            </w:r>
          </w:p>
        </w:tc>
        <w:tc>
          <w:tcPr>
            <w:tcW w:w="1034" w:type="pct"/>
            <w:tcBorders>
              <w:top w:val="nil"/>
              <w:left w:val="nil"/>
              <w:bottom w:val="single" w:sz="4" w:space="0" w:color="auto"/>
              <w:right w:val="single" w:sz="4" w:space="0" w:color="auto"/>
            </w:tcBorders>
            <w:shd w:val="clear" w:color="auto" w:fill="auto"/>
            <w:noWrap/>
            <w:vAlign w:val="bottom"/>
            <w:hideMark/>
          </w:tcPr>
          <w:p w:rsidR="00A84954" w:rsidRPr="00A84954" w:rsidRDefault="00A84954" w:rsidP="00A84954">
            <w:pPr>
              <w:jc w:val="right"/>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34.709.618,68</w:t>
            </w:r>
          </w:p>
        </w:tc>
        <w:tc>
          <w:tcPr>
            <w:tcW w:w="1034" w:type="pct"/>
            <w:tcBorders>
              <w:top w:val="nil"/>
              <w:left w:val="nil"/>
              <w:bottom w:val="single" w:sz="4" w:space="0" w:color="auto"/>
              <w:right w:val="single" w:sz="4" w:space="0" w:color="auto"/>
            </w:tcBorders>
            <w:shd w:val="clear" w:color="auto" w:fill="auto"/>
            <w:noWrap/>
            <w:vAlign w:val="bottom"/>
            <w:hideMark/>
          </w:tcPr>
          <w:p w:rsidR="00A84954" w:rsidRPr="00A84954" w:rsidRDefault="00A84954" w:rsidP="00A84954">
            <w:pPr>
              <w:jc w:val="right"/>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33.865.117,63</w:t>
            </w:r>
          </w:p>
        </w:tc>
      </w:tr>
      <w:tr w:rsidR="00A84954" w:rsidRPr="00A84954" w:rsidTr="00A84954">
        <w:trPr>
          <w:trHeight w:val="300"/>
        </w:trPr>
        <w:tc>
          <w:tcPr>
            <w:tcW w:w="2931"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4954" w:rsidRPr="00A84954" w:rsidRDefault="00A84954" w:rsidP="00A84954">
            <w:pPr>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Puerto de La Savina</w:t>
            </w:r>
          </w:p>
        </w:tc>
        <w:tc>
          <w:tcPr>
            <w:tcW w:w="1034" w:type="pct"/>
            <w:tcBorders>
              <w:top w:val="nil"/>
              <w:left w:val="nil"/>
              <w:bottom w:val="single" w:sz="4" w:space="0" w:color="auto"/>
              <w:right w:val="single" w:sz="4" w:space="0" w:color="auto"/>
            </w:tcBorders>
            <w:shd w:val="clear" w:color="auto" w:fill="auto"/>
            <w:noWrap/>
            <w:vAlign w:val="bottom"/>
            <w:hideMark/>
          </w:tcPr>
          <w:p w:rsidR="00A84954" w:rsidRPr="00A84954" w:rsidRDefault="00A84954" w:rsidP="00A84954">
            <w:pPr>
              <w:jc w:val="right"/>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5.927.652,16</w:t>
            </w:r>
          </w:p>
        </w:tc>
        <w:tc>
          <w:tcPr>
            <w:tcW w:w="1034" w:type="pct"/>
            <w:tcBorders>
              <w:top w:val="nil"/>
              <w:left w:val="nil"/>
              <w:bottom w:val="single" w:sz="4" w:space="0" w:color="auto"/>
              <w:right w:val="single" w:sz="4" w:space="0" w:color="auto"/>
            </w:tcBorders>
            <w:shd w:val="clear" w:color="auto" w:fill="auto"/>
            <w:noWrap/>
            <w:vAlign w:val="bottom"/>
            <w:hideMark/>
          </w:tcPr>
          <w:p w:rsidR="00A84954" w:rsidRPr="00A84954" w:rsidRDefault="00A84954" w:rsidP="00A84954">
            <w:pPr>
              <w:jc w:val="right"/>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4.672.808,25</w:t>
            </w:r>
          </w:p>
        </w:tc>
      </w:tr>
      <w:tr w:rsidR="00A84954" w:rsidRPr="00A84954" w:rsidTr="00A84954">
        <w:trPr>
          <w:trHeight w:val="300"/>
        </w:trPr>
        <w:tc>
          <w:tcPr>
            <w:tcW w:w="2931"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4954" w:rsidRPr="00A84954" w:rsidRDefault="00A84954" w:rsidP="00A84954">
            <w:pPr>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Puerto de Maó - Mahón</w:t>
            </w:r>
          </w:p>
        </w:tc>
        <w:tc>
          <w:tcPr>
            <w:tcW w:w="1034" w:type="pct"/>
            <w:tcBorders>
              <w:top w:val="nil"/>
              <w:left w:val="nil"/>
              <w:bottom w:val="single" w:sz="4" w:space="0" w:color="auto"/>
              <w:right w:val="single" w:sz="4" w:space="0" w:color="auto"/>
            </w:tcBorders>
            <w:shd w:val="clear" w:color="auto" w:fill="auto"/>
            <w:noWrap/>
            <w:vAlign w:val="bottom"/>
            <w:hideMark/>
          </w:tcPr>
          <w:p w:rsidR="00A84954" w:rsidRPr="00A84954" w:rsidRDefault="00A84954" w:rsidP="00A84954">
            <w:pPr>
              <w:jc w:val="right"/>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5.960.606,87</w:t>
            </w:r>
          </w:p>
        </w:tc>
        <w:tc>
          <w:tcPr>
            <w:tcW w:w="1034" w:type="pct"/>
            <w:tcBorders>
              <w:top w:val="nil"/>
              <w:left w:val="nil"/>
              <w:bottom w:val="single" w:sz="4" w:space="0" w:color="auto"/>
              <w:right w:val="single" w:sz="4" w:space="0" w:color="auto"/>
            </w:tcBorders>
            <w:shd w:val="clear" w:color="auto" w:fill="auto"/>
            <w:noWrap/>
            <w:vAlign w:val="bottom"/>
            <w:hideMark/>
          </w:tcPr>
          <w:p w:rsidR="00A84954" w:rsidRPr="00A84954" w:rsidRDefault="00A84954" w:rsidP="00A84954">
            <w:pPr>
              <w:jc w:val="right"/>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4.998.525,36</w:t>
            </w:r>
          </w:p>
        </w:tc>
      </w:tr>
      <w:tr w:rsidR="00A84954" w:rsidRPr="00A84954" w:rsidTr="00A84954">
        <w:trPr>
          <w:trHeight w:val="300"/>
        </w:trPr>
        <w:tc>
          <w:tcPr>
            <w:tcW w:w="2931"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4954" w:rsidRPr="00A84954" w:rsidRDefault="00A84954" w:rsidP="00A84954">
            <w:pPr>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Puerto de Alcúdia</w:t>
            </w:r>
          </w:p>
        </w:tc>
        <w:tc>
          <w:tcPr>
            <w:tcW w:w="1034" w:type="pct"/>
            <w:tcBorders>
              <w:top w:val="nil"/>
              <w:left w:val="nil"/>
              <w:bottom w:val="single" w:sz="4" w:space="0" w:color="auto"/>
              <w:right w:val="single" w:sz="4" w:space="0" w:color="auto"/>
            </w:tcBorders>
            <w:shd w:val="clear" w:color="auto" w:fill="auto"/>
            <w:noWrap/>
            <w:vAlign w:val="bottom"/>
            <w:hideMark/>
          </w:tcPr>
          <w:p w:rsidR="00A84954" w:rsidRPr="00A84954" w:rsidRDefault="00A84954" w:rsidP="00A84954">
            <w:pPr>
              <w:jc w:val="right"/>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6.475.766,79</w:t>
            </w:r>
          </w:p>
        </w:tc>
        <w:tc>
          <w:tcPr>
            <w:tcW w:w="1034" w:type="pct"/>
            <w:tcBorders>
              <w:top w:val="nil"/>
              <w:left w:val="nil"/>
              <w:bottom w:val="single" w:sz="4" w:space="0" w:color="auto"/>
              <w:right w:val="single" w:sz="4" w:space="0" w:color="auto"/>
            </w:tcBorders>
            <w:shd w:val="clear" w:color="auto" w:fill="auto"/>
            <w:noWrap/>
            <w:vAlign w:val="bottom"/>
            <w:hideMark/>
          </w:tcPr>
          <w:p w:rsidR="00A84954" w:rsidRPr="00A84954" w:rsidRDefault="00A84954" w:rsidP="00A84954">
            <w:pPr>
              <w:jc w:val="right"/>
              <w:rPr>
                <w:rFonts w:ascii="Lucida Bright" w:hAnsi="Lucida Bright" w:cs="Calibri"/>
                <w:color w:val="000000"/>
                <w:sz w:val="14"/>
                <w:szCs w:val="14"/>
                <w:lang w:val="es-ES"/>
              </w:rPr>
            </w:pPr>
            <w:r w:rsidRPr="00A84954">
              <w:rPr>
                <w:rFonts w:ascii="Lucida Bright" w:hAnsi="Lucida Bright" w:cs="Calibri"/>
                <w:color w:val="000000"/>
                <w:sz w:val="14"/>
                <w:szCs w:val="14"/>
                <w:lang w:val="es-ES"/>
              </w:rPr>
              <w:t>6.570.075,72</w:t>
            </w:r>
          </w:p>
        </w:tc>
      </w:tr>
      <w:tr w:rsidR="00A84954" w:rsidRPr="00A84954" w:rsidTr="00A84954">
        <w:trPr>
          <w:trHeight w:val="300"/>
        </w:trPr>
        <w:tc>
          <w:tcPr>
            <w:tcW w:w="2931"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4954" w:rsidRPr="00A84954" w:rsidRDefault="00A84954" w:rsidP="00A84954">
            <w:pPr>
              <w:rPr>
                <w:rFonts w:ascii="Lucida Bright" w:hAnsi="Lucida Bright" w:cs="Calibri"/>
                <w:b/>
                <w:bCs/>
                <w:color w:val="000000"/>
                <w:sz w:val="14"/>
                <w:szCs w:val="14"/>
                <w:lang w:val="es-ES"/>
              </w:rPr>
            </w:pPr>
            <w:r w:rsidRPr="00A84954">
              <w:rPr>
                <w:rFonts w:ascii="Lucida Bright" w:hAnsi="Lucida Bright" w:cs="Calibri"/>
                <w:b/>
                <w:bCs/>
                <w:color w:val="000000"/>
                <w:sz w:val="14"/>
                <w:szCs w:val="14"/>
                <w:lang w:val="es-ES"/>
              </w:rPr>
              <w:t>Total</w:t>
            </w:r>
          </w:p>
        </w:tc>
        <w:tc>
          <w:tcPr>
            <w:tcW w:w="1034" w:type="pct"/>
            <w:tcBorders>
              <w:top w:val="nil"/>
              <w:left w:val="nil"/>
              <w:bottom w:val="single" w:sz="4" w:space="0" w:color="auto"/>
              <w:right w:val="single" w:sz="4" w:space="0" w:color="auto"/>
            </w:tcBorders>
            <w:shd w:val="clear" w:color="auto" w:fill="auto"/>
            <w:noWrap/>
            <w:vAlign w:val="bottom"/>
            <w:hideMark/>
          </w:tcPr>
          <w:p w:rsidR="00A84954" w:rsidRPr="00A84954" w:rsidRDefault="00A84954" w:rsidP="00A84954">
            <w:pPr>
              <w:jc w:val="right"/>
              <w:rPr>
                <w:rFonts w:ascii="Lucida Bright" w:hAnsi="Lucida Bright" w:cs="Calibri"/>
                <w:b/>
                <w:bCs/>
                <w:color w:val="000000"/>
                <w:sz w:val="14"/>
                <w:szCs w:val="14"/>
                <w:lang w:val="es-ES"/>
              </w:rPr>
            </w:pPr>
            <w:r w:rsidRPr="00A84954">
              <w:rPr>
                <w:rFonts w:ascii="Lucida Bright" w:hAnsi="Lucida Bright" w:cs="Calibri"/>
                <w:b/>
                <w:bCs/>
                <w:color w:val="000000"/>
                <w:sz w:val="14"/>
                <w:szCs w:val="14"/>
                <w:lang w:val="es-ES"/>
              </w:rPr>
              <w:t>111.642.114,65</w:t>
            </w:r>
          </w:p>
        </w:tc>
        <w:tc>
          <w:tcPr>
            <w:tcW w:w="1034" w:type="pct"/>
            <w:tcBorders>
              <w:top w:val="nil"/>
              <w:left w:val="nil"/>
              <w:bottom w:val="single" w:sz="4" w:space="0" w:color="auto"/>
              <w:right w:val="single" w:sz="4" w:space="0" w:color="auto"/>
            </w:tcBorders>
            <w:shd w:val="clear" w:color="auto" w:fill="auto"/>
            <w:noWrap/>
            <w:vAlign w:val="bottom"/>
            <w:hideMark/>
          </w:tcPr>
          <w:p w:rsidR="00A84954" w:rsidRPr="00A84954" w:rsidRDefault="00A84954" w:rsidP="00A84954">
            <w:pPr>
              <w:jc w:val="right"/>
              <w:rPr>
                <w:rFonts w:ascii="Lucida Bright" w:hAnsi="Lucida Bright" w:cs="Calibri"/>
                <w:b/>
                <w:bCs/>
                <w:color w:val="000000"/>
                <w:sz w:val="14"/>
                <w:szCs w:val="14"/>
                <w:lang w:val="es-ES"/>
              </w:rPr>
            </w:pPr>
            <w:r w:rsidRPr="00A84954">
              <w:rPr>
                <w:rFonts w:ascii="Lucida Bright" w:hAnsi="Lucida Bright" w:cs="Calibri"/>
                <w:b/>
                <w:bCs/>
                <w:color w:val="000000"/>
                <w:sz w:val="14"/>
                <w:szCs w:val="14"/>
                <w:lang w:val="es-ES"/>
              </w:rPr>
              <w:t>105.180.097,71</w:t>
            </w:r>
          </w:p>
        </w:tc>
      </w:tr>
    </w:tbl>
    <w:p w:rsidR="00E70917" w:rsidRDefault="00E70917" w:rsidP="002019D4">
      <w:pPr>
        <w:tabs>
          <w:tab w:val="right" w:pos="8364"/>
        </w:tabs>
        <w:ind w:left="567" w:firstLine="284"/>
        <w:jc w:val="both"/>
        <w:rPr>
          <w:b/>
          <w:bCs/>
          <w:sz w:val="32"/>
          <w:szCs w:val="32"/>
        </w:rPr>
      </w:pPr>
      <w:r>
        <w:rPr>
          <w:b/>
          <w:bCs/>
          <w:sz w:val="32"/>
          <w:szCs w:val="32"/>
        </w:rPr>
        <w:tab/>
      </w:r>
    </w:p>
    <w:p w:rsidR="004451E3" w:rsidRDefault="004451E3" w:rsidP="008D534C">
      <w:pPr>
        <w:tabs>
          <w:tab w:val="right" w:pos="8364"/>
        </w:tabs>
        <w:jc w:val="both"/>
        <w:rPr>
          <w:b/>
          <w:bCs/>
          <w:sz w:val="24"/>
          <w:szCs w:val="24"/>
        </w:rPr>
      </w:pPr>
    </w:p>
    <w:p w:rsidR="003A5FF5" w:rsidRPr="00D54A29" w:rsidRDefault="003A5FF5" w:rsidP="008D534C">
      <w:pPr>
        <w:tabs>
          <w:tab w:val="right" w:pos="8364"/>
        </w:tabs>
        <w:jc w:val="both"/>
        <w:rPr>
          <w:rFonts w:ascii="NewBaskerville" w:hAnsi="NewBaskerville"/>
          <w:bCs/>
          <w:sz w:val="24"/>
          <w:szCs w:val="24"/>
          <w:u w:val="single"/>
        </w:rPr>
      </w:pPr>
    </w:p>
    <w:p w:rsidR="00533ECB" w:rsidRDefault="00533ECB" w:rsidP="00EF6B46">
      <w:pPr>
        <w:tabs>
          <w:tab w:val="right" w:pos="8364"/>
        </w:tabs>
        <w:ind w:left="567" w:hanging="567"/>
        <w:jc w:val="both"/>
        <w:rPr>
          <w:rFonts w:ascii="NewBaskerville" w:hAnsi="NewBaskerville"/>
          <w:b/>
          <w:bCs/>
          <w:sz w:val="24"/>
          <w:szCs w:val="24"/>
        </w:rPr>
      </w:pPr>
    </w:p>
    <w:p w:rsidR="00533ECB" w:rsidRDefault="00533ECB" w:rsidP="00EF6B46">
      <w:pPr>
        <w:tabs>
          <w:tab w:val="right" w:pos="8364"/>
        </w:tabs>
        <w:ind w:left="567" w:hanging="567"/>
        <w:jc w:val="both"/>
        <w:rPr>
          <w:rFonts w:ascii="NewBaskerville" w:hAnsi="NewBaskerville"/>
          <w:b/>
          <w:bCs/>
          <w:sz w:val="24"/>
          <w:szCs w:val="24"/>
        </w:rPr>
      </w:pPr>
    </w:p>
    <w:p w:rsidR="00533ECB" w:rsidRDefault="00533ECB" w:rsidP="00EF6B46">
      <w:pPr>
        <w:tabs>
          <w:tab w:val="right" w:pos="8364"/>
        </w:tabs>
        <w:ind w:left="567" w:hanging="567"/>
        <w:jc w:val="both"/>
        <w:rPr>
          <w:rFonts w:ascii="NewBaskerville" w:hAnsi="NewBaskerville"/>
          <w:b/>
          <w:bCs/>
          <w:sz w:val="24"/>
          <w:szCs w:val="24"/>
        </w:rPr>
      </w:pPr>
    </w:p>
    <w:p w:rsidR="00533ECB" w:rsidRDefault="00533ECB" w:rsidP="00EF6B46">
      <w:pPr>
        <w:tabs>
          <w:tab w:val="right" w:pos="8364"/>
        </w:tabs>
        <w:ind w:left="567" w:hanging="567"/>
        <w:jc w:val="both"/>
        <w:rPr>
          <w:rFonts w:ascii="NewBaskerville" w:hAnsi="NewBaskerville"/>
          <w:b/>
          <w:bCs/>
          <w:sz w:val="24"/>
          <w:szCs w:val="24"/>
        </w:rPr>
      </w:pPr>
    </w:p>
    <w:p w:rsidR="00AE1189" w:rsidRDefault="00AE1189" w:rsidP="00EF6B46">
      <w:pPr>
        <w:tabs>
          <w:tab w:val="right" w:pos="8364"/>
        </w:tabs>
        <w:ind w:left="567" w:hanging="567"/>
        <w:jc w:val="both"/>
        <w:rPr>
          <w:rFonts w:ascii="NewBaskerville" w:hAnsi="NewBaskerville"/>
          <w:b/>
          <w:bCs/>
          <w:sz w:val="24"/>
          <w:szCs w:val="24"/>
        </w:rPr>
      </w:pPr>
    </w:p>
    <w:p w:rsidR="00533ECB" w:rsidRDefault="00533ECB" w:rsidP="00EF6B46">
      <w:pPr>
        <w:tabs>
          <w:tab w:val="right" w:pos="8364"/>
        </w:tabs>
        <w:ind w:left="567" w:hanging="567"/>
        <w:jc w:val="both"/>
        <w:rPr>
          <w:rFonts w:ascii="NewBaskerville" w:hAnsi="NewBaskerville"/>
          <w:b/>
          <w:bCs/>
          <w:sz w:val="24"/>
          <w:szCs w:val="24"/>
        </w:rPr>
      </w:pPr>
    </w:p>
    <w:p w:rsidR="00533ECB" w:rsidRDefault="00533ECB" w:rsidP="00EF6B46">
      <w:pPr>
        <w:tabs>
          <w:tab w:val="right" w:pos="8364"/>
        </w:tabs>
        <w:ind w:left="567" w:hanging="567"/>
        <w:jc w:val="both"/>
        <w:rPr>
          <w:rFonts w:ascii="NewBaskerville" w:hAnsi="NewBaskerville"/>
          <w:b/>
          <w:bCs/>
          <w:sz w:val="24"/>
          <w:szCs w:val="24"/>
        </w:rPr>
      </w:pPr>
    </w:p>
    <w:p w:rsidR="00914209" w:rsidRDefault="00914209" w:rsidP="00EF6B46">
      <w:pPr>
        <w:tabs>
          <w:tab w:val="right" w:pos="8364"/>
        </w:tabs>
        <w:ind w:left="567" w:hanging="567"/>
        <w:jc w:val="both"/>
        <w:rPr>
          <w:rFonts w:ascii="NewBaskerville" w:hAnsi="NewBaskerville"/>
          <w:b/>
          <w:bCs/>
          <w:sz w:val="24"/>
          <w:szCs w:val="24"/>
        </w:rPr>
      </w:pPr>
      <w:r>
        <w:rPr>
          <w:rFonts w:ascii="NewBaskerville" w:hAnsi="NewBaskerville"/>
          <w:b/>
          <w:bCs/>
          <w:sz w:val="24"/>
          <w:szCs w:val="24"/>
        </w:rPr>
        <w:br w:type="page"/>
      </w:r>
    </w:p>
    <w:p w:rsidR="00211E65" w:rsidRDefault="00211E65" w:rsidP="00EF6B46">
      <w:pPr>
        <w:tabs>
          <w:tab w:val="right" w:pos="8364"/>
        </w:tabs>
        <w:ind w:left="567" w:hanging="567"/>
        <w:jc w:val="both"/>
        <w:rPr>
          <w:rFonts w:ascii="NewBaskerville" w:hAnsi="NewBaskerville"/>
          <w:b/>
          <w:bCs/>
          <w:sz w:val="24"/>
          <w:szCs w:val="24"/>
        </w:rPr>
      </w:pPr>
    </w:p>
    <w:p w:rsidR="00EF6B46" w:rsidRPr="00D54A29" w:rsidRDefault="00EF6B46" w:rsidP="00EF6B46">
      <w:pPr>
        <w:tabs>
          <w:tab w:val="right" w:pos="8364"/>
        </w:tabs>
        <w:ind w:left="567" w:hanging="567"/>
        <w:jc w:val="both"/>
        <w:rPr>
          <w:rFonts w:ascii="NewBaskerville" w:hAnsi="NewBaskerville"/>
          <w:b/>
          <w:bCs/>
          <w:sz w:val="24"/>
          <w:szCs w:val="24"/>
        </w:rPr>
      </w:pPr>
      <w:r w:rsidRPr="00D54A29">
        <w:rPr>
          <w:rFonts w:ascii="NewBaskerville" w:hAnsi="NewBaskerville"/>
          <w:b/>
          <w:bCs/>
          <w:sz w:val="24"/>
          <w:szCs w:val="24"/>
        </w:rPr>
        <w:t>1</w:t>
      </w:r>
      <w:r w:rsidR="00A00693" w:rsidRPr="00D54A29">
        <w:rPr>
          <w:rFonts w:ascii="NewBaskerville" w:hAnsi="NewBaskerville"/>
          <w:b/>
          <w:bCs/>
          <w:sz w:val="24"/>
          <w:szCs w:val="24"/>
        </w:rPr>
        <w:t>6</w:t>
      </w:r>
      <w:r w:rsidR="002019D4" w:rsidRPr="00D54A29">
        <w:rPr>
          <w:rFonts w:ascii="NewBaskerville" w:hAnsi="NewBaskerville"/>
          <w:b/>
          <w:bCs/>
          <w:sz w:val="24"/>
          <w:szCs w:val="24"/>
        </w:rPr>
        <w:t xml:space="preserve">. </w:t>
      </w:r>
      <w:r w:rsidRPr="00D54A29">
        <w:rPr>
          <w:rFonts w:ascii="NewBaskerville" w:hAnsi="NewBaskerville"/>
          <w:b/>
          <w:bCs/>
          <w:sz w:val="24"/>
          <w:szCs w:val="24"/>
        </w:rPr>
        <w:t>Número de empleados</w:t>
      </w:r>
    </w:p>
    <w:p w:rsidR="00EF6B46" w:rsidRPr="00EB4317" w:rsidRDefault="00EF6B46" w:rsidP="00EF6B46">
      <w:pPr>
        <w:tabs>
          <w:tab w:val="right" w:pos="8364"/>
        </w:tabs>
        <w:jc w:val="both"/>
        <w:rPr>
          <w:bCs/>
          <w:u w:val="single"/>
        </w:rPr>
      </w:pPr>
    </w:p>
    <w:p w:rsidR="00050985" w:rsidRDefault="00EF6B46" w:rsidP="00EF6B46">
      <w:pPr>
        <w:pStyle w:val="Sangra3detindependiente"/>
        <w:tabs>
          <w:tab w:val="clear" w:pos="5671"/>
          <w:tab w:val="clear" w:pos="7797"/>
          <w:tab w:val="right" w:pos="3403"/>
        </w:tabs>
        <w:spacing w:before="120"/>
        <w:rPr>
          <w:rFonts w:ascii="NewBaskerville" w:hAnsi="NewBaskerville"/>
          <w:bCs/>
          <w:sz w:val="20"/>
          <w:szCs w:val="20"/>
        </w:rPr>
      </w:pPr>
      <w:r w:rsidRPr="00D54A29">
        <w:rPr>
          <w:rFonts w:ascii="NewBaskerville" w:hAnsi="NewBaskerville"/>
          <w:bCs/>
          <w:sz w:val="20"/>
          <w:szCs w:val="20"/>
        </w:rPr>
        <w:t>El número medio de personas em</w:t>
      </w:r>
      <w:r w:rsidR="001164D2" w:rsidRPr="00D54A29">
        <w:rPr>
          <w:rFonts w:ascii="NewBaskerville" w:hAnsi="NewBaskerville"/>
          <w:bCs/>
          <w:sz w:val="20"/>
          <w:szCs w:val="20"/>
        </w:rPr>
        <w:t>p</w:t>
      </w:r>
      <w:r w:rsidR="0061314C" w:rsidRPr="00D54A29">
        <w:rPr>
          <w:rFonts w:ascii="NewBaskerville" w:hAnsi="NewBaskerville"/>
          <w:bCs/>
          <w:sz w:val="20"/>
          <w:szCs w:val="20"/>
        </w:rPr>
        <w:t>leadas durante el ejercicio 202</w:t>
      </w:r>
      <w:r w:rsidR="00407993">
        <w:rPr>
          <w:rFonts w:ascii="NewBaskerville" w:hAnsi="NewBaskerville"/>
          <w:bCs/>
          <w:sz w:val="20"/>
          <w:szCs w:val="20"/>
        </w:rPr>
        <w:t>4</w:t>
      </w:r>
      <w:r w:rsidRPr="00D54A29">
        <w:rPr>
          <w:rFonts w:ascii="NewBaskerville" w:hAnsi="NewBaskerville"/>
          <w:bCs/>
          <w:sz w:val="20"/>
          <w:szCs w:val="20"/>
        </w:rPr>
        <w:t xml:space="preserve"> ha sido de </w:t>
      </w:r>
      <w:r w:rsidR="003942CA">
        <w:rPr>
          <w:rFonts w:ascii="NewBaskerville" w:hAnsi="NewBaskerville"/>
          <w:bCs/>
          <w:sz w:val="20"/>
          <w:szCs w:val="20"/>
        </w:rPr>
        <w:t>341</w:t>
      </w:r>
      <w:r w:rsidR="009E5B5A" w:rsidRPr="00D54A29">
        <w:rPr>
          <w:rFonts w:ascii="NewBaskerville" w:hAnsi="NewBaskerville"/>
          <w:bCs/>
          <w:sz w:val="20"/>
          <w:szCs w:val="20"/>
        </w:rPr>
        <w:t xml:space="preserve"> </w:t>
      </w:r>
      <w:r w:rsidRPr="00D54A29">
        <w:rPr>
          <w:rFonts w:ascii="NewBaskerville" w:hAnsi="NewBaskerville"/>
          <w:bCs/>
          <w:sz w:val="20"/>
          <w:szCs w:val="20"/>
        </w:rPr>
        <w:t>traba</w:t>
      </w:r>
      <w:r w:rsidR="0061314C" w:rsidRPr="00D54A29">
        <w:rPr>
          <w:rFonts w:ascii="NewBaskerville" w:hAnsi="NewBaskerville"/>
          <w:bCs/>
          <w:sz w:val="20"/>
          <w:szCs w:val="20"/>
        </w:rPr>
        <w:t>ja</w:t>
      </w:r>
      <w:r w:rsidR="009E5B5A" w:rsidRPr="00D54A29">
        <w:rPr>
          <w:rFonts w:ascii="NewBaskerville" w:hAnsi="NewBaskerville"/>
          <w:bCs/>
          <w:sz w:val="20"/>
          <w:szCs w:val="20"/>
        </w:rPr>
        <w:t>dores</w:t>
      </w:r>
      <w:r w:rsidR="0061314C" w:rsidRPr="00D54A29">
        <w:rPr>
          <w:rFonts w:ascii="NewBaskerville" w:hAnsi="NewBaskerville"/>
          <w:bCs/>
          <w:sz w:val="20"/>
          <w:szCs w:val="20"/>
        </w:rPr>
        <w:t xml:space="preserve"> y para el ejercicio 202</w:t>
      </w:r>
      <w:r w:rsidR="00407993">
        <w:rPr>
          <w:rFonts w:ascii="NewBaskerville" w:hAnsi="NewBaskerville"/>
          <w:bCs/>
          <w:sz w:val="20"/>
          <w:szCs w:val="20"/>
        </w:rPr>
        <w:t>3</w:t>
      </w:r>
      <w:r w:rsidR="00782DC7" w:rsidRPr="00D54A29">
        <w:rPr>
          <w:rFonts w:ascii="NewBaskerville" w:hAnsi="NewBaskerville"/>
          <w:bCs/>
          <w:sz w:val="20"/>
          <w:szCs w:val="20"/>
        </w:rPr>
        <w:t xml:space="preserve"> </w:t>
      </w:r>
      <w:r w:rsidR="008155BC" w:rsidRPr="00D54A29">
        <w:rPr>
          <w:rFonts w:ascii="NewBaskerville" w:hAnsi="NewBaskerville"/>
          <w:bCs/>
          <w:sz w:val="20"/>
          <w:szCs w:val="20"/>
        </w:rPr>
        <w:t>fue</w:t>
      </w:r>
      <w:r w:rsidR="00782DC7" w:rsidRPr="00D54A29">
        <w:rPr>
          <w:rFonts w:ascii="NewBaskerville" w:hAnsi="NewBaskerville"/>
          <w:bCs/>
          <w:sz w:val="20"/>
          <w:szCs w:val="20"/>
        </w:rPr>
        <w:t xml:space="preserve"> de 3</w:t>
      </w:r>
      <w:r w:rsidR="00407993">
        <w:rPr>
          <w:rFonts w:ascii="NewBaskerville" w:hAnsi="NewBaskerville"/>
          <w:bCs/>
          <w:sz w:val="20"/>
          <w:szCs w:val="20"/>
        </w:rPr>
        <w:t>1</w:t>
      </w:r>
      <w:r w:rsidR="006C734D">
        <w:rPr>
          <w:rFonts w:ascii="NewBaskerville" w:hAnsi="NewBaskerville"/>
          <w:bCs/>
          <w:sz w:val="20"/>
          <w:szCs w:val="20"/>
        </w:rPr>
        <w:t>2</w:t>
      </w:r>
      <w:r w:rsidRPr="00D54A29">
        <w:rPr>
          <w:rFonts w:ascii="NewBaskerville" w:hAnsi="NewBaskerville"/>
          <w:bCs/>
          <w:sz w:val="20"/>
          <w:szCs w:val="20"/>
        </w:rPr>
        <w:t xml:space="preserve"> trabajadores.</w:t>
      </w:r>
    </w:p>
    <w:p w:rsidR="003942CA" w:rsidRDefault="003942CA" w:rsidP="00EF6B46">
      <w:pPr>
        <w:pStyle w:val="Sangra3detindependiente"/>
        <w:tabs>
          <w:tab w:val="clear" w:pos="5671"/>
          <w:tab w:val="clear" w:pos="7797"/>
          <w:tab w:val="right" w:pos="3403"/>
        </w:tabs>
        <w:spacing w:before="120"/>
        <w:rPr>
          <w:rFonts w:ascii="NewBaskerville" w:hAnsi="NewBaskerville"/>
          <w:bCs/>
          <w:sz w:val="20"/>
          <w:szCs w:val="20"/>
        </w:rPr>
      </w:pPr>
    </w:p>
    <w:tbl>
      <w:tblPr>
        <w:tblW w:w="5180" w:type="dxa"/>
        <w:tblInd w:w="60" w:type="dxa"/>
        <w:tblCellMar>
          <w:left w:w="70" w:type="dxa"/>
          <w:right w:w="70" w:type="dxa"/>
        </w:tblCellMar>
        <w:tblLook w:val="04A0" w:firstRow="1" w:lastRow="0" w:firstColumn="1" w:lastColumn="0" w:noHBand="0" w:noVBand="1"/>
      </w:tblPr>
      <w:tblGrid>
        <w:gridCol w:w="2780"/>
        <w:gridCol w:w="1200"/>
        <w:gridCol w:w="1200"/>
      </w:tblGrid>
      <w:tr w:rsidR="003942CA" w:rsidRPr="003942CA" w:rsidTr="003942CA">
        <w:trPr>
          <w:trHeight w:val="315"/>
        </w:trPr>
        <w:tc>
          <w:tcPr>
            <w:tcW w:w="2780" w:type="dxa"/>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3942CA" w:rsidRPr="003942CA" w:rsidRDefault="003942CA" w:rsidP="003942CA">
            <w:pPr>
              <w:jc w:val="center"/>
              <w:rPr>
                <w:rFonts w:ascii="NewBaskerville" w:hAnsi="NewBaskerville" w:cs="Calibri"/>
                <w:b/>
                <w:bCs/>
                <w:color w:val="000000"/>
                <w:sz w:val="18"/>
                <w:szCs w:val="18"/>
                <w:lang w:val="es-ES"/>
              </w:rPr>
            </w:pPr>
            <w:r w:rsidRPr="003942CA">
              <w:rPr>
                <w:rFonts w:ascii="NewBaskerville" w:hAnsi="NewBaskerville" w:cs="Calibri"/>
                <w:b/>
                <w:bCs/>
                <w:color w:val="000000"/>
                <w:sz w:val="18"/>
                <w:szCs w:val="18"/>
                <w:lang w:val="es-ES"/>
              </w:rPr>
              <w:t>Plantilla media</w:t>
            </w:r>
          </w:p>
        </w:tc>
        <w:tc>
          <w:tcPr>
            <w:tcW w:w="1200" w:type="dxa"/>
            <w:tcBorders>
              <w:top w:val="single" w:sz="8" w:space="0" w:color="auto"/>
              <w:left w:val="nil"/>
              <w:bottom w:val="single" w:sz="8" w:space="0" w:color="auto"/>
              <w:right w:val="single" w:sz="8" w:space="0" w:color="auto"/>
            </w:tcBorders>
            <w:shd w:val="clear" w:color="000000" w:fill="CCFFCC"/>
            <w:noWrap/>
            <w:vAlign w:val="center"/>
            <w:hideMark/>
          </w:tcPr>
          <w:p w:rsidR="003942CA" w:rsidRPr="003942CA" w:rsidRDefault="003942CA" w:rsidP="003942CA">
            <w:pPr>
              <w:jc w:val="center"/>
              <w:rPr>
                <w:rFonts w:ascii="NewBaskerville" w:hAnsi="NewBaskerville" w:cs="Calibri"/>
                <w:b/>
                <w:bCs/>
                <w:color w:val="000000"/>
                <w:sz w:val="18"/>
                <w:szCs w:val="18"/>
                <w:lang w:val="es-ES"/>
              </w:rPr>
            </w:pPr>
            <w:r w:rsidRPr="003942CA">
              <w:rPr>
                <w:rFonts w:ascii="NewBaskerville" w:hAnsi="NewBaskerville" w:cs="Calibri"/>
                <w:b/>
                <w:bCs/>
                <w:color w:val="000000"/>
                <w:sz w:val="18"/>
                <w:szCs w:val="18"/>
                <w:lang w:val="es-ES"/>
              </w:rPr>
              <w:t>2024</w:t>
            </w:r>
          </w:p>
        </w:tc>
        <w:tc>
          <w:tcPr>
            <w:tcW w:w="1200" w:type="dxa"/>
            <w:tcBorders>
              <w:top w:val="single" w:sz="8" w:space="0" w:color="auto"/>
              <w:left w:val="nil"/>
              <w:bottom w:val="single" w:sz="8" w:space="0" w:color="auto"/>
              <w:right w:val="single" w:sz="8" w:space="0" w:color="auto"/>
            </w:tcBorders>
            <w:shd w:val="clear" w:color="000000" w:fill="CCFFCC"/>
            <w:noWrap/>
            <w:vAlign w:val="center"/>
            <w:hideMark/>
          </w:tcPr>
          <w:p w:rsidR="003942CA" w:rsidRPr="003942CA" w:rsidRDefault="003942CA" w:rsidP="003942CA">
            <w:pPr>
              <w:jc w:val="center"/>
              <w:rPr>
                <w:rFonts w:ascii="NewBaskerville" w:hAnsi="NewBaskerville" w:cs="Calibri"/>
                <w:b/>
                <w:bCs/>
                <w:color w:val="000000"/>
                <w:sz w:val="18"/>
                <w:szCs w:val="18"/>
                <w:lang w:val="es-ES"/>
              </w:rPr>
            </w:pPr>
            <w:r w:rsidRPr="003942CA">
              <w:rPr>
                <w:rFonts w:ascii="NewBaskerville" w:hAnsi="NewBaskerville" w:cs="Calibri"/>
                <w:b/>
                <w:bCs/>
                <w:color w:val="000000"/>
                <w:sz w:val="18"/>
                <w:szCs w:val="18"/>
                <w:lang w:val="es-ES"/>
              </w:rPr>
              <w:t>2023</w:t>
            </w:r>
          </w:p>
        </w:tc>
      </w:tr>
      <w:tr w:rsidR="003942CA" w:rsidRPr="003942CA" w:rsidTr="003942CA">
        <w:trPr>
          <w:trHeight w:val="315"/>
        </w:trPr>
        <w:tc>
          <w:tcPr>
            <w:tcW w:w="2780" w:type="dxa"/>
            <w:tcBorders>
              <w:top w:val="nil"/>
              <w:left w:val="single" w:sz="8" w:space="0" w:color="auto"/>
              <w:bottom w:val="single" w:sz="4" w:space="0" w:color="auto"/>
              <w:right w:val="single" w:sz="4" w:space="0" w:color="auto"/>
            </w:tcBorders>
            <w:shd w:val="clear" w:color="auto" w:fill="auto"/>
            <w:noWrap/>
            <w:vAlign w:val="center"/>
            <w:hideMark/>
          </w:tcPr>
          <w:p w:rsidR="003942CA" w:rsidRPr="003942CA" w:rsidRDefault="003942CA" w:rsidP="003942CA">
            <w:pP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Hombres:</w:t>
            </w:r>
          </w:p>
        </w:tc>
        <w:tc>
          <w:tcPr>
            <w:tcW w:w="1200" w:type="dxa"/>
            <w:tcBorders>
              <w:top w:val="nil"/>
              <w:left w:val="nil"/>
              <w:bottom w:val="single" w:sz="4" w:space="0" w:color="auto"/>
              <w:right w:val="single" w:sz="4" w:space="0" w:color="auto"/>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244</w:t>
            </w:r>
          </w:p>
        </w:tc>
        <w:tc>
          <w:tcPr>
            <w:tcW w:w="1200" w:type="dxa"/>
            <w:tcBorders>
              <w:top w:val="nil"/>
              <w:left w:val="nil"/>
              <w:bottom w:val="single" w:sz="4" w:space="0" w:color="auto"/>
              <w:right w:val="single" w:sz="4" w:space="0" w:color="auto"/>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231</w:t>
            </w:r>
          </w:p>
        </w:tc>
      </w:tr>
      <w:tr w:rsidR="003942CA" w:rsidRPr="003942CA" w:rsidTr="003942CA">
        <w:trPr>
          <w:trHeight w:val="300"/>
        </w:trPr>
        <w:tc>
          <w:tcPr>
            <w:tcW w:w="2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42CA" w:rsidRPr="003942CA" w:rsidRDefault="003942CA" w:rsidP="003942CA">
            <w:pP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 Fijos</w:t>
            </w:r>
          </w:p>
        </w:tc>
        <w:tc>
          <w:tcPr>
            <w:tcW w:w="1200" w:type="dxa"/>
            <w:tcBorders>
              <w:top w:val="nil"/>
              <w:left w:val="nil"/>
              <w:bottom w:val="single" w:sz="4" w:space="0" w:color="auto"/>
              <w:right w:val="single" w:sz="4" w:space="0" w:color="auto"/>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219</w:t>
            </w:r>
          </w:p>
        </w:tc>
        <w:tc>
          <w:tcPr>
            <w:tcW w:w="1200" w:type="dxa"/>
            <w:tcBorders>
              <w:top w:val="nil"/>
              <w:left w:val="nil"/>
              <w:bottom w:val="single" w:sz="4" w:space="0" w:color="auto"/>
              <w:right w:val="single" w:sz="4" w:space="0" w:color="auto"/>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207</w:t>
            </w:r>
          </w:p>
        </w:tc>
      </w:tr>
      <w:tr w:rsidR="003942CA" w:rsidRPr="003942CA" w:rsidTr="003942CA">
        <w:trPr>
          <w:trHeight w:val="300"/>
        </w:trPr>
        <w:tc>
          <w:tcPr>
            <w:tcW w:w="2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42CA" w:rsidRPr="003942CA" w:rsidRDefault="003942CA" w:rsidP="003942CA">
            <w:pP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-Temporales</w:t>
            </w:r>
          </w:p>
        </w:tc>
        <w:tc>
          <w:tcPr>
            <w:tcW w:w="1200" w:type="dxa"/>
            <w:tcBorders>
              <w:top w:val="nil"/>
              <w:left w:val="nil"/>
              <w:bottom w:val="single" w:sz="4" w:space="0" w:color="auto"/>
              <w:right w:val="single" w:sz="4" w:space="0" w:color="auto"/>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25</w:t>
            </w:r>
          </w:p>
        </w:tc>
        <w:tc>
          <w:tcPr>
            <w:tcW w:w="1200" w:type="dxa"/>
            <w:tcBorders>
              <w:top w:val="nil"/>
              <w:left w:val="nil"/>
              <w:bottom w:val="single" w:sz="4" w:space="0" w:color="auto"/>
              <w:right w:val="single" w:sz="4" w:space="0" w:color="auto"/>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24</w:t>
            </w:r>
          </w:p>
        </w:tc>
      </w:tr>
      <w:tr w:rsidR="003942CA" w:rsidRPr="003942CA" w:rsidTr="003942CA">
        <w:trPr>
          <w:trHeight w:val="300"/>
        </w:trPr>
        <w:tc>
          <w:tcPr>
            <w:tcW w:w="2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42CA" w:rsidRPr="003942CA" w:rsidRDefault="003942CA" w:rsidP="003942CA">
            <w:pP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Mujeres:</w:t>
            </w:r>
          </w:p>
        </w:tc>
        <w:tc>
          <w:tcPr>
            <w:tcW w:w="1200" w:type="dxa"/>
            <w:tcBorders>
              <w:top w:val="nil"/>
              <w:left w:val="nil"/>
              <w:bottom w:val="single" w:sz="4" w:space="0" w:color="auto"/>
              <w:right w:val="single" w:sz="4" w:space="0" w:color="auto"/>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97</w:t>
            </w:r>
          </w:p>
        </w:tc>
        <w:tc>
          <w:tcPr>
            <w:tcW w:w="1200" w:type="dxa"/>
            <w:tcBorders>
              <w:top w:val="nil"/>
              <w:left w:val="nil"/>
              <w:bottom w:val="single" w:sz="4" w:space="0" w:color="auto"/>
              <w:right w:val="single" w:sz="4" w:space="0" w:color="auto"/>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81</w:t>
            </w:r>
          </w:p>
        </w:tc>
      </w:tr>
      <w:tr w:rsidR="003942CA" w:rsidRPr="003942CA" w:rsidTr="003942CA">
        <w:trPr>
          <w:trHeight w:val="345"/>
        </w:trPr>
        <w:tc>
          <w:tcPr>
            <w:tcW w:w="2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42CA" w:rsidRPr="003942CA" w:rsidRDefault="003942CA" w:rsidP="003942CA">
            <w:pP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-Fijas</w:t>
            </w:r>
          </w:p>
        </w:tc>
        <w:tc>
          <w:tcPr>
            <w:tcW w:w="1200" w:type="dxa"/>
            <w:tcBorders>
              <w:top w:val="nil"/>
              <w:left w:val="nil"/>
              <w:bottom w:val="single" w:sz="4" w:space="0" w:color="auto"/>
              <w:right w:val="single" w:sz="4" w:space="0" w:color="auto"/>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84</w:t>
            </w:r>
          </w:p>
        </w:tc>
        <w:tc>
          <w:tcPr>
            <w:tcW w:w="1200" w:type="dxa"/>
            <w:tcBorders>
              <w:top w:val="nil"/>
              <w:left w:val="nil"/>
              <w:bottom w:val="single" w:sz="4" w:space="0" w:color="auto"/>
              <w:right w:val="single" w:sz="4" w:space="0" w:color="auto"/>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74</w:t>
            </w:r>
          </w:p>
        </w:tc>
      </w:tr>
      <w:tr w:rsidR="003942CA" w:rsidRPr="003942CA" w:rsidTr="003942CA">
        <w:trPr>
          <w:trHeight w:val="315"/>
        </w:trPr>
        <w:tc>
          <w:tcPr>
            <w:tcW w:w="2780" w:type="dxa"/>
            <w:tcBorders>
              <w:top w:val="single" w:sz="4" w:space="0" w:color="auto"/>
              <w:left w:val="single" w:sz="8" w:space="0" w:color="auto"/>
              <w:bottom w:val="nil"/>
              <w:right w:val="single" w:sz="4" w:space="0" w:color="auto"/>
            </w:tcBorders>
            <w:shd w:val="clear" w:color="auto" w:fill="auto"/>
            <w:noWrap/>
            <w:vAlign w:val="center"/>
            <w:hideMark/>
          </w:tcPr>
          <w:p w:rsidR="003942CA" w:rsidRPr="003942CA" w:rsidRDefault="003942CA" w:rsidP="003942CA">
            <w:pP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-Temporales</w:t>
            </w:r>
          </w:p>
        </w:tc>
        <w:tc>
          <w:tcPr>
            <w:tcW w:w="1200" w:type="dxa"/>
            <w:tcBorders>
              <w:top w:val="nil"/>
              <w:left w:val="nil"/>
              <w:bottom w:val="nil"/>
              <w:right w:val="single" w:sz="4" w:space="0" w:color="auto"/>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13</w:t>
            </w:r>
          </w:p>
        </w:tc>
        <w:tc>
          <w:tcPr>
            <w:tcW w:w="1200" w:type="dxa"/>
            <w:tcBorders>
              <w:top w:val="nil"/>
              <w:left w:val="nil"/>
              <w:bottom w:val="nil"/>
              <w:right w:val="single" w:sz="4" w:space="0" w:color="auto"/>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7</w:t>
            </w:r>
          </w:p>
        </w:tc>
      </w:tr>
      <w:tr w:rsidR="003942CA" w:rsidRPr="003942CA" w:rsidTr="003942CA">
        <w:trPr>
          <w:trHeight w:val="315"/>
        </w:trPr>
        <w:tc>
          <w:tcPr>
            <w:tcW w:w="2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942CA" w:rsidRPr="003942CA" w:rsidRDefault="003942CA" w:rsidP="003942CA">
            <w:pPr>
              <w:rPr>
                <w:rFonts w:ascii="NewBaskerville" w:hAnsi="NewBaskerville" w:cs="Calibri"/>
                <w:b/>
                <w:bCs/>
                <w:color w:val="000000"/>
                <w:sz w:val="18"/>
                <w:szCs w:val="18"/>
                <w:lang w:val="es-ES"/>
              </w:rPr>
            </w:pPr>
            <w:r w:rsidRPr="003942CA">
              <w:rPr>
                <w:rFonts w:ascii="NewBaskerville" w:hAnsi="NewBaskerville" w:cs="Calibri"/>
                <w:b/>
                <w:bCs/>
                <w:color w:val="000000"/>
                <w:sz w:val="18"/>
                <w:szCs w:val="18"/>
                <w:lang w:val="es-ES"/>
              </w:rPr>
              <w:t>Total</w:t>
            </w:r>
          </w:p>
        </w:tc>
        <w:tc>
          <w:tcPr>
            <w:tcW w:w="1200" w:type="dxa"/>
            <w:tcBorders>
              <w:top w:val="single" w:sz="8" w:space="0" w:color="auto"/>
              <w:left w:val="nil"/>
              <w:bottom w:val="single" w:sz="8" w:space="0" w:color="auto"/>
              <w:right w:val="single" w:sz="4" w:space="0" w:color="auto"/>
            </w:tcBorders>
            <w:shd w:val="clear" w:color="auto" w:fill="auto"/>
            <w:noWrap/>
            <w:vAlign w:val="center"/>
            <w:hideMark/>
          </w:tcPr>
          <w:p w:rsidR="003942CA" w:rsidRPr="003942CA" w:rsidRDefault="003942CA" w:rsidP="003942CA">
            <w:pPr>
              <w:jc w:val="center"/>
              <w:rPr>
                <w:rFonts w:ascii="NewBaskerville" w:hAnsi="NewBaskerville" w:cs="Calibri"/>
                <w:b/>
                <w:bCs/>
                <w:color w:val="000000"/>
                <w:sz w:val="18"/>
                <w:szCs w:val="18"/>
                <w:lang w:val="es-ES"/>
              </w:rPr>
            </w:pPr>
            <w:r w:rsidRPr="003942CA">
              <w:rPr>
                <w:rFonts w:ascii="NewBaskerville" w:hAnsi="NewBaskerville" w:cs="Calibri"/>
                <w:b/>
                <w:bCs/>
                <w:color w:val="000000"/>
                <w:sz w:val="18"/>
                <w:szCs w:val="18"/>
                <w:lang w:val="es-ES"/>
              </w:rPr>
              <w:t>341</w:t>
            </w:r>
          </w:p>
        </w:tc>
        <w:tc>
          <w:tcPr>
            <w:tcW w:w="1200" w:type="dxa"/>
            <w:tcBorders>
              <w:top w:val="single" w:sz="8" w:space="0" w:color="auto"/>
              <w:left w:val="nil"/>
              <w:bottom w:val="single" w:sz="8" w:space="0" w:color="auto"/>
              <w:right w:val="single" w:sz="4" w:space="0" w:color="auto"/>
            </w:tcBorders>
            <w:shd w:val="clear" w:color="auto" w:fill="auto"/>
            <w:noWrap/>
            <w:vAlign w:val="center"/>
            <w:hideMark/>
          </w:tcPr>
          <w:p w:rsidR="003942CA" w:rsidRPr="003942CA" w:rsidRDefault="003942CA" w:rsidP="003942CA">
            <w:pPr>
              <w:jc w:val="center"/>
              <w:rPr>
                <w:rFonts w:ascii="NewBaskerville" w:hAnsi="NewBaskerville" w:cs="Calibri"/>
                <w:b/>
                <w:bCs/>
                <w:color w:val="000000"/>
                <w:sz w:val="18"/>
                <w:szCs w:val="18"/>
                <w:lang w:val="es-ES"/>
              </w:rPr>
            </w:pPr>
            <w:r w:rsidRPr="003942CA">
              <w:rPr>
                <w:rFonts w:ascii="NewBaskerville" w:hAnsi="NewBaskerville" w:cs="Calibri"/>
                <w:b/>
                <w:bCs/>
                <w:color w:val="000000"/>
                <w:sz w:val="18"/>
                <w:szCs w:val="18"/>
                <w:lang w:val="es-ES"/>
              </w:rPr>
              <w:t>312</w:t>
            </w:r>
          </w:p>
        </w:tc>
      </w:tr>
    </w:tbl>
    <w:p w:rsidR="00407993" w:rsidRDefault="00407993" w:rsidP="00EF6B46">
      <w:pPr>
        <w:pStyle w:val="Sangra3detindependiente"/>
        <w:tabs>
          <w:tab w:val="clear" w:pos="5671"/>
          <w:tab w:val="clear" w:pos="7797"/>
          <w:tab w:val="right" w:pos="3403"/>
        </w:tabs>
        <w:spacing w:before="120"/>
        <w:rPr>
          <w:rFonts w:ascii="NewBaskerville" w:hAnsi="NewBaskerville"/>
          <w:bCs/>
          <w:sz w:val="20"/>
          <w:szCs w:val="20"/>
        </w:rPr>
      </w:pPr>
    </w:p>
    <w:p w:rsidR="000D6E28" w:rsidRDefault="00EF6B46" w:rsidP="00570EBA">
      <w:pPr>
        <w:pStyle w:val="Sangra3detindependiente"/>
        <w:tabs>
          <w:tab w:val="clear" w:pos="5671"/>
          <w:tab w:val="clear" w:pos="7797"/>
          <w:tab w:val="right" w:pos="3403"/>
        </w:tabs>
        <w:spacing w:before="120"/>
        <w:rPr>
          <w:rFonts w:ascii="NewBaskerville" w:hAnsi="NewBaskerville"/>
          <w:bCs/>
          <w:sz w:val="20"/>
          <w:szCs w:val="20"/>
        </w:rPr>
      </w:pPr>
      <w:r w:rsidRPr="00D54A29">
        <w:rPr>
          <w:rFonts w:ascii="NewBaskerville" w:hAnsi="NewBaskerville"/>
          <w:bCs/>
          <w:sz w:val="20"/>
          <w:szCs w:val="20"/>
        </w:rPr>
        <w:t>El desglose por sexos y categorías de la plantilla al cierre de los ejercicios 20</w:t>
      </w:r>
      <w:r w:rsidR="0061314C" w:rsidRPr="00D54A29">
        <w:rPr>
          <w:rFonts w:ascii="NewBaskerville" w:hAnsi="NewBaskerville"/>
          <w:bCs/>
          <w:sz w:val="20"/>
          <w:szCs w:val="20"/>
        </w:rPr>
        <w:t>2</w:t>
      </w:r>
      <w:r w:rsidR="003942CA">
        <w:rPr>
          <w:rFonts w:ascii="NewBaskerville" w:hAnsi="NewBaskerville"/>
          <w:bCs/>
          <w:sz w:val="20"/>
          <w:szCs w:val="20"/>
        </w:rPr>
        <w:t>4</w:t>
      </w:r>
      <w:r w:rsidR="0061314C" w:rsidRPr="00D54A29">
        <w:rPr>
          <w:rFonts w:ascii="NewBaskerville" w:hAnsi="NewBaskerville"/>
          <w:bCs/>
          <w:sz w:val="20"/>
          <w:szCs w:val="20"/>
        </w:rPr>
        <w:t xml:space="preserve"> y 202</w:t>
      </w:r>
      <w:r w:rsidR="003942CA">
        <w:rPr>
          <w:rFonts w:ascii="NewBaskerville" w:hAnsi="NewBaskerville"/>
          <w:bCs/>
          <w:sz w:val="20"/>
          <w:szCs w:val="20"/>
        </w:rPr>
        <w:t>3</w:t>
      </w:r>
      <w:r w:rsidR="008C2E68" w:rsidRPr="00D54A29">
        <w:rPr>
          <w:rFonts w:ascii="NewBaskerville" w:hAnsi="NewBaskerville"/>
          <w:bCs/>
          <w:sz w:val="20"/>
          <w:szCs w:val="20"/>
        </w:rPr>
        <w:t xml:space="preserve"> es el siguiente:</w:t>
      </w:r>
    </w:p>
    <w:tbl>
      <w:tblPr>
        <w:tblW w:w="8200" w:type="dxa"/>
        <w:tblInd w:w="70" w:type="dxa"/>
        <w:tblCellMar>
          <w:left w:w="70" w:type="dxa"/>
          <w:right w:w="70" w:type="dxa"/>
        </w:tblCellMar>
        <w:tblLook w:val="04A0" w:firstRow="1" w:lastRow="0" w:firstColumn="1" w:lastColumn="0" w:noHBand="0" w:noVBand="1"/>
      </w:tblPr>
      <w:tblGrid>
        <w:gridCol w:w="1200"/>
        <w:gridCol w:w="1200"/>
        <w:gridCol w:w="1200"/>
        <w:gridCol w:w="2200"/>
        <w:gridCol w:w="2400"/>
      </w:tblGrid>
      <w:tr w:rsidR="003942CA" w:rsidRPr="003942CA" w:rsidTr="003942CA">
        <w:trPr>
          <w:trHeight w:val="315"/>
        </w:trPr>
        <w:tc>
          <w:tcPr>
            <w:tcW w:w="1200" w:type="dxa"/>
            <w:tcBorders>
              <w:top w:val="nil"/>
              <w:left w:val="nil"/>
              <w:bottom w:val="nil"/>
              <w:right w:val="nil"/>
            </w:tcBorders>
            <w:shd w:val="clear" w:color="auto" w:fill="auto"/>
            <w:noWrap/>
            <w:vAlign w:val="bottom"/>
            <w:hideMark/>
          </w:tcPr>
          <w:p w:rsidR="003942CA" w:rsidRPr="003942CA" w:rsidRDefault="003942CA" w:rsidP="003942CA">
            <w:pPr>
              <w:rPr>
                <w:rFonts w:ascii="Calibri" w:hAnsi="Calibri" w:cs="Calibri"/>
                <w:color w:val="000000"/>
                <w:sz w:val="22"/>
                <w:szCs w:val="22"/>
                <w:lang w:val="es-ES"/>
              </w:rPr>
            </w:pPr>
          </w:p>
        </w:tc>
        <w:tc>
          <w:tcPr>
            <w:tcW w:w="1200" w:type="dxa"/>
            <w:tcBorders>
              <w:top w:val="nil"/>
              <w:left w:val="nil"/>
              <w:bottom w:val="nil"/>
              <w:right w:val="nil"/>
            </w:tcBorders>
            <w:shd w:val="clear" w:color="auto" w:fill="auto"/>
            <w:noWrap/>
            <w:vAlign w:val="bottom"/>
            <w:hideMark/>
          </w:tcPr>
          <w:p w:rsidR="003942CA" w:rsidRPr="003942CA" w:rsidRDefault="003942CA" w:rsidP="003942CA">
            <w:pPr>
              <w:rPr>
                <w:rFonts w:ascii="Calibri" w:hAnsi="Calibri" w:cs="Calibri"/>
                <w:color w:val="000000"/>
                <w:sz w:val="22"/>
                <w:szCs w:val="22"/>
                <w:lang w:val="es-ES"/>
              </w:rPr>
            </w:pPr>
          </w:p>
        </w:tc>
        <w:tc>
          <w:tcPr>
            <w:tcW w:w="1200" w:type="dxa"/>
            <w:tcBorders>
              <w:top w:val="nil"/>
              <w:left w:val="nil"/>
              <w:bottom w:val="nil"/>
              <w:right w:val="nil"/>
            </w:tcBorders>
            <w:shd w:val="clear" w:color="auto" w:fill="auto"/>
            <w:noWrap/>
            <w:vAlign w:val="bottom"/>
            <w:hideMark/>
          </w:tcPr>
          <w:p w:rsidR="003942CA" w:rsidRPr="003942CA" w:rsidRDefault="003942CA" w:rsidP="003942CA">
            <w:pPr>
              <w:rPr>
                <w:rFonts w:ascii="Calibri" w:hAnsi="Calibri" w:cs="Calibri"/>
                <w:color w:val="000000"/>
                <w:sz w:val="22"/>
                <w:szCs w:val="22"/>
                <w:lang w:val="es-ES"/>
              </w:rPr>
            </w:pPr>
          </w:p>
        </w:tc>
        <w:tc>
          <w:tcPr>
            <w:tcW w:w="4600" w:type="dxa"/>
            <w:gridSpan w:val="2"/>
            <w:tcBorders>
              <w:top w:val="single" w:sz="8" w:space="0" w:color="auto"/>
              <w:left w:val="single" w:sz="8" w:space="0" w:color="auto"/>
              <w:bottom w:val="nil"/>
              <w:right w:val="single" w:sz="4" w:space="0" w:color="auto"/>
            </w:tcBorders>
            <w:shd w:val="clear" w:color="000000" w:fill="CCFFCC"/>
            <w:noWrap/>
            <w:vAlign w:val="bottom"/>
            <w:hideMark/>
          </w:tcPr>
          <w:p w:rsidR="003942CA" w:rsidRPr="003942CA" w:rsidRDefault="003942CA" w:rsidP="003942CA">
            <w:pPr>
              <w:jc w:val="center"/>
              <w:rPr>
                <w:rFonts w:ascii="NewBaskerville" w:hAnsi="NewBaskerville" w:cs="Calibri"/>
                <w:b/>
                <w:bCs/>
                <w:color w:val="000000"/>
                <w:sz w:val="18"/>
                <w:szCs w:val="18"/>
                <w:lang w:val="es-ES"/>
              </w:rPr>
            </w:pPr>
            <w:r w:rsidRPr="003942CA">
              <w:rPr>
                <w:rFonts w:ascii="NewBaskerville" w:hAnsi="NewBaskerville" w:cs="Calibri"/>
                <w:b/>
                <w:bCs/>
                <w:color w:val="000000"/>
                <w:sz w:val="18"/>
                <w:szCs w:val="18"/>
                <w:lang w:val="es-ES"/>
              </w:rPr>
              <w:t>2024</w:t>
            </w:r>
          </w:p>
        </w:tc>
      </w:tr>
      <w:tr w:rsidR="003942CA" w:rsidRPr="003942CA" w:rsidTr="003942CA">
        <w:trPr>
          <w:trHeight w:val="315"/>
        </w:trPr>
        <w:tc>
          <w:tcPr>
            <w:tcW w:w="3600" w:type="dxa"/>
            <w:gridSpan w:val="3"/>
            <w:tcBorders>
              <w:top w:val="single" w:sz="8" w:space="0" w:color="auto"/>
              <w:left w:val="single" w:sz="8" w:space="0" w:color="auto"/>
              <w:bottom w:val="single" w:sz="8" w:space="0" w:color="auto"/>
              <w:right w:val="single" w:sz="4" w:space="0" w:color="000000"/>
            </w:tcBorders>
            <w:shd w:val="clear" w:color="000000" w:fill="CCFFCC"/>
            <w:vAlign w:val="center"/>
            <w:hideMark/>
          </w:tcPr>
          <w:p w:rsidR="003942CA" w:rsidRPr="003942CA" w:rsidRDefault="003942CA" w:rsidP="003942CA">
            <w:pPr>
              <w:jc w:val="center"/>
              <w:rPr>
                <w:rFonts w:ascii="NewBaskerville" w:hAnsi="NewBaskerville" w:cs="Calibri"/>
                <w:b/>
                <w:bCs/>
                <w:sz w:val="18"/>
                <w:szCs w:val="18"/>
                <w:lang w:val="es-ES"/>
              </w:rPr>
            </w:pPr>
            <w:r w:rsidRPr="003942CA">
              <w:rPr>
                <w:rFonts w:ascii="NewBaskerville" w:hAnsi="NewBaskerville" w:cs="Calibri"/>
                <w:b/>
                <w:bCs/>
                <w:sz w:val="18"/>
                <w:szCs w:val="18"/>
                <w:lang w:val="es-ES"/>
              </w:rPr>
              <w:t>Categoría</w:t>
            </w:r>
          </w:p>
        </w:tc>
        <w:tc>
          <w:tcPr>
            <w:tcW w:w="2200" w:type="dxa"/>
            <w:tcBorders>
              <w:top w:val="single" w:sz="8" w:space="0" w:color="auto"/>
              <w:left w:val="nil"/>
              <w:bottom w:val="single" w:sz="8" w:space="0" w:color="auto"/>
              <w:right w:val="single" w:sz="4" w:space="0" w:color="auto"/>
            </w:tcBorders>
            <w:shd w:val="clear" w:color="000000" w:fill="CCFFCC"/>
            <w:vAlign w:val="center"/>
            <w:hideMark/>
          </w:tcPr>
          <w:p w:rsidR="003942CA" w:rsidRPr="003942CA" w:rsidRDefault="003942CA" w:rsidP="003942CA">
            <w:pPr>
              <w:jc w:val="center"/>
              <w:rPr>
                <w:rFonts w:ascii="NewBaskerville" w:hAnsi="NewBaskerville" w:cs="Calibri"/>
                <w:b/>
                <w:bCs/>
                <w:sz w:val="18"/>
                <w:szCs w:val="18"/>
                <w:lang w:val="es-ES"/>
              </w:rPr>
            </w:pPr>
            <w:r w:rsidRPr="003942CA">
              <w:rPr>
                <w:rFonts w:ascii="NewBaskerville" w:hAnsi="NewBaskerville" w:cs="Calibri"/>
                <w:b/>
                <w:bCs/>
                <w:sz w:val="18"/>
                <w:szCs w:val="18"/>
                <w:lang w:val="es-ES"/>
              </w:rPr>
              <w:t>Hombres</w:t>
            </w:r>
          </w:p>
        </w:tc>
        <w:tc>
          <w:tcPr>
            <w:tcW w:w="2400" w:type="dxa"/>
            <w:tcBorders>
              <w:top w:val="single" w:sz="8" w:space="0" w:color="auto"/>
              <w:left w:val="single" w:sz="4" w:space="0" w:color="auto"/>
              <w:bottom w:val="single" w:sz="8" w:space="0" w:color="auto"/>
              <w:right w:val="single" w:sz="8" w:space="0" w:color="000000"/>
            </w:tcBorders>
            <w:shd w:val="clear" w:color="000000" w:fill="CCFFCC"/>
            <w:vAlign w:val="center"/>
            <w:hideMark/>
          </w:tcPr>
          <w:p w:rsidR="003942CA" w:rsidRPr="003942CA" w:rsidRDefault="003942CA" w:rsidP="003942CA">
            <w:pPr>
              <w:jc w:val="center"/>
              <w:rPr>
                <w:rFonts w:ascii="NewBaskerville" w:hAnsi="NewBaskerville" w:cs="Calibri"/>
                <w:b/>
                <w:bCs/>
                <w:color w:val="000000"/>
                <w:sz w:val="18"/>
                <w:szCs w:val="18"/>
                <w:lang w:val="es-ES"/>
              </w:rPr>
            </w:pPr>
            <w:r w:rsidRPr="003942CA">
              <w:rPr>
                <w:rFonts w:ascii="NewBaskerville" w:hAnsi="NewBaskerville" w:cs="Calibri"/>
                <w:b/>
                <w:bCs/>
                <w:color w:val="000000"/>
                <w:sz w:val="18"/>
                <w:szCs w:val="18"/>
                <w:lang w:val="es-ES"/>
              </w:rPr>
              <w:t>Mujeres</w:t>
            </w:r>
          </w:p>
        </w:tc>
      </w:tr>
      <w:tr w:rsidR="003942CA" w:rsidRPr="003942CA" w:rsidTr="003942CA">
        <w:trPr>
          <w:trHeight w:val="300"/>
        </w:trPr>
        <w:tc>
          <w:tcPr>
            <w:tcW w:w="3600" w:type="dxa"/>
            <w:gridSpan w:val="3"/>
            <w:tcBorders>
              <w:top w:val="nil"/>
              <w:left w:val="single" w:sz="8" w:space="0" w:color="auto"/>
              <w:bottom w:val="single" w:sz="4" w:space="0" w:color="000000"/>
              <w:right w:val="single" w:sz="4" w:space="0" w:color="000000"/>
            </w:tcBorders>
            <w:shd w:val="clear" w:color="auto" w:fill="auto"/>
            <w:vAlign w:val="center"/>
            <w:hideMark/>
          </w:tcPr>
          <w:p w:rsidR="003942CA" w:rsidRPr="003942CA" w:rsidRDefault="003942CA" w:rsidP="003942CA">
            <w:pPr>
              <w:rPr>
                <w:rFonts w:ascii="NewBaskerville" w:hAnsi="NewBaskerville" w:cs="Calibri"/>
                <w:sz w:val="18"/>
                <w:szCs w:val="18"/>
                <w:lang w:val="es-ES"/>
              </w:rPr>
            </w:pPr>
            <w:r w:rsidRPr="003942CA">
              <w:rPr>
                <w:rFonts w:ascii="NewBaskerville" w:hAnsi="NewBaskerville" w:cs="Calibri"/>
                <w:sz w:val="18"/>
                <w:szCs w:val="18"/>
                <w:lang w:val="es-ES"/>
              </w:rPr>
              <w:t>Altos cargos y Fuera de Convenio</w:t>
            </w:r>
          </w:p>
        </w:tc>
        <w:tc>
          <w:tcPr>
            <w:tcW w:w="2200" w:type="dxa"/>
            <w:tcBorders>
              <w:top w:val="nil"/>
              <w:left w:val="nil"/>
              <w:bottom w:val="single" w:sz="4" w:space="0" w:color="000000"/>
              <w:right w:val="nil"/>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24</w:t>
            </w:r>
          </w:p>
        </w:tc>
        <w:tc>
          <w:tcPr>
            <w:tcW w:w="2400" w:type="dxa"/>
            <w:tcBorders>
              <w:top w:val="nil"/>
              <w:left w:val="single" w:sz="4" w:space="0" w:color="auto"/>
              <w:bottom w:val="single" w:sz="4" w:space="0" w:color="000000"/>
              <w:right w:val="single" w:sz="8" w:space="0" w:color="000000"/>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5</w:t>
            </w:r>
          </w:p>
        </w:tc>
      </w:tr>
      <w:tr w:rsidR="003942CA" w:rsidRPr="003942CA" w:rsidTr="003942CA">
        <w:trPr>
          <w:trHeight w:val="300"/>
        </w:trPr>
        <w:tc>
          <w:tcPr>
            <w:tcW w:w="3600" w:type="dxa"/>
            <w:gridSpan w:val="3"/>
            <w:tcBorders>
              <w:top w:val="single" w:sz="4" w:space="0" w:color="000000"/>
              <w:left w:val="single" w:sz="8" w:space="0" w:color="auto"/>
              <w:bottom w:val="single" w:sz="4" w:space="0" w:color="000000"/>
              <w:right w:val="single" w:sz="4" w:space="0" w:color="000000"/>
            </w:tcBorders>
            <w:shd w:val="clear" w:color="auto" w:fill="auto"/>
            <w:vAlign w:val="center"/>
            <w:hideMark/>
          </w:tcPr>
          <w:p w:rsidR="003942CA" w:rsidRPr="003942CA" w:rsidRDefault="003942CA" w:rsidP="003942CA">
            <w:pPr>
              <w:rPr>
                <w:rFonts w:ascii="NewBaskerville" w:hAnsi="NewBaskerville" w:cs="Calibri"/>
                <w:sz w:val="18"/>
                <w:szCs w:val="18"/>
                <w:lang w:val="es-ES"/>
              </w:rPr>
            </w:pPr>
            <w:r w:rsidRPr="003942CA">
              <w:rPr>
                <w:rFonts w:ascii="NewBaskerville" w:hAnsi="NewBaskerville" w:cs="Calibri"/>
                <w:sz w:val="18"/>
                <w:szCs w:val="18"/>
                <w:lang w:val="es-ES"/>
              </w:rPr>
              <w:t>Responsables</w:t>
            </w:r>
          </w:p>
        </w:tc>
        <w:tc>
          <w:tcPr>
            <w:tcW w:w="2200" w:type="dxa"/>
            <w:tcBorders>
              <w:top w:val="single" w:sz="4" w:space="0" w:color="000000"/>
              <w:left w:val="nil"/>
              <w:bottom w:val="single" w:sz="4" w:space="0" w:color="000000"/>
              <w:right w:val="nil"/>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29</w:t>
            </w:r>
          </w:p>
        </w:tc>
        <w:tc>
          <w:tcPr>
            <w:tcW w:w="2400" w:type="dxa"/>
            <w:tcBorders>
              <w:top w:val="single" w:sz="4" w:space="0" w:color="000000"/>
              <w:left w:val="single" w:sz="4" w:space="0" w:color="auto"/>
              <w:bottom w:val="single" w:sz="4" w:space="0" w:color="000000"/>
              <w:right w:val="single" w:sz="8" w:space="0" w:color="000000"/>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22</w:t>
            </w:r>
          </w:p>
        </w:tc>
      </w:tr>
      <w:tr w:rsidR="003942CA" w:rsidRPr="003942CA" w:rsidTr="003942CA">
        <w:trPr>
          <w:trHeight w:val="300"/>
        </w:trPr>
        <w:tc>
          <w:tcPr>
            <w:tcW w:w="3600" w:type="dxa"/>
            <w:gridSpan w:val="3"/>
            <w:tcBorders>
              <w:top w:val="single" w:sz="4" w:space="0" w:color="000000"/>
              <w:left w:val="single" w:sz="8" w:space="0" w:color="auto"/>
              <w:bottom w:val="single" w:sz="4" w:space="0" w:color="000000"/>
              <w:right w:val="single" w:sz="4" w:space="0" w:color="000000"/>
            </w:tcBorders>
            <w:shd w:val="clear" w:color="auto" w:fill="auto"/>
            <w:vAlign w:val="center"/>
            <w:hideMark/>
          </w:tcPr>
          <w:p w:rsidR="003942CA" w:rsidRPr="003942CA" w:rsidRDefault="003942CA" w:rsidP="003942CA">
            <w:pPr>
              <w:rPr>
                <w:rFonts w:ascii="NewBaskerville" w:hAnsi="NewBaskerville" w:cs="Calibri"/>
                <w:sz w:val="18"/>
                <w:szCs w:val="18"/>
                <w:lang w:val="es-ES"/>
              </w:rPr>
            </w:pPr>
            <w:r w:rsidRPr="003942CA">
              <w:rPr>
                <w:rFonts w:ascii="NewBaskerville" w:hAnsi="NewBaskerville" w:cs="Calibri"/>
                <w:sz w:val="18"/>
                <w:szCs w:val="18"/>
                <w:lang w:val="es-ES"/>
              </w:rPr>
              <w:t>Técnicos</w:t>
            </w:r>
          </w:p>
        </w:tc>
        <w:tc>
          <w:tcPr>
            <w:tcW w:w="2200" w:type="dxa"/>
            <w:tcBorders>
              <w:top w:val="single" w:sz="4" w:space="0" w:color="000000"/>
              <w:left w:val="nil"/>
              <w:bottom w:val="single" w:sz="4" w:space="0" w:color="000000"/>
              <w:right w:val="nil"/>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42</w:t>
            </w:r>
          </w:p>
        </w:tc>
        <w:tc>
          <w:tcPr>
            <w:tcW w:w="2400" w:type="dxa"/>
            <w:tcBorders>
              <w:top w:val="single" w:sz="4" w:space="0" w:color="000000"/>
              <w:left w:val="single" w:sz="4" w:space="0" w:color="auto"/>
              <w:bottom w:val="single" w:sz="4" w:space="0" w:color="000000"/>
              <w:right w:val="single" w:sz="8" w:space="0" w:color="000000"/>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38</w:t>
            </w:r>
          </w:p>
        </w:tc>
      </w:tr>
      <w:tr w:rsidR="003942CA" w:rsidRPr="003942CA" w:rsidTr="003942CA">
        <w:trPr>
          <w:trHeight w:val="300"/>
        </w:trPr>
        <w:tc>
          <w:tcPr>
            <w:tcW w:w="3600" w:type="dxa"/>
            <w:gridSpan w:val="3"/>
            <w:tcBorders>
              <w:top w:val="single" w:sz="4" w:space="0" w:color="000000"/>
              <w:left w:val="single" w:sz="8" w:space="0" w:color="auto"/>
              <w:bottom w:val="single" w:sz="4" w:space="0" w:color="000000"/>
              <w:right w:val="single" w:sz="4" w:space="0" w:color="000000"/>
            </w:tcBorders>
            <w:shd w:val="clear" w:color="auto" w:fill="auto"/>
            <w:vAlign w:val="center"/>
            <w:hideMark/>
          </w:tcPr>
          <w:p w:rsidR="003942CA" w:rsidRPr="003942CA" w:rsidRDefault="003942CA" w:rsidP="003942CA">
            <w:pPr>
              <w:rPr>
                <w:rFonts w:ascii="NewBaskerville" w:hAnsi="NewBaskerville" w:cs="Calibri"/>
                <w:sz w:val="18"/>
                <w:szCs w:val="18"/>
                <w:lang w:val="es-ES"/>
              </w:rPr>
            </w:pPr>
            <w:r w:rsidRPr="003942CA">
              <w:rPr>
                <w:rFonts w:ascii="NewBaskerville" w:hAnsi="NewBaskerville" w:cs="Calibri"/>
                <w:sz w:val="18"/>
                <w:szCs w:val="18"/>
                <w:lang w:val="es-ES"/>
              </w:rPr>
              <w:t>Jefes de Equipo</w:t>
            </w:r>
          </w:p>
        </w:tc>
        <w:tc>
          <w:tcPr>
            <w:tcW w:w="2200" w:type="dxa"/>
            <w:tcBorders>
              <w:top w:val="single" w:sz="4" w:space="0" w:color="000000"/>
              <w:left w:val="nil"/>
              <w:bottom w:val="single" w:sz="4" w:space="0" w:color="000000"/>
              <w:right w:val="nil"/>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21</w:t>
            </w:r>
          </w:p>
        </w:tc>
        <w:tc>
          <w:tcPr>
            <w:tcW w:w="2400" w:type="dxa"/>
            <w:tcBorders>
              <w:top w:val="single" w:sz="4" w:space="0" w:color="000000"/>
              <w:left w:val="single" w:sz="4" w:space="0" w:color="auto"/>
              <w:bottom w:val="single" w:sz="4" w:space="0" w:color="000000"/>
              <w:right w:val="single" w:sz="8" w:space="0" w:color="000000"/>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2</w:t>
            </w:r>
          </w:p>
        </w:tc>
      </w:tr>
      <w:tr w:rsidR="003942CA" w:rsidRPr="003942CA" w:rsidTr="003942CA">
        <w:trPr>
          <w:trHeight w:val="315"/>
        </w:trPr>
        <w:tc>
          <w:tcPr>
            <w:tcW w:w="3600" w:type="dxa"/>
            <w:gridSpan w:val="3"/>
            <w:tcBorders>
              <w:top w:val="single" w:sz="4" w:space="0" w:color="000000"/>
              <w:left w:val="single" w:sz="8" w:space="0" w:color="auto"/>
              <w:bottom w:val="nil"/>
              <w:right w:val="single" w:sz="4" w:space="0" w:color="000000"/>
            </w:tcBorders>
            <w:shd w:val="clear" w:color="auto" w:fill="auto"/>
            <w:vAlign w:val="center"/>
            <w:hideMark/>
          </w:tcPr>
          <w:p w:rsidR="003942CA" w:rsidRPr="003942CA" w:rsidRDefault="003942CA" w:rsidP="003942CA">
            <w:pPr>
              <w:rPr>
                <w:rFonts w:ascii="NewBaskerville" w:hAnsi="NewBaskerville" w:cs="Calibri"/>
                <w:sz w:val="18"/>
                <w:szCs w:val="18"/>
                <w:lang w:val="es-ES"/>
              </w:rPr>
            </w:pPr>
            <w:r w:rsidRPr="003942CA">
              <w:rPr>
                <w:rFonts w:ascii="NewBaskerville" w:hAnsi="NewBaskerville" w:cs="Calibri"/>
                <w:sz w:val="18"/>
                <w:szCs w:val="18"/>
                <w:lang w:val="es-ES"/>
              </w:rPr>
              <w:t>Policía Portuaria, administrativos, oficiales</w:t>
            </w:r>
          </w:p>
        </w:tc>
        <w:tc>
          <w:tcPr>
            <w:tcW w:w="2200" w:type="dxa"/>
            <w:tcBorders>
              <w:top w:val="single" w:sz="4" w:space="0" w:color="000000"/>
              <w:left w:val="nil"/>
              <w:bottom w:val="nil"/>
              <w:right w:val="nil"/>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131</w:t>
            </w:r>
          </w:p>
        </w:tc>
        <w:tc>
          <w:tcPr>
            <w:tcW w:w="2400" w:type="dxa"/>
            <w:tcBorders>
              <w:top w:val="single" w:sz="4" w:space="0" w:color="000000"/>
              <w:left w:val="single" w:sz="4" w:space="0" w:color="auto"/>
              <w:bottom w:val="nil"/>
              <w:right w:val="single" w:sz="8" w:space="0" w:color="000000"/>
            </w:tcBorders>
            <w:shd w:val="clear" w:color="auto" w:fill="auto"/>
            <w:noWrap/>
            <w:vAlign w:val="center"/>
            <w:hideMark/>
          </w:tcPr>
          <w:p w:rsidR="003942CA" w:rsidRPr="003942CA" w:rsidRDefault="003942CA" w:rsidP="003942CA">
            <w:pPr>
              <w:jc w:val="center"/>
              <w:rPr>
                <w:rFonts w:ascii="NewBaskerville" w:hAnsi="NewBaskerville" w:cs="Calibri"/>
                <w:color w:val="000000"/>
                <w:sz w:val="18"/>
                <w:szCs w:val="18"/>
                <w:lang w:val="es-ES"/>
              </w:rPr>
            </w:pPr>
            <w:r w:rsidRPr="003942CA">
              <w:rPr>
                <w:rFonts w:ascii="NewBaskerville" w:hAnsi="NewBaskerville" w:cs="Calibri"/>
                <w:color w:val="000000"/>
                <w:sz w:val="18"/>
                <w:szCs w:val="18"/>
                <w:lang w:val="es-ES"/>
              </w:rPr>
              <w:t>39</w:t>
            </w:r>
          </w:p>
        </w:tc>
      </w:tr>
      <w:tr w:rsidR="003942CA" w:rsidRPr="003942CA" w:rsidTr="003942CA">
        <w:trPr>
          <w:trHeight w:val="315"/>
        </w:trPr>
        <w:tc>
          <w:tcPr>
            <w:tcW w:w="3600" w:type="dxa"/>
            <w:gridSpan w:val="3"/>
            <w:tcBorders>
              <w:top w:val="single" w:sz="8" w:space="0" w:color="auto"/>
              <w:left w:val="single" w:sz="8" w:space="0" w:color="auto"/>
              <w:bottom w:val="single" w:sz="8" w:space="0" w:color="auto"/>
              <w:right w:val="single" w:sz="4" w:space="0" w:color="000000"/>
            </w:tcBorders>
            <w:shd w:val="clear" w:color="auto" w:fill="auto"/>
            <w:hideMark/>
          </w:tcPr>
          <w:p w:rsidR="003942CA" w:rsidRPr="003942CA" w:rsidRDefault="003942CA" w:rsidP="003942CA">
            <w:pPr>
              <w:rPr>
                <w:rFonts w:ascii="NewBaskerville" w:hAnsi="NewBaskerville" w:cs="Calibri"/>
                <w:b/>
                <w:bCs/>
                <w:sz w:val="18"/>
                <w:szCs w:val="18"/>
                <w:lang w:val="es-ES"/>
              </w:rPr>
            </w:pPr>
            <w:r w:rsidRPr="003942CA">
              <w:rPr>
                <w:rFonts w:ascii="NewBaskerville" w:hAnsi="NewBaskerville" w:cs="Calibri"/>
                <w:b/>
                <w:bCs/>
                <w:sz w:val="18"/>
                <w:szCs w:val="18"/>
                <w:lang w:val="es-ES"/>
              </w:rPr>
              <w:t>TOTAL</w:t>
            </w:r>
          </w:p>
        </w:tc>
        <w:tc>
          <w:tcPr>
            <w:tcW w:w="2200" w:type="dxa"/>
            <w:tcBorders>
              <w:top w:val="single" w:sz="8" w:space="0" w:color="auto"/>
              <w:left w:val="nil"/>
              <w:bottom w:val="single" w:sz="8" w:space="0" w:color="auto"/>
              <w:right w:val="nil"/>
            </w:tcBorders>
            <w:shd w:val="clear" w:color="000000" w:fill="FFFFFF"/>
            <w:noWrap/>
            <w:vAlign w:val="center"/>
            <w:hideMark/>
          </w:tcPr>
          <w:p w:rsidR="003942CA" w:rsidRPr="003942CA" w:rsidRDefault="003942CA" w:rsidP="003942CA">
            <w:pPr>
              <w:jc w:val="center"/>
              <w:rPr>
                <w:rFonts w:ascii="NewBaskerville" w:hAnsi="NewBaskerville" w:cs="Calibri"/>
                <w:b/>
                <w:bCs/>
                <w:color w:val="000000"/>
                <w:sz w:val="18"/>
                <w:szCs w:val="18"/>
                <w:lang w:val="es-ES"/>
              </w:rPr>
            </w:pPr>
            <w:r w:rsidRPr="003942CA">
              <w:rPr>
                <w:rFonts w:ascii="NewBaskerville" w:hAnsi="NewBaskerville" w:cs="Calibri"/>
                <w:b/>
                <w:bCs/>
                <w:color w:val="000000"/>
                <w:sz w:val="18"/>
                <w:szCs w:val="18"/>
                <w:lang w:val="es-ES"/>
              </w:rPr>
              <w:t>247</w:t>
            </w:r>
          </w:p>
        </w:tc>
        <w:tc>
          <w:tcPr>
            <w:tcW w:w="2400" w:type="dxa"/>
            <w:tcBorders>
              <w:top w:val="single" w:sz="8" w:space="0" w:color="auto"/>
              <w:left w:val="single" w:sz="4" w:space="0" w:color="auto"/>
              <w:bottom w:val="single" w:sz="8" w:space="0" w:color="auto"/>
              <w:right w:val="single" w:sz="8" w:space="0" w:color="000000"/>
            </w:tcBorders>
            <w:shd w:val="clear" w:color="000000" w:fill="FFFFFF"/>
            <w:noWrap/>
            <w:vAlign w:val="center"/>
            <w:hideMark/>
          </w:tcPr>
          <w:p w:rsidR="003942CA" w:rsidRPr="003942CA" w:rsidRDefault="003942CA" w:rsidP="003942CA">
            <w:pPr>
              <w:jc w:val="center"/>
              <w:rPr>
                <w:rFonts w:ascii="NewBaskerville" w:hAnsi="NewBaskerville" w:cs="Calibri"/>
                <w:b/>
                <w:bCs/>
                <w:color w:val="000000"/>
                <w:sz w:val="18"/>
                <w:szCs w:val="18"/>
                <w:lang w:val="es-ES"/>
              </w:rPr>
            </w:pPr>
            <w:r w:rsidRPr="003942CA">
              <w:rPr>
                <w:rFonts w:ascii="NewBaskerville" w:hAnsi="NewBaskerville" w:cs="Calibri"/>
                <w:b/>
                <w:bCs/>
                <w:color w:val="000000"/>
                <w:sz w:val="18"/>
                <w:szCs w:val="18"/>
                <w:lang w:val="es-ES"/>
              </w:rPr>
              <w:t>106</w:t>
            </w:r>
          </w:p>
        </w:tc>
      </w:tr>
    </w:tbl>
    <w:p w:rsidR="0058608E" w:rsidRDefault="0058608E" w:rsidP="00570EBA">
      <w:pPr>
        <w:pStyle w:val="Sangra3detindependiente"/>
        <w:tabs>
          <w:tab w:val="clear" w:pos="5671"/>
          <w:tab w:val="clear" w:pos="7797"/>
          <w:tab w:val="right" w:pos="3403"/>
        </w:tabs>
        <w:spacing w:before="120"/>
        <w:rPr>
          <w:rFonts w:ascii="NewBaskerville" w:hAnsi="NewBaskerville"/>
          <w:bCs/>
          <w:sz w:val="20"/>
          <w:szCs w:val="20"/>
        </w:rPr>
      </w:pPr>
    </w:p>
    <w:tbl>
      <w:tblPr>
        <w:tblW w:w="8200" w:type="dxa"/>
        <w:tblInd w:w="70" w:type="dxa"/>
        <w:tblCellMar>
          <w:left w:w="70" w:type="dxa"/>
          <w:right w:w="70" w:type="dxa"/>
        </w:tblCellMar>
        <w:tblLook w:val="04A0" w:firstRow="1" w:lastRow="0" w:firstColumn="1" w:lastColumn="0" w:noHBand="0" w:noVBand="1"/>
      </w:tblPr>
      <w:tblGrid>
        <w:gridCol w:w="1216"/>
        <w:gridCol w:w="1216"/>
        <w:gridCol w:w="1216"/>
        <w:gridCol w:w="2191"/>
        <w:gridCol w:w="2361"/>
      </w:tblGrid>
      <w:tr w:rsidR="0058608E" w:rsidRPr="0058608E" w:rsidTr="0058608E">
        <w:trPr>
          <w:trHeight w:val="315"/>
        </w:trPr>
        <w:tc>
          <w:tcPr>
            <w:tcW w:w="1216" w:type="dxa"/>
            <w:tcBorders>
              <w:top w:val="nil"/>
              <w:left w:val="nil"/>
              <w:bottom w:val="nil"/>
              <w:right w:val="nil"/>
            </w:tcBorders>
            <w:shd w:val="clear" w:color="auto" w:fill="auto"/>
            <w:noWrap/>
            <w:vAlign w:val="bottom"/>
            <w:hideMark/>
          </w:tcPr>
          <w:p w:rsidR="0058608E" w:rsidRPr="0058608E" w:rsidRDefault="0058608E" w:rsidP="0058608E">
            <w:pPr>
              <w:rPr>
                <w:rFonts w:ascii="Calibri" w:hAnsi="Calibri" w:cs="Calibri"/>
                <w:color w:val="000000"/>
                <w:sz w:val="22"/>
                <w:szCs w:val="22"/>
                <w:lang w:val="es-ES"/>
              </w:rPr>
            </w:pPr>
          </w:p>
        </w:tc>
        <w:tc>
          <w:tcPr>
            <w:tcW w:w="1216" w:type="dxa"/>
            <w:tcBorders>
              <w:top w:val="nil"/>
              <w:left w:val="nil"/>
              <w:bottom w:val="nil"/>
              <w:right w:val="nil"/>
            </w:tcBorders>
            <w:shd w:val="clear" w:color="auto" w:fill="auto"/>
            <w:noWrap/>
            <w:vAlign w:val="bottom"/>
            <w:hideMark/>
          </w:tcPr>
          <w:p w:rsidR="0058608E" w:rsidRPr="0058608E" w:rsidRDefault="0058608E" w:rsidP="0058608E">
            <w:pPr>
              <w:rPr>
                <w:rFonts w:ascii="Calibri" w:hAnsi="Calibri" w:cs="Calibri"/>
                <w:color w:val="000000"/>
                <w:sz w:val="22"/>
                <w:szCs w:val="22"/>
                <w:lang w:val="es-ES"/>
              </w:rPr>
            </w:pPr>
          </w:p>
        </w:tc>
        <w:tc>
          <w:tcPr>
            <w:tcW w:w="1216" w:type="dxa"/>
            <w:tcBorders>
              <w:top w:val="nil"/>
              <w:left w:val="nil"/>
              <w:bottom w:val="nil"/>
              <w:right w:val="nil"/>
            </w:tcBorders>
            <w:shd w:val="clear" w:color="auto" w:fill="auto"/>
            <w:noWrap/>
            <w:vAlign w:val="bottom"/>
            <w:hideMark/>
          </w:tcPr>
          <w:p w:rsidR="0058608E" w:rsidRPr="0058608E" w:rsidRDefault="0058608E" w:rsidP="0058608E">
            <w:pPr>
              <w:rPr>
                <w:rFonts w:ascii="Calibri" w:hAnsi="Calibri" w:cs="Calibri"/>
                <w:color w:val="000000"/>
                <w:sz w:val="22"/>
                <w:szCs w:val="22"/>
                <w:lang w:val="es-ES"/>
              </w:rPr>
            </w:pPr>
          </w:p>
        </w:tc>
        <w:tc>
          <w:tcPr>
            <w:tcW w:w="4552" w:type="dxa"/>
            <w:gridSpan w:val="2"/>
            <w:tcBorders>
              <w:top w:val="single" w:sz="8" w:space="0" w:color="auto"/>
              <w:left w:val="single" w:sz="8" w:space="0" w:color="auto"/>
              <w:bottom w:val="nil"/>
              <w:right w:val="single" w:sz="4" w:space="0" w:color="auto"/>
            </w:tcBorders>
            <w:shd w:val="clear" w:color="000000" w:fill="CCFFCC"/>
            <w:noWrap/>
            <w:vAlign w:val="bottom"/>
            <w:hideMark/>
          </w:tcPr>
          <w:p w:rsidR="0058608E" w:rsidRPr="0058608E" w:rsidRDefault="0058608E" w:rsidP="0058608E">
            <w:pPr>
              <w:jc w:val="center"/>
              <w:rPr>
                <w:rFonts w:ascii="NewBaskerville" w:hAnsi="NewBaskerville" w:cs="Calibri"/>
                <w:b/>
                <w:bCs/>
                <w:color w:val="000000"/>
                <w:sz w:val="18"/>
                <w:szCs w:val="18"/>
                <w:lang w:val="es-ES"/>
              </w:rPr>
            </w:pPr>
            <w:r w:rsidRPr="0058608E">
              <w:rPr>
                <w:rFonts w:ascii="NewBaskerville" w:hAnsi="NewBaskerville" w:cs="Calibri"/>
                <w:b/>
                <w:bCs/>
                <w:color w:val="000000"/>
                <w:sz w:val="18"/>
                <w:szCs w:val="18"/>
                <w:lang w:val="es-ES"/>
              </w:rPr>
              <w:t>2023</w:t>
            </w:r>
          </w:p>
        </w:tc>
      </w:tr>
      <w:tr w:rsidR="0058608E" w:rsidRPr="0058608E" w:rsidTr="0058608E">
        <w:trPr>
          <w:trHeight w:val="315"/>
        </w:trPr>
        <w:tc>
          <w:tcPr>
            <w:tcW w:w="3648" w:type="dxa"/>
            <w:gridSpan w:val="3"/>
            <w:tcBorders>
              <w:top w:val="single" w:sz="8" w:space="0" w:color="auto"/>
              <w:left w:val="single" w:sz="8" w:space="0" w:color="auto"/>
              <w:bottom w:val="single" w:sz="8" w:space="0" w:color="auto"/>
              <w:right w:val="single" w:sz="4" w:space="0" w:color="000000"/>
            </w:tcBorders>
            <w:shd w:val="clear" w:color="000000" w:fill="CCFFCC"/>
            <w:vAlign w:val="center"/>
            <w:hideMark/>
          </w:tcPr>
          <w:p w:rsidR="0058608E" w:rsidRPr="0058608E" w:rsidRDefault="0058608E" w:rsidP="0058608E">
            <w:pPr>
              <w:jc w:val="center"/>
              <w:rPr>
                <w:rFonts w:ascii="NewBaskerville" w:hAnsi="NewBaskerville" w:cs="Calibri"/>
                <w:b/>
                <w:bCs/>
                <w:sz w:val="18"/>
                <w:szCs w:val="18"/>
                <w:lang w:val="es-ES"/>
              </w:rPr>
            </w:pPr>
            <w:r w:rsidRPr="0058608E">
              <w:rPr>
                <w:rFonts w:ascii="NewBaskerville" w:hAnsi="NewBaskerville" w:cs="Calibri"/>
                <w:b/>
                <w:bCs/>
                <w:sz w:val="18"/>
                <w:szCs w:val="18"/>
                <w:lang w:val="es-ES"/>
              </w:rPr>
              <w:t>Categoría</w:t>
            </w:r>
          </w:p>
        </w:tc>
        <w:tc>
          <w:tcPr>
            <w:tcW w:w="2191" w:type="dxa"/>
            <w:tcBorders>
              <w:top w:val="single" w:sz="8" w:space="0" w:color="auto"/>
              <w:left w:val="nil"/>
              <w:bottom w:val="single" w:sz="8" w:space="0" w:color="auto"/>
              <w:right w:val="single" w:sz="4" w:space="0" w:color="auto"/>
            </w:tcBorders>
            <w:shd w:val="clear" w:color="000000" w:fill="CCFFCC"/>
            <w:vAlign w:val="center"/>
            <w:hideMark/>
          </w:tcPr>
          <w:p w:rsidR="0058608E" w:rsidRPr="0058608E" w:rsidRDefault="0058608E" w:rsidP="0058608E">
            <w:pPr>
              <w:jc w:val="center"/>
              <w:rPr>
                <w:rFonts w:ascii="NewBaskerville" w:hAnsi="NewBaskerville" w:cs="Calibri"/>
                <w:b/>
                <w:bCs/>
                <w:sz w:val="18"/>
                <w:szCs w:val="18"/>
                <w:lang w:val="es-ES"/>
              </w:rPr>
            </w:pPr>
            <w:r w:rsidRPr="0058608E">
              <w:rPr>
                <w:rFonts w:ascii="NewBaskerville" w:hAnsi="NewBaskerville" w:cs="Calibri"/>
                <w:b/>
                <w:bCs/>
                <w:sz w:val="18"/>
                <w:szCs w:val="18"/>
                <w:lang w:val="es-ES"/>
              </w:rPr>
              <w:t>Hombres</w:t>
            </w:r>
          </w:p>
        </w:tc>
        <w:tc>
          <w:tcPr>
            <w:tcW w:w="2361" w:type="dxa"/>
            <w:tcBorders>
              <w:top w:val="single" w:sz="8" w:space="0" w:color="auto"/>
              <w:left w:val="single" w:sz="4" w:space="0" w:color="auto"/>
              <w:bottom w:val="single" w:sz="8" w:space="0" w:color="auto"/>
              <w:right w:val="single" w:sz="8" w:space="0" w:color="000000"/>
            </w:tcBorders>
            <w:shd w:val="clear" w:color="000000" w:fill="CCFFCC"/>
            <w:vAlign w:val="center"/>
            <w:hideMark/>
          </w:tcPr>
          <w:p w:rsidR="0058608E" w:rsidRPr="0058608E" w:rsidRDefault="0058608E" w:rsidP="0058608E">
            <w:pPr>
              <w:jc w:val="center"/>
              <w:rPr>
                <w:rFonts w:ascii="NewBaskerville" w:hAnsi="NewBaskerville" w:cs="Calibri"/>
                <w:b/>
                <w:bCs/>
                <w:color w:val="000000"/>
                <w:sz w:val="18"/>
                <w:szCs w:val="18"/>
                <w:lang w:val="es-ES"/>
              </w:rPr>
            </w:pPr>
            <w:r w:rsidRPr="0058608E">
              <w:rPr>
                <w:rFonts w:ascii="NewBaskerville" w:hAnsi="NewBaskerville" w:cs="Calibri"/>
                <w:b/>
                <w:bCs/>
                <w:color w:val="000000"/>
                <w:sz w:val="18"/>
                <w:szCs w:val="18"/>
                <w:lang w:val="es-ES"/>
              </w:rPr>
              <w:t>Mujeres</w:t>
            </w:r>
          </w:p>
        </w:tc>
      </w:tr>
      <w:tr w:rsidR="0058608E" w:rsidRPr="0058608E" w:rsidTr="0058608E">
        <w:trPr>
          <w:trHeight w:val="300"/>
        </w:trPr>
        <w:tc>
          <w:tcPr>
            <w:tcW w:w="3648" w:type="dxa"/>
            <w:gridSpan w:val="3"/>
            <w:tcBorders>
              <w:top w:val="nil"/>
              <w:left w:val="single" w:sz="8" w:space="0" w:color="auto"/>
              <w:bottom w:val="single" w:sz="4" w:space="0" w:color="000000"/>
              <w:right w:val="single" w:sz="4" w:space="0" w:color="000000"/>
            </w:tcBorders>
            <w:shd w:val="clear" w:color="auto" w:fill="auto"/>
            <w:vAlign w:val="center"/>
            <w:hideMark/>
          </w:tcPr>
          <w:p w:rsidR="0058608E" w:rsidRPr="0058608E" w:rsidRDefault="0058608E" w:rsidP="0058608E">
            <w:pPr>
              <w:rPr>
                <w:rFonts w:ascii="NewBaskerville" w:hAnsi="NewBaskerville" w:cs="Calibri"/>
                <w:sz w:val="18"/>
                <w:szCs w:val="18"/>
                <w:lang w:val="es-ES"/>
              </w:rPr>
            </w:pPr>
            <w:r w:rsidRPr="0058608E">
              <w:rPr>
                <w:rFonts w:ascii="NewBaskerville" w:hAnsi="NewBaskerville" w:cs="Calibri"/>
                <w:sz w:val="18"/>
                <w:szCs w:val="18"/>
                <w:lang w:val="es-ES"/>
              </w:rPr>
              <w:t>Altos cargos y Fuera de Convenio</w:t>
            </w:r>
          </w:p>
        </w:tc>
        <w:tc>
          <w:tcPr>
            <w:tcW w:w="2191" w:type="dxa"/>
            <w:tcBorders>
              <w:top w:val="nil"/>
              <w:left w:val="nil"/>
              <w:bottom w:val="single" w:sz="4" w:space="0" w:color="000000"/>
              <w:right w:val="nil"/>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21</w:t>
            </w:r>
          </w:p>
        </w:tc>
        <w:tc>
          <w:tcPr>
            <w:tcW w:w="2361" w:type="dxa"/>
            <w:tcBorders>
              <w:top w:val="nil"/>
              <w:left w:val="single" w:sz="4" w:space="0" w:color="auto"/>
              <w:bottom w:val="single" w:sz="4" w:space="0" w:color="000000"/>
              <w:right w:val="single" w:sz="8" w:space="0" w:color="000000"/>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5</w:t>
            </w:r>
          </w:p>
        </w:tc>
      </w:tr>
      <w:tr w:rsidR="0058608E" w:rsidRPr="0058608E" w:rsidTr="0058608E">
        <w:trPr>
          <w:trHeight w:val="300"/>
        </w:trPr>
        <w:tc>
          <w:tcPr>
            <w:tcW w:w="3648" w:type="dxa"/>
            <w:gridSpan w:val="3"/>
            <w:tcBorders>
              <w:top w:val="single" w:sz="4" w:space="0" w:color="000000"/>
              <w:left w:val="single" w:sz="8" w:space="0" w:color="auto"/>
              <w:bottom w:val="single" w:sz="4" w:space="0" w:color="000000"/>
              <w:right w:val="single" w:sz="4" w:space="0" w:color="000000"/>
            </w:tcBorders>
            <w:shd w:val="clear" w:color="auto" w:fill="auto"/>
            <w:vAlign w:val="center"/>
            <w:hideMark/>
          </w:tcPr>
          <w:p w:rsidR="0058608E" w:rsidRPr="0058608E" w:rsidRDefault="0058608E" w:rsidP="0058608E">
            <w:pPr>
              <w:rPr>
                <w:rFonts w:ascii="NewBaskerville" w:hAnsi="NewBaskerville" w:cs="Calibri"/>
                <w:sz w:val="18"/>
                <w:szCs w:val="18"/>
                <w:lang w:val="es-ES"/>
              </w:rPr>
            </w:pPr>
            <w:r w:rsidRPr="0058608E">
              <w:rPr>
                <w:rFonts w:ascii="NewBaskerville" w:hAnsi="NewBaskerville" w:cs="Calibri"/>
                <w:sz w:val="18"/>
                <w:szCs w:val="18"/>
                <w:lang w:val="es-ES"/>
              </w:rPr>
              <w:t>Responsables</w:t>
            </w:r>
          </w:p>
        </w:tc>
        <w:tc>
          <w:tcPr>
            <w:tcW w:w="2191" w:type="dxa"/>
            <w:tcBorders>
              <w:top w:val="single" w:sz="4" w:space="0" w:color="000000"/>
              <w:left w:val="nil"/>
              <w:bottom w:val="single" w:sz="4" w:space="0" w:color="000000"/>
              <w:right w:val="nil"/>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28</w:t>
            </w:r>
          </w:p>
        </w:tc>
        <w:tc>
          <w:tcPr>
            <w:tcW w:w="2361" w:type="dxa"/>
            <w:tcBorders>
              <w:top w:val="single" w:sz="4" w:space="0" w:color="000000"/>
              <w:left w:val="single" w:sz="4" w:space="0" w:color="auto"/>
              <w:bottom w:val="single" w:sz="4" w:space="0" w:color="000000"/>
              <w:right w:val="single" w:sz="8" w:space="0" w:color="000000"/>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16</w:t>
            </w:r>
          </w:p>
        </w:tc>
      </w:tr>
      <w:tr w:rsidR="0058608E" w:rsidRPr="0058608E" w:rsidTr="0058608E">
        <w:trPr>
          <w:trHeight w:val="300"/>
        </w:trPr>
        <w:tc>
          <w:tcPr>
            <w:tcW w:w="3648" w:type="dxa"/>
            <w:gridSpan w:val="3"/>
            <w:tcBorders>
              <w:top w:val="single" w:sz="4" w:space="0" w:color="000000"/>
              <w:left w:val="single" w:sz="8" w:space="0" w:color="auto"/>
              <w:bottom w:val="single" w:sz="4" w:space="0" w:color="000000"/>
              <w:right w:val="single" w:sz="4" w:space="0" w:color="000000"/>
            </w:tcBorders>
            <w:shd w:val="clear" w:color="auto" w:fill="auto"/>
            <w:vAlign w:val="center"/>
            <w:hideMark/>
          </w:tcPr>
          <w:p w:rsidR="0058608E" w:rsidRPr="0058608E" w:rsidRDefault="0058608E" w:rsidP="0058608E">
            <w:pPr>
              <w:rPr>
                <w:rFonts w:ascii="NewBaskerville" w:hAnsi="NewBaskerville" w:cs="Calibri"/>
                <w:sz w:val="18"/>
                <w:szCs w:val="18"/>
                <w:lang w:val="es-ES"/>
              </w:rPr>
            </w:pPr>
            <w:r w:rsidRPr="0058608E">
              <w:rPr>
                <w:rFonts w:ascii="NewBaskerville" w:hAnsi="NewBaskerville" w:cs="Calibri"/>
                <w:sz w:val="18"/>
                <w:szCs w:val="18"/>
                <w:lang w:val="es-ES"/>
              </w:rPr>
              <w:t>Técnicos</w:t>
            </w:r>
          </w:p>
        </w:tc>
        <w:tc>
          <w:tcPr>
            <w:tcW w:w="2191" w:type="dxa"/>
            <w:tcBorders>
              <w:top w:val="single" w:sz="4" w:space="0" w:color="000000"/>
              <w:left w:val="nil"/>
              <w:bottom w:val="single" w:sz="4" w:space="0" w:color="000000"/>
              <w:right w:val="nil"/>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43</w:t>
            </w:r>
          </w:p>
        </w:tc>
        <w:tc>
          <w:tcPr>
            <w:tcW w:w="2361" w:type="dxa"/>
            <w:tcBorders>
              <w:top w:val="single" w:sz="4" w:space="0" w:color="000000"/>
              <w:left w:val="single" w:sz="4" w:space="0" w:color="auto"/>
              <w:bottom w:val="single" w:sz="4" w:space="0" w:color="000000"/>
              <w:right w:val="single" w:sz="8" w:space="0" w:color="000000"/>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24</w:t>
            </w:r>
          </w:p>
        </w:tc>
      </w:tr>
      <w:tr w:rsidR="0058608E" w:rsidRPr="0058608E" w:rsidTr="0058608E">
        <w:trPr>
          <w:trHeight w:val="300"/>
        </w:trPr>
        <w:tc>
          <w:tcPr>
            <w:tcW w:w="3648" w:type="dxa"/>
            <w:gridSpan w:val="3"/>
            <w:tcBorders>
              <w:top w:val="single" w:sz="4" w:space="0" w:color="000000"/>
              <w:left w:val="single" w:sz="8" w:space="0" w:color="auto"/>
              <w:bottom w:val="single" w:sz="4" w:space="0" w:color="000000"/>
              <w:right w:val="single" w:sz="4" w:space="0" w:color="000000"/>
            </w:tcBorders>
            <w:shd w:val="clear" w:color="auto" w:fill="auto"/>
            <w:vAlign w:val="center"/>
            <w:hideMark/>
          </w:tcPr>
          <w:p w:rsidR="0058608E" w:rsidRPr="0058608E" w:rsidRDefault="0058608E" w:rsidP="0058608E">
            <w:pPr>
              <w:rPr>
                <w:rFonts w:ascii="NewBaskerville" w:hAnsi="NewBaskerville" w:cs="Calibri"/>
                <w:sz w:val="18"/>
                <w:szCs w:val="18"/>
                <w:lang w:val="es-ES"/>
              </w:rPr>
            </w:pPr>
            <w:r w:rsidRPr="0058608E">
              <w:rPr>
                <w:rFonts w:ascii="NewBaskerville" w:hAnsi="NewBaskerville" w:cs="Calibri"/>
                <w:sz w:val="18"/>
                <w:szCs w:val="18"/>
                <w:lang w:val="es-ES"/>
              </w:rPr>
              <w:t>Jefes de Equipo</w:t>
            </w:r>
          </w:p>
        </w:tc>
        <w:tc>
          <w:tcPr>
            <w:tcW w:w="2191" w:type="dxa"/>
            <w:tcBorders>
              <w:top w:val="single" w:sz="4" w:space="0" w:color="000000"/>
              <w:left w:val="nil"/>
              <w:bottom w:val="single" w:sz="4" w:space="0" w:color="000000"/>
              <w:right w:val="nil"/>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18</w:t>
            </w:r>
          </w:p>
        </w:tc>
        <w:tc>
          <w:tcPr>
            <w:tcW w:w="2361" w:type="dxa"/>
            <w:tcBorders>
              <w:top w:val="single" w:sz="4" w:space="0" w:color="000000"/>
              <w:left w:val="single" w:sz="4" w:space="0" w:color="auto"/>
              <w:bottom w:val="single" w:sz="4" w:space="0" w:color="000000"/>
              <w:right w:val="single" w:sz="8" w:space="0" w:color="000000"/>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1</w:t>
            </w:r>
          </w:p>
        </w:tc>
      </w:tr>
      <w:tr w:rsidR="0058608E" w:rsidRPr="0058608E" w:rsidTr="0058608E">
        <w:trPr>
          <w:trHeight w:val="315"/>
        </w:trPr>
        <w:tc>
          <w:tcPr>
            <w:tcW w:w="3648" w:type="dxa"/>
            <w:gridSpan w:val="3"/>
            <w:tcBorders>
              <w:top w:val="single" w:sz="4" w:space="0" w:color="000000"/>
              <w:left w:val="single" w:sz="8" w:space="0" w:color="auto"/>
              <w:bottom w:val="nil"/>
              <w:right w:val="single" w:sz="4" w:space="0" w:color="000000"/>
            </w:tcBorders>
            <w:shd w:val="clear" w:color="auto" w:fill="auto"/>
            <w:vAlign w:val="center"/>
            <w:hideMark/>
          </w:tcPr>
          <w:p w:rsidR="0058608E" w:rsidRPr="0058608E" w:rsidRDefault="0058608E" w:rsidP="0058608E">
            <w:pPr>
              <w:rPr>
                <w:rFonts w:ascii="NewBaskerville" w:hAnsi="NewBaskerville" w:cs="Calibri"/>
                <w:sz w:val="18"/>
                <w:szCs w:val="18"/>
                <w:lang w:val="es-ES"/>
              </w:rPr>
            </w:pPr>
            <w:r w:rsidRPr="0058608E">
              <w:rPr>
                <w:rFonts w:ascii="NewBaskerville" w:hAnsi="NewBaskerville" w:cs="Calibri"/>
                <w:sz w:val="18"/>
                <w:szCs w:val="18"/>
                <w:lang w:val="es-ES"/>
              </w:rPr>
              <w:t>Policía Portuaria, administrativos, oficiales</w:t>
            </w:r>
          </w:p>
        </w:tc>
        <w:tc>
          <w:tcPr>
            <w:tcW w:w="2191" w:type="dxa"/>
            <w:tcBorders>
              <w:top w:val="single" w:sz="4" w:space="0" w:color="000000"/>
              <w:left w:val="nil"/>
              <w:bottom w:val="nil"/>
              <w:right w:val="nil"/>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125</w:t>
            </w:r>
          </w:p>
        </w:tc>
        <w:tc>
          <w:tcPr>
            <w:tcW w:w="2361" w:type="dxa"/>
            <w:tcBorders>
              <w:top w:val="single" w:sz="4" w:space="0" w:color="000000"/>
              <w:left w:val="single" w:sz="4" w:space="0" w:color="auto"/>
              <w:bottom w:val="nil"/>
              <w:right w:val="single" w:sz="8" w:space="0" w:color="000000"/>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43</w:t>
            </w:r>
          </w:p>
        </w:tc>
      </w:tr>
      <w:tr w:rsidR="0058608E" w:rsidRPr="0058608E" w:rsidTr="0058608E">
        <w:trPr>
          <w:trHeight w:val="315"/>
        </w:trPr>
        <w:tc>
          <w:tcPr>
            <w:tcW w:w="3648" w:type="dxa"/>
            <w:gridSpan w:val="3"/>
            <w:tcBorders>
              <w:top w:val="single" w:sz="8" w:space="0" w:color="auto"/>
              <w:left w:val="single" w:sz="8" w:space="0" w:color="auto"/>
              <w:bottom w:val="single" w:sz="8" w:space="0" w:color="auto"/>
              <w:right w:val="single" w:sz="4" w:space="0" w:color="000000"/>
            </w:tcBorders>
            <w:shd w:val="clear" w:color="auto" w:fill="auto"/>
            <w:hideMark/>
          </w:tcPr>
          <w:p w:rsidR="0058608E" w:rsidRPr="0058608E" w:rsidRDefault="0058608E" w:rsidP="0058608E">
            <w:pPr>
              <w:rPr>
                <w:rFonts w:ascii="NewBaskerville" w:hAnsi="NewBaskerville" w:cs="Calibri"/>
                <w:b/>
                <w:bCs/>
                <w:sz w:val="18"/>
                <w:szCs w:val="18"/>
                <w:lang w:val="es-ES"/>
              </w:rPr>
            </w:pPr>
            <w:r w:rsidRPr="0058608E">
              <w:rPr>
                <w:rFonts w:ascii="NewBaskerville" w:hAnsi="NewBaskerville" w:cs="Calibri"/>
                <w:b/>
                <w:bCs/>
                <w:sz w:val="18"/>
                <w:szCs w:val="18"/>
                <w:lang w:val="es-ES"/>
              </w:rPr>
              <w:t>TOTAL</w:t>
            </w:r>
          </w:p>
        </w:tc>
        <w:tc>
          <w:tcPr>
            <w:tcW w:w="2191" w:type="dxa"/>
            <w:tcBorders>
              <w:top w:val="single" w:sz="8" w:space="0" w:color="auto"/>
              <w:left w:val="nil"/>
              <w:bottom w:val="single" w:sz="8" w:space="0" w:color="auto"/>
              <w:right w:val="nil"/>
            </w:tcBorders>
            <w:shd w:val="clear" w:color="000000" w:fill="FFFFFF"/>
            <w:noWrap/>
            <w:vAlign w:val="center"/>
            <w:hideMark/>
          </w:tcPr>
          <w:p w:rsidR="0058608E" w:rsidRPr="0058608E" w:rsidRDefault="0058608E" w:rsidP="0058608E">
            <w:pPr>
              <w:jc w:val="center"/>
              <w:rPr>
                <w:rFonts w:ascii="NewBaskerville" w:hAnsi="NewBaskerville" w:cs="Calibri"/>
                <w:b/>
                <w:bCs/>
                <w:color w:val="000000"/>
                <w:sz w:val="18"/>
                <w:szCs w:val="18"/>
                <w:lang w:val="es-ES"/>
              </w:rPr>
            </w:pPr>
            <w:r w:rsidRPr="0058608E">
              <w:rPr>
                <w:rFonts w:ascii="NewBaskerville" w:hAnsi="NewBaskerville" w:cs="Calibri"/>
                <w:b/>
                <w:bCs/>
                <w:color w:val="000000"/>
                <w:sz w:val="18"/>
                <w:szCs w:val="18"/>
                <w:lang w:val="es-ES"/>
              </w:rPr>
              <w:t>235</w:t>
            </w:r>
          </w:p>
        </w:tc>
        <w:tc>
          <w:tcPr>
            <w:tcW w:w="2361" w:type="dxa"/>
            <w:tcBorders>
              <w:top w:val="single" w:sz="8" w:space="0" w:color="auto"/>
              <w:left w:val="single" w:sz="4" w:space="0" w:color="auto"/>
              <w:bottom w:val="single" w:sz="8" w:space="0" w:color="auto"/>
              <w:right w:val="single" w:sz="8" w:space="0" w:color="000000"/>
            </w:tcBorders>
            <w:shd w:val="clear" w:color="000000" w:fill="FFFFFF"/>
            <w:noWrap/>
            <w:vAlign w:val="center"/>
            <w:hideMark/>
          </w:tcPr>
          <w:p w:rsidR="0058608E" w:rsidRPr="0058608E" w:rsidRDefault="0058608E" w:rsidP="0058608E">
            <w:pPr>
              <w:jc w:val="center"/>
              <w:rPr>
                <w:rFonts w:ascii="NewBaskerville" w:hAnsi="NewBaskerville" w:cs="Calibri"/>
                <w:b/>
                <w:bCs/>
                <w:color w:val="000000"/>
                <w:sz w:val="18"/>
                <w:szCs w:val="18"/>
                <w:lang w:val="es-ES"/>
              </w:rPr>
            </w:pPr>
            <w:r w:rsidRPr="0058608E">
              <w:rPr>
                <w:rFonts w:ascii="NewBaskerville" w:hAnsi="NewBaskerville" w:cs="Calibri"/>
                <w:b/>
                <w:bCs/>
                <w:color w:val="000000"/>
                <w:sz w:val="18"/>
                <w:szCs w:val="18"/>
                <w:lang w:val="es-ES"/>
              </w:rPr>
              <w:t>89</w:t>
            </w:r>
          </w:p>
        </w:tc>
      </w:tr>
    </w:tbl>
    <w:p w:rsidR="0058608E" w:rsidRDefault="0058608E" w:rsidP="00570EBA">
      <w:pPr>
        <w:pStyle w:val="Sangra3detindependiente"/>
        <w:tabs>
          <w:tab w:val="clear" w:pos="5671"/>
          <w:tab w:val="clear" w:pos="7797"/>
          <w:tab w:val="right" w:pos="3403"/>
        </w:tabs>
        <w:spacing w:before="120"/>
        <w:rPr>
          <w:rFonts w:ascii="NewBaskerville" w:hAnsi="NewBaskerville"/>
          <w:bCs/>
          <w:sz w:val="20"/>
          <w:szCs w:val="20"/>
        </w:rPr>
      </w:pPr>
    </w:p>
    <w:p w:rsidR="0058608E" w:rsidRPr="00D54A29" w:rsidRDefault="0058608E" w:rsidP="00570EBA">
      <w:pPr>
        <w:pStyle w:val="Sangra3detindependiente"/>
        <w:tabs>
          <w:tab w:val="clear" w:pos="5671"/>
          <w:tab w:val="clear" w:pos="7797"/>
          <w:tab w:val="right" w:pos="3403"/>
        </w:tabs>
        <w:spacing w:before="120"/>
        <w:rPr>
          <w:rFonts w:ascii="NewBaskerville" w:hAnsi="NewBaskerville"/>
          <w:bCs/>
          <w:sz w:val="20"/>
          <w:szCs w:val="20"/>
        </w:rPr>
      </w:pPr>
    </w:p>
    <w:p w:rsidR="00431338" w:rsidRDefault="00431338" w:rsidP="00570EBA">
      <w:pPr>
        <w:pStyle w:val="Sangra3detindependiente"/>
        <w:tabs>
          <w:tab w:val="clear" w:pos="5671"/>
          <w:tab w:val="clear" w:pos="7797"/>
          <w:tab w:val="right" w:pos="3403"/>
        </w:tabs>
        <w:spacing w:before="120"/>
        <w:rPr>
          <w:bCs/>
          <w:sz w:val="20"/>
          <w:szCs w:val="20"/>
        </w:rPr>
      </w:pPr>
    </w:p>
    <w:p w:rsidR="00423C1D" w:rsidRDefault="00423C1D" w:rsidP="00570EBA">
      <w:pPr>
        <w:pStyle w:val="Sangra3detindependiente"/>
        <w:tabs>
          <w:tab w:val="clear" w:pos="5671"/>
          <w:tab w:val="clear" w:pos="7797"/>
          <w:tab w:val="right" w:pos="3403"/>
        </w:tabs>
        <w:spacing w:before="120"/>
        <w:rPr>
          <w:bCs/>
          <w:sz w:val="20"/>
          <w:szCs w:val="20"/>
        </w:rPr>
      </w:pPr>
    </w:p>
    <w:p w:rsidR="00245534" w:rsidRDefault="00245534" w:rsidP="00EF6B46">
      <w:pPr>
        <w:tabs>
          <w:tab w:val="right" w:pos="8364"/>
        </w:tabs>
        <w:ind w:firstLine="540"/>
        <w:jc w:val="both"/>
        <w:rPr>
          <w:bCs/>
          <w:sz w:val="24"/>
        </w:rPr>
      </w:pPr>
    </w:p>
    <w:p w:rsidR="001052A7" w:rsidRDefault="001052A7" w:rsidP="0081769D">
      <w:pPr>
        <w:tabs>
          <w:tab w:val="right" w:pos="8364"/>
        </w:tabs>
        <w:jc w:val="both"/>
        <w:rPr>
          <w:rFonts w:ascii="NewBaskerville" w:hAnsi="NewBaskerville"/>
          <w:b/>
          <w:bCs/>
          <w:sz w:val="24"/>
          <w:szCs w:val="24"/>
        </w:rPr>
      </w:pPr>
    </w:p>
    <w:p w:rsidR="0058608E" w:rsidRDefault="0058608E" w:rsidP="0081769D">
      <w:pPr>
        <w:tabs>
          <w:tab w:val="right" w:pos="8364"/>
        </w:tabs>
        <w:jc w:val="both"/>
        <w:rPr>
          <w:rFonts w:ascii="NewBaskerville" w:hAnsi="NewBaskerville"/>
          <w:b/>
          <w:bCs/>
          <w:sz w:val="24"/>
          <w:szCs w:val="24"/>
        </w:rPr>
      </w:pPr>
    </w:p>
    <w:p w:rsidR="00EF6B46" w:rsidRPr="004B5CEB" w:rsidRDefault="00EF6B46" w:rsidP="0081769D">
      <w:pPr>
        <w:tabs>
          <w:tab w:val="right" w:pos="8364"/>
        </w:tabs>
        <w:jc w:val="both"/>
        <w:rPr>
          <w:rFonts w:ascii="NewBaskerville" w:hAnsi="NewBaskerville"/>
          <w:b/>
          <w:bCs/>
          <w:sz w:val="24"/>
          <w:szCs w:val="24"/>
        </w:rPr>
      </w:pPr>
      <w:r w:rsidRPr="004B5CEB">
        <w:rPr>
          <w:rFonts w:ascii="NewBaskerville" w:hAnsi="NewBaskerville"/>
          <w:b/>
          <w:bCs/>
          <w:sz w:val="24"/>
          <w:szCs w:val="24"/>
        </w:rPr>
        <w:t>1</w:t>
      </w:r>
      <w:r w:rsidR="00A00693" w:rsidRPr="004B5CEB">
        <w:rPr>
          <w:rFonts w:ascii="NewBaskerville" w:hAnsi="NewBaskerville"/>
          <w:b/>
          <w:bCs/>
          <w:sz w:val="24"/>
          <w:szCs w:val="24"/>
        </w:rPr>
        <w:t>7</w:t>
      </w:r>
      <w:r w:rsidR="002019D4" w:rsidRPr="004B5CEB">
        <w:rPr>
          <w:rFonts w:ascii="NewBaskerville" w:hAnsi="NewBaskerville"/>
          <w:b/>
          <w:bCs/>
          <w:sz w:val="24"/>
          <w:szCs w:val="24"/>
        </w:rPr>
        <w:t xml:space="preserve">. </w:t>
      </w:r>
      <w:r w:rsidRPr="004B5CEB">
        <w:rPr>
          <w:rFonts w:ascii="NewBaskerville" w:hAnsi="NewBaskerville"/>
          <w:b/>
          <w:bCs/>
          <w:sz w:val="24"/>
          <w:szCs w:val="24"/>
        </w:rPr>
        <w:t>Remuneraciones de consejeros</w:t>
      </w:r>
    </w:p>
    <w:p w:rsidR="00EF6B46" w:rsidRPr="004B5CEB" w:rsidRDefault="00EF6B46" w:rsidP="008D534C">
      <w:pPr>
        <w:tabs>
          <w:tab w:val="right" w:pos="8364"/>
        </w:tabs>
        <w:jc w:val="both"/>
        <w:rPr>
          <w:rFonts w:ascii="NewBaskerville" w:hAnsi="NewBaskerville"/>
        </w:rPr>
      </w:pPr>
    </w:p>
    <w:p w:rsidR="00C43B1A" w:rsidRPr="004B5CEB" w:rsidRDefault="00EF6B46" w:rsidP="00C43B1A">
      <w:pPr>
        <w:tabs>
          <w:tab w:val="right" w:pos="8364"/>
        </w:tabs>
        <w:ind w:firstLine="567"/>
        <w:jc w:val="both"/>
        <w:rPr>
          <w:rFonts w:ascii="NewBaskerville" w:hAnsi="NewBaskerville"/>
        </w:rPr>
      </w:pPr>
      <w:r w:rsidRPr="004B5CEB">
        <w:rPr>
          <w:rFonts w:ascii="NewBaskerville" w:hAnsi="NewBaskerville"/>
        </w:rPr>
        <w:t xml:space="preserve">Los miembros del Consejo de Administración por acuerdo del mismo de día 13 de </w:t>
      </w:r>
      <w:r w:rsidR="00A861CC">
        <w:rPr>
          <w:rFonts w:ascii="NewBaskerville" w:hAnsi="NewBaskerville"/>
        </w:rPr>
        <w:t>d</w:t>
      </w:r>
      <w:r w:rsidRPr="004B5CEB">
        <w:rPr>
          <w:rFonts w:ascii="NewBaskerville" w:hAnsi="NewBaskerville"/>
        </w:rPr>
        <w:t>iciembre de 2001 cobran dietas por asis</w:t>
      </w:r>
      <w:r w:rsidR="001164D2" w:rsidRPr="004B5CEB">
        <w:rPr>
          <w:rFonts w:ascii="NewBaskerville" w:hAnsi="NewBaskerville"/>
        </w:rPr>
        <w:t>t</w:t>
      </w:r>
      <w:r w:rsidR="00D07CEE" w:rsidRPr="004B5CEB">
        <w:rPr>
          <w:rFonts w:ascii="NewBaskerville" w:hAnsi="NewBaskerville"/>
        </w:rPr>
        <w:t>encia. Durante el ejercicio 202</w:t>
      </w:r>
      <w:r w:rsidR="00A8143D">
        <w:rPr>
          <w:rFonts w:ascii="NewBaskerville" w:hAnsi="NewBaskerville"/>
        </w:rPr>
        <w:t>4</w:t>
      </w:r>
      <w:r w:rsidRPr="004B5CEB">
        <w:rPr>
          <w:rFonts w:ascii="NewBaskerville" w:hAnsi="NewBaskerville"/>
        </w:rPr>
        <w:t xml:space="preserve"> se han pagado </w:t>
      </w:r>
      <w:r w:rsidR="00D07CEE" w:rsidRPr="004B5CEB">
        <w:rPr>
          <w:rFonts w:ascii="NewBaskerville" w:hAnsi="NewBaskerville"/>
        </w:rPr>
        <w:t>1</w:t>
      </w:r>
      <w:r w:rsidR="00395199">
        <w:rPr>
          <w:rFonts w:ascii="NewBaskerville" w:hAnsi="NewBaskerville"/>
        </w:rPr>
        <w:t>6</w:t>
      </w:r>
      <w:r w:rsidR="00A8143D">
        <w:rPr>
          <w:rFonts w:ascii="NewBaskerville" w:hAnsi="NewBaskerville"/>
        </w:rPr>
        <w:t>0</w:t>
      </w:r>
      <w:r w:rsidR="00D07CEE" w:rsidRPr="004B5CEB">
        <w:rPr>
          <w:rFonts w:ascii="NewBaskerville" w:hAnsi="NewBaskerville"/>
        </w:rPr>
        <w:t>.</w:t>
      </w:r>
      <w:r w:rsidR="00A8143D">
        <w:rPr>
          <w:rFonts w:ascii="NewBaskerville" w:hAnsi="NewBaskerville"/>
        </w:rPr>
        <w:t>856</w:t>
      </w:r>
      <w:r w:rsidR="00395199">
        <w:rPr>
          <w:rFonts w:ascii="NewBaskerville" w:hAnsi="NewBaskerville"/>
        </w:rPr>
        <w:t>,</w:t>
      </w:r>
      <w:r w:rsidR="00A8143D">
        <w:rPr>
          <w:rFonts w:ascii="NewBaskerville" w:hAnsi="NewBaskerville"/>
        </w:rPr>
        <w:t>22</w:t>
      </w:r>
      <w:r w:rsidR="00D07CEE" w:rsidRPr="004B5CEB">
        <w:rPr>
          <w:rFonts w:ascii="NewBaskerville" w:hAnsi="NewBaskerville"/>
        </w:rPr>
        <w:t xml:space="preserve"> euros (202</w:t>
      </w:r>
      <w:r w:rsidR="00A8143D">
        <w:rPr>
          <w:rFonts w:ascii="NewBaskerville" w:hAnsi="NewBaskerville"/>
        </w:rPr>
        <w:t>3</w:t>
      </w:r>
      <w:r w:rsidR="00C43B1A" w:rsidRPr="004B5CEB">
        <w:rPr>
          <w:rFonts w:ascii="NewBaskerville" w:hAnsi="NewBaskerville"/>
        </w:rPr>
        <w:t xml:space="preserve">: </w:t>
      </w:r>
      <w:r w:rsidR="00A8143D">
        <w:rPr>
          <w:rFonts w:ascii="NewBaskerville" w:hAnsi="NewBaskerville"/>
        </w:rPr>
        <w:t>161</w:t>
      </w:r>
      <w:r w:rsidR="00D07CEE" w:rsidRPr="004B5CEB">
        <w:rPr>
          <w:rFonts w:ascii="NewBaskerville" w:hAnsi="NewBaskerville"/>
          <w:color w:val="000000"/>
          <w:lang w:eastAsia="es-ES_tradnl"/>
        </w:rPr>
        <w:t>.</w:t>
      </w:r>
      <w:r w:rsidR="00A8143D">
        <w:rPr>
          <w:rFonts w:ascii="NewBaskerville" w:hAnsi="NewBaskerville"/>
          <w:color w:val="000000"/>
          <w:lang w:eastAsia="es-ES_tradnl"/>
        </w:rPr>
        <w:t>946</w:t>
      </w:r>
      <w:r w:rsidR="00D07CEE" w:rsidRPr="004B5CEB">
        <w:rPr>
          <w:rFonts w:ascii="NewBaskerville" w:hAnsi="NewBaskerville"/>
          <w:color w:val="000000"/>
          <w:lang w:eastAsia="es-ES_tradnl"/>
        </w:rPr>
        <w:t>,</w:t>
      </w:r>
      <w:r w:rsidR="00395199">
        <w:rPr>
          <w:rFonts w:ascii="NewBaskerville" w:hAnsi="NewBaskerville"/>
          <w:color w:val="000000"/>
          <w:lang w:eastAsia="es-ES_tradnl"/>
        </w:rPr>
        <w:t>1</w:t>
      </w:r>
      <w:r w:rsidR="00A8143D">
        <w:rPr>
          <w:rFonts w:ascii="NewBaskerville" w:hAnsi="NewBaskerville"/>
          <w:color w:val="000000"/>
          <w:lang w:eastAsia="es-ES_tradnl"/>
        </w:rPr>
        <w:t>4</w:t>
      </w:r>
      <w:r w:rsidR="00D07CEE" w:rsidRPr="004B5CEB">
        <w:rPr>
          <w:rFonts w:ascii="NewBaskerville" w:hAnsi="NewBaskerville"/>
          <w:color w:val="000000"/>
          <w:lang w:eastAsia="es-ES_tradnl"/>
        </w:rPr>
        <w:t xml:space="preserve"> e</w:t>
      </w:r>
      <w:r w:rsidR="00C43B1A" w:rsidRPr="004B5CEB">
        <w:rPr>
          <w:rFonts w:ascii="NewBaskerville" w:hAnsi="NewBaskerville"/>
        </w:rPr>
        <w:t>uros).</w:t>
      </w:r>
    </w:p>
    <w:p w:rsidR="00EF6B46" w:rsidRPr="004B5CEB" w:rsidRDefault="00EF6B46" w:rsidP="00C43B1A">
      <w:pPr>
        <w:tabs>
          <w:tab w:val="right" w:pos="8364"/>
        </w:tabs>
        <w:jc w:val="both"/>
        <w:rPr>
          <w:rFonts w:ascii="NewBaskerville" w:hAnsi="NewBaskerville"/>
        </w:rPr>
      </w:pPr>
    </w:p>
    <w:p w:rsidR="00EF6B46" w:rsidRPr="004B5CEB" w:rsidRDefault="00EF6B46" w:rsidP="00EF6B46">
      <w:pPr>
        <w:tabs>
          <w:tab w:val="right" w:pos="8364"/>
        </w:tabs>
        <w:ind w:firstLine="567"/>
        <w:jc w:val="both"/>
        <w:rPr>
          <w:rFonts w:ascii="NewBaskerville" w:hAnsi="NewBaskerville"/>
        </w:rPr>
      </w:pPr>
      <w:r w:rsidRPr="004B5CEB">
        <w:rPr>
          <w:rFonts w:ascii="NewBaskerville" w:hAnsi="NewBaskerville"/>
        </w:rPr>
        <w:t>Ninguno de los Consejeros de la Entidad ostenta participaciones en el capital social, ni ostenta cargo alguno en Sociedades con análogo o complementario objeto social</w:t>
      </w:r>
      <w:r w:rsidR="00B97531" w:rsidRPr="004B5CEB">
        <w:rPr>
          <w:rFonts w:ascii="NewBaskerville" w:hAnsi="NewBaskerville"/>
        </w:rPr>
        <w:t>.</w:t>
      </w:r>
      <w:r w:rsidRPr="004B5CEB">
        <w:rPr>
          <w:rFonts w:ascii="NewBaskerville" w:hAnsi="NewBaskerville"/>
        </w:rPr>
        <w:t xml:space="preserve"> </w:t>
      </w:r>
    </w:p>
    <w:p w:rsidR="008A1987" w:rsidRDefault="008A1987" w:rsidP="00EF6B46">
      <w:pPr>
        <w:tabs>
          <w:tab w:val="right" w:pos="8364"/>
        </w:tabs>
        <w:ind w:firstLine="567"/>
        <w:jc w:val="both"/>
      </w:pPr>
    </w:p>
    <w:p w:rsidR="00EF6B46" w:rsidRDefault="00EF6B46" w:rsidP="00EF6B46">
      <w:pPr>
        <w:tabs>
          <w:tab w:val="right" w:pos="8364"/>
        </w:tabs>
        <w:ind w:firstLine="567"/>
        <w:jc w:val="both"/>
        <w:rPr>
          <w:sz w:val="24"/>
        </w:rPr>
      </w:pPr>
    </w:p>
    <w:p w:rsidR="00050985" w:rsidRDefault="00050985" w:rsidP="00EF6B46">
      <w:pPr>
        <w:tabs>
          <w:tab w:val="right" w:pos="8364"/>
        </w:tabs>
        <w:ind w:firstLine="567"/>
        <w:jc w:val="both"/>
        <w:rPr>
          <w:sz w:val="24"/>
        </w:rPr>
      </w:pPr>
    </w:p>
    <w:p w:rsidR="00EF6B46" w:rsidRPr="00803B43" w:rsidRDefault="002E417C" w:rsidP="00EF6B46">
      <w:pPr>
        <w:tabs>
          <w:tab w:val="right" w:pos="8364"/>
        </w:tabs>
        <w:ind w:left="567" w:hanging="567"/>
        <w:jc w:val="both"/>
        <w:rPr>
          <w:rFonts w:ascii="NewBaskerville" w:hAnsi="NewBaskerville"/>
          <w:b/>
          <w:bCs/>
          <w:sz w:val="24"/>
          <w:szCs w:val="24"/>
        </w:rPr>
      </w:pPr>
      <w:r w:rsidRPr="00803B43">
        <w:rPr>
          <w:rFonts w:ascii="NewBaskerville" w:hAnsi="NewBaskerville"/>
          <w:b/>
          <w:bCs/>
          <w:sz w:val="24"/>
          <w:szCs w:val="24"/>
        </w:rPr>
        <w:t>18</w:t>
      </w:r>
      <w:r w:rsidR="002019D4" w:rsidRPr="00803B43">
        <w:rPr>
          <w:rFonts w:ascii="NewBaskerville" w:hAnsi="NewBaskerville"/>
          <w:b/>
          <w:bCs/>
          <w:sz w:val="24"/>
          <w:szCs w:val="24"/>
        </w:rPr>
        <w:t xml:space="preserve">. </w:t>
      </w:r>
      <w:r w:rsidR="00803B43">
        <w:rPr>
          <w:rFonts w:ascii="NewBaskerville" w:hAnsi="NewBaskerville"/>
          <w:b/>
          <w:bCs/>
          <w:sz w:val="24"/>
          <w:szCs w:val="24"/>
        </w:rPr>
        <w:t>Información sobre el período medio de pago a proveedores en operaciones comerciales.</w:t>
      </w:r>
    </w:p>
    <w:p w:rsidR="00EF6B46" w:rsidRDefault="00EF6B46" w:rsidP="00EF6B46">
      <w:pPr>
        <w:pStyle w:val="Textoindependiente"/>
        <w:keepLines/>
      </w:pPr>
    </w:p>
    <w:p w:rsidR="000D0B74" w:rsidRDefault="000214BB" w:rsidP="000214BB">
      <w:pPr>
        <w:pStyle w:val="Sangradetextonormal"/>
        <w:tabs>
          <w:tab w:val="clear" w:pos="8364"/>
          <w:tab w:val="right" w:pos="8222"/>
        </w:tabs>
        <w:rPr>
          <w:rFonts w:ascii="NewBaskerville" w:hAnsi="NewBaskerville"/>
          <w:sz w:val="20"/>
        </w:rPr>
      </w:pPr>
      <w:r w:rsidRPr="00803B43">
        <w:rPr>
          <w:rFonts w:ascii="NewBaskerville" w:hAnsi="NewBaskerville"/>
          <w:sz w:val="20"/>
        </w:rPr>
        <w:t xml:space="preserve">No existen aplazamientos de pago. Se detalla </w:t>
      </w:r>
      <w:r w:rsidR="00EF6B46" w:rsidRPr="00803B43">
        <w:rPr>
          <w:rFonts w:ascii="NewBaskerville" w:hAnsi="NewBaskerville"/>
          <w:sz w:val="20"/>
        </w:rPr>
        <w:t>l</w:t>
      </w:r>
      <w:r w:rsidRPr="00803B43">
        <w:rPr>
          <w:rFonts w:ascii="NewBaskerville" w:hAnsi="NewBaskerville"/>
          <w:sz w:val="20"/>
        </w:rPr>
        <w:t xml:space="preserve">a información </w:t>
      </w:r>
      <w:r w:rsidR="00EF6B46" w:rsidRPr="00803B43">
        <w:rPr>
          <w:rFonts w:ascii="NewBaskerville" w:hAnsi="NewBaskerville"/>
          <w:sz w:val="20"/>
        </w:rPr>
        <w:t>de pagos realizados a</w:t>
      </w:r>
      <w:r w:rsidRPr="00803B43">
        <w:rPr>
          <w:rFonts w:ascii="NewBaskerville" w:hAnsi="NewBaskerville"/>
          <w:sz w:val="20"/>
        </w:rPr>
        <w:t xml:space="preserve"> proveedores en operaciones comerciales en los</w:t>
      </w:r>
      <w:r w:rsidR="00EF6B46" w:rsidRPr="00803B43">
        <w:rPr>
          <w:rFonts w:ascii="NewBaskerville" w:hAnsi="NewBaskerville"/>
          <w:sz w:val="20"/>
        </w:rPr>
        <w:t xml:space="preserve"> ejercicio</w:t>
      </w:r>
      <w:r w:rsidRPr="00803B43">
        <w:rPr>
          <w:rFonts w:ascii="NewBaskerville" w:hAnsi="NewBaskerville"/>
          <w:sz w:val="20"/>
        </w:rPr>
        <w:t>s 202</w:t>
      </w:r>
      <w:r w:rsidR="00CE1CDB">
        <w:rPr>
          <w:rFonts w:ascii="NewBaskerville" w:hAnsi="NewBaskerville"/>
          <w:sz w:val="20"/>
        </w:rPr>
        <w:t>4</w:t>
      </w:r>
      <w:r w:rsidRPr="00803B43">
        <w:rPr>
          <w:rFonts w:ascii="NewBaskerville" w:hAnsi="NewBaskerville"/>
          <w:sz w:val="20"/>
        </w:rPr>
        <w:t xml:space="preserve"> y 202</w:t>
      </w:r>
      <w:r w:rsidR="00CE1CDB">
        <w:rPr>
          <w:rFonts w:ascii="NewBaskerville" w:hAnsi="NewBaskerville"/>
          <w:sz w:val="20"/>
        </w:rPr>
        <w:t>3</w:t>
      </w:r>
      <w:r w:rsidRPr="00803B43">
        <w:rPr>
          <w:rFonts w:ascii="NewBaskerville" w:hAnsi="NewBaskerville"/>
          <w:sz w:val="20"/>
        </w:rPr>
        <w:t>:</w:t>
      </w:r>
    </w:p>
    <w:p w:rsidR="00991EBD" w:rsidRDefault="00991EBD" w:rsidP="000214BB">
      <w:pPr>
        <w:pStyle w:val="Sangradetextonormal"/>
        <w:tabs>
          <w:tab w:val="clear" w:pos="8364"/>
          <w:tab w:val="right" w:pos="8222"/>
        </w:tabs>
        <w:rPr>
          <w:rFonts w:ascii="NewBaskerville" w:hAnsi="NewBaskerville"/>
          <w:sz w:val="20"/>
        </w:rPr>
      </w:pPr>
    </w:p>
    <w:tbl>
      <w:tblPr>
        <w:tblW w:w="5000" w:type="pct"/>
        <w:tblCellMar>
          <w:left w:w="70" w:type="dxa"/>
          <w:right w:w="70" w:type="dxa"/>
        </w:tblCellMar>
        <w:tblLook w:val="04A0" w:firstRow="1" w:lastRow="0" w:firstColumn="1" w:lastColumn="0" w:noHBand="0" w:noVBand="1"/>
      </w:tblPr>
      <w:tblGrid>
        <w:gridCol w:w="1531"/>
        <w:gridCol w:w="1532"/>
        <w:gridCol w:w="1293"/>
        <w:gridCol w:w="2533"/>
        <w:gridCol w:w="2464"/>
      </w:tblGrid>
      <w:tr w:rsidR="008377CF" w:rsidRPr="008377CF" w:rsidTr="008377CF">
        <w:trPr>
          <w:trHeight w:val="465"/>
        </w:trPr>
        <w:tc>
          <w:tcPr>
            <w:tcW w:w="5000" w:type="pct"/>
            <w:gridSpan w:val="5"/>
            <w:tcBorders>
              <w:top w:val="nil"/>
              <w:left w:val="nil"/>
              <w:bottom w:val="nil"/>
              <w:right w:val="nil"/>
            </w:tcBorders>
            <w:shd w:val="clear" w:color="auto" w:fill="auto"/>
            <w:vAlign w:val="bottom"/>
            <w:hideMark/>
          </w:tcPr>
          <w:p w:rsidR="008377CF" w:rsidRPr="008377CF" w:rsidRDefault="008377CF" w:rsidP="008377CF">
            <w:pPr>
              <w:rPr>
                <w:rFonts w:ascii="Lucida Bright" w:hAnsi="Lucida Bright" w:cs="Calibri"/>
                <w:b/>
                <w:bCs/>
                <w:color w:val="000000"/>
                <w:sz w:val="14"/>
                <w:szCs w:val="14"/>
                <w:lang w:val="es-ES"/>
              </w:rPr>
            </w:pPr>
            <w:r w:rsidRPr="008377CF">
              <w:rPr>
                <w:rFonts w:ascii="Lucida Bright" w:hAnsi="Lucida Bright" w:cs="Calibri"/>
                <w:b/>
                <w:bCs/>
                <w:color w:val="000000"/>
                <w:sz w:val="14"/>
                <w:szCs w:val="14"/>
                <w:lang w:val="es-ES"/>
              </w:rPr>
              <w:t>Información sobre el periodo medio de pago a proveedores en operaciones comerciales.</w:t>
            </w:r>
          </w:p>
        </w:tc>
      </w:tr>
      <w:tr w:rsidR="008377CF" w:rsidRPr="008377CF" w:rsidTr="008377CF">
        <w:trPr>
          <w:trHeight w:val="240"/>
        </w:trPr>
        <w:tc>
          <w:tcPr>
            <w:tcW w:w="819" w:type="pct"/>
            <w:tcBorders>
              <w:top w:val="single" w:sz="8" w:space="0" w:color="auto"/>
              <w:left w:val="single" w:sz="8" w:space="0" w:color="auto"/>
              <w:bottom w:val="nil"/>
              <w:right w:val="nil"/>
            </w:tcBorders>
            <w:shd w:val="clear" w:color="000000" w:fill="CCFFCC"/>
            <w:noWrap/>
            <w:vAlign w:val="bottom"/>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 </w:t>
            </w:r>
          </w:p>
        </w:tc>
        <w:tc>
          <w:tcPr>
            <w:tcW w:w="819" w:type="pct"/>
            <w:tcBorders>
              <w:top w:val="single" w:sz="8" w:space="0" w:color="auto"/>
              <w:left w:val="nil"/>
              <w:bottom w:val="nil"/>
              <w:right w:val="nil"/>
            </w:tcBorders>
            <w:shd w:val="clear" w:color="000000" w:fill="CCFFCC"/>
            <w:noWrap/>
            <w:vAlign w:val="bottom"/>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 </w:t>
            </w:r>
          </w:p>
        </w:tc>
        <w:tc>
          <w:tcPr>
            <w:tcW w:w="691" w:type="pct"/>
            <w:tcBorders>
              <w:top w:val="single" w:sz="8" w:space="0" w:color="auto"/>
              <w:left w:val="nil"/>
              <w:bottom w:val="nil"/>
              <w:right w:val="nil"/>
            </w:tcBorders>
            <w:shd w:val="clear" w:color="000000" w:fill="CCFFCC"/>
            <w:noWrap/>
            <w:vAlign w:val="bottom"/>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 </w:t>
            </w:r>
          </w:p>
        </w:tc>
        <w:tc>
          <w:tcPr>
            <w:tcW w:w="1354" w:type="pct"/>
            <w:tcBorders>
              <w:top w:val="single" w:sz="8" w:space="0" w:color="auto"/>
              <w:left w:val="single" w:sz="8" w:space="0" w:color="auto"/>
              <w:bottom w:val="single" w:sz="8" w:space="0" w:color="auto"/>
              <w:right w:val="single" w:sz="8" w:space="0" w:color="auto"/>
            </w:tcBorders>
            <w:shd w:val="clear" w:color="000000" w:fill="CCFFCC"/>
            <w:noWrap/>
            <w:vAlign w:val="bottom"/>
            <w:hideMark/>
          </w:tcPr>
          <w:p w:rsidR="008377CF" w:rsidRPr="008377CF" w:rsidRDefault="008377CF" w:rsidP="008377CF">
            <w:pPr>
              <w:jc w:val="center"/>
              <w:rPr>
                <w:rFonts w:ascii="Lucida Bright" w:hAnsi="Lucida Bright" w:cs="Calibri"/>
                <w:b/>
                <w:bCs/>
                <w:color w:val="000000"/>
                <w:sz w:val="14"/>
                <w:szCs w:val="14"/>
                <w:lang w:val="es-ES"/>
              </w:rPr>
            </w:pPr>
            <w:r w:rsidRPr="008377CF">
              <w:rPr>
                <w:rFonts w:ascii="Lucida Bright" w:hAnsi="Lucida Bright" w:cs="Calibri"/>
                <w:b/>
                <w:bCs/>
                <w:color w:val="000000"/>
                <w:sz w:val="14"/>
                <w:szCs w:val="14"/>
                <w:lang w:val="es-ES"/>
              </w:rPr>
              <w:t>2024</w:t>
            </w:r>
          </w:p>
        </w:tc>
        <w:tc>
          <w:tcPr>
            <w:tcW w:w="1317" w:type="pct"/>
            <w:tcBorders>
              <w:top w:val="single" w:sz="8" w:space="0" w:color="auto"/>
              <w:left w:val="nil"/>
              <w:bottom w:val="single" w:sz="8" w:space="0" w:color="auto"/>
              <w:right w:val="single" w:sz="8" w:space="0" w:color="auto"/>
            </w:tcBorders>
            <w:shd w:val="clear" w:color="000000" w:fill="CCFFCC"/>
            <w:noWrap/>
            <w:vAlign w:val="bottom"/>
            <w:hideMark/>
          </w:tcPr>
          <w:p w:rsidR="008377CF" w:rsidRPr="008377CF" w:rsidRDefault="008377CF" w:rsidP="008377CF">
            <w:pPr>
              <w:jc w:val="center"/>
              <w:rPr>
                <w:rFonts w:ascii="Lucida Bright" w:hAnsi="Lucida Bright" w:cs="Calibri"/>
                <w:b/>
                <w:bCs/>
                <w:color w:val="000000"/>
                <w:sz w:val="14"/>
                <w:szCs w:val="14"/>
                <w:lang w:val="es-ES"/>
              </w:rPr>
            </w:pPr>
            <w:r w:rsidRPr="008377CF">
              <w:rPr>
                <w:rFonts w:ascii="Lucida Bright" w:hAnsi="Lucida Bright" w:cs="Calibri"/>
                <w:b/>
                <w:bCs/>
                <w:color w:val="000000"/>
                <w:sz w:val="14"/>
                <w:szCs w:val="14"/>
                <w:lang w:val="es-ES"/>
              </w:rPr>
              <w:t>2023</w:t>
            </w:r>
          </w:p>
        </w:tc>
      </w:tr>
      <w:tr w:rsidR="008377CF" w:rsidRPr="008377CF" w:rsidTr="008377CF">
        <w:trPr>
          <w:trHeight w:val="240"/>
        </w:trPr>
        <w:tc>
          <w:tcPr>
            <w:tcW w:w="819" w:type="pct"/>
            <w:tcBorders>
              <w:top w:val="nil"/>
              <w:left w:val="single" w:sz="8" w:space="0" w:color="auto"/>
              <w:bottom w:val="single" w:sz="8" w:space="0" w:color="auto"/>
              <w:right w:val="nil"/>
            </w:tcBorders>
            <w:shd w:val="clear" w:color="000000" w:fill="CCFFCC"/>
            <w:noWrap/>
            <w:vAlign w:val="bottom"/>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 </w:t>
            </w:r>
          </w:p>
        </w:tc>
        <w:tc>
          <w:tcPr>
            <w:tcW w:w="819" w:type="pct"/>
            <w:tcBorders>
              <w:top w:val="nil"/>
              <w:left w:val="nil"/>
              <w:bottom w:val="single" w:sz="8" w:space="0" w:color="auto"/>
              <w:right w:val="nil"/>
            </w:tcBorders>
            <w:shd w:val="clear" w:color="000000" w:fill="CCFFCC"/>
            <w:noWrap/>
            <w:vAlign w:val="bottom"/>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 </w:t>
            </w:r>
          </w:p>
        </w:tc>
        <w:tc>
          <w:tcPr>
            <w:tcW w:w="691" w:type="pct"/>
            <w:tcBorders>
              <w:top w:val="nil"/>
              <w:left w:val="nil"/>
              <w:bottom w:val="single" w:sz="8" w:space="0" w:color="auto"/>
              <w:right w:val="nil"/>
            </w:tcBorders>
            <w:shd w:val="clear" w:color="000000" w:fill="CCFFCC"/>
            <w:noWrap/>
            <w:vAlign w:val="bottom"/>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 </w:t>
            </w:r>
          </w:p>
        </w:tc>
        <w:tc>
          <w:tcPr>
            <w:tcW w:w="1354" w:type="pct"/>
            <w:tcBorders>
              <w:top w:val="nil"/>
              <w:left w:val="single" w:sz="8" w:space="0" w:color="auto"/>
              <w:bottom w:val="single" w:sz="8" w:space="0" w:color="auto"/>
              <w:right w:val="single" w:sz="8" w:space="0" w:color="auto"/>
            </w:tcBorders>
            <w:shd w:val="clear" w:color="000000" w:fill="CCFFCC"/>
            <w:noWrap/>
            <w:vAlign w:val="bottom"/>
            <w:hideMark/>
          </w:tcPr>
          <w:p w:rsidR="008377CF" w:rsidRPr="008377CF" w:rsidRDefault="008377CF" w:rsidP="008377CF">
            <w:pPr>
              <w:jc w:val="center"/>
              <w:rPr>
                <w:rFonts w:ascii="Lucida Bright" w:hAnsi="Lucida Bright" w:cs="Calibri"/>
                <w:b/>
                <w:bCs/>
                <w:color w:val="000000"/>
                <w:sz w:val="14"/>
                <w:szCs w:val="14"/>
                <w:lang w:val="es-ES"/>
              </w:rPr>
            </w:pPr>
            <w:r w:rsidRPr="008377CF">
              <w:rPr>
                <w:rFonts w:ascii="Lucida Bright" w:hAnsi="Lucida Bright" w:cs="Calibri"/>
                <w:b/>
                <w:bCs/>
                <w:color w:val="000000"/>
                <w:sz w:val="14"/>
                <w:szCs w:val="14"/>
                <w:lang w:val="es-ES"/>
              </w:rPr>
              <w:t>Días</w:t>
            </w:r>
          </w:p>
        </w:tc>
        <w:tc>
          <w:tcPr>
            <w:tcW w:w="1317" w:type="pct"/>
            <w:tcBorders>
              <w:top w:val="nil"/>
              <w:left w:val="nil"/>
              <w:bottom w:val="single" w:sz="8" w:space="0" w:color="auto"/>
              <w:right w:val="single" w:sz="8" w:space="0" w:color="auto"/>
            </w:tcBorders>
            <w:shd w:val="clear" w:color="000000" w:fill="CCFFCC"/>
            <w:noWrap/>
            <w:vAlign w:val="bottom"/>
            <w:hideMark/>
          </w:tcPr>
          <w:p w:rsidR="008377CF" w:rsidRPr="008377CF" w:rsidRDefault="008377CF" w:rsidP="008377CF">
            <w:pPr>
              <w:jc w:val="center"/>
              <w:rPr>
                <w:rFonts w:ascii="Lucida Bright" w:hAnsi="Lucida Bright" w:cs="Calibri"/>
                <w:b/>
                <w:bCs/>
                <w:color w:val="000000"/>
                <w:sz w:val="14"/>
                <w:szCs w:val="14"/>
                <w:lang w:val="es-ES"/>
              </w:rPr>
            </w:pPr>
            <w:r w:rsidRPr="008377CF">
              <w:rPr>
                <w:rFonts w:ascii="Lucida Bright" w:hAnsi="Lucida Bright" w:cs="Calibri"/>
                <w:b/>
                <w:bCs/>
                <w:color w:val="000000"/>
                <w:sz w:val="14"/>
                <w:szCs w:val="14"/>
                <w:lang w:val="es-ES"/>
              </w:rPr>
              <w:t>Días</w:t>
            </w:r>
          </w:p>
        </w:tc>
      </w:tr>
      <w:tr w:rsidR="008377CF" w:rsidRPr="008377CF" w:rsidTr="008377CF">
        <w:trPr>
          <w:trHeight w:val="225"/>
        </w:trPr>
        <w:tc>
          <w:tcPr>
            <w:tcW w:w="2329" w:type="pct"/>
            <w:gridSpan w:val="3"/>
            <w:tcBorders>
              <w:top w:val="single" w:sz="8" w:space="0" w:color="auto"/>
              <w:left w:val="single" w:sz="4" w:space="0" w:color="auto"/>
              <w:bottom w:val="single" w:sz="4" w:space="0" w:color="auto"/>
              <w:right w:val="single" w:sz="4" w:space="0" w:color="000000"/>
            </w:tcBorders>
            <w:shd w:val="clear" w:color="auto" w:fill="auto"/>
            <w:noWrap/>
            <w:vAlign w:val="bottom"/>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Periodo medio de pago a proveedores</w:t>
            </w:r>
          </w:p>
        </w:tc>
        <w:tc>
          <w:tcPr>
            <w:tcW w:w="1354" w:type="pct"/>
            <w:tcBorders>
              <w:top w:val="nil"/>
              <w:left w:val="nil"/>
              <w:bottom w:val="single" w:sz="4" w:space="0" w:color="auto"/>
              <w:right w:val="single" w:sz="4" w:space="0" w:color="auto"/>
            </w:tcBorders>
            <w:shd w:val="clear" w:color="auto" w:fill="auto"/>
            <w:vAlign w:val="bottom"/>
            <w:hideMark/>
          </w:tcPr>
          <w:p w:rsidR="008377CF" w:rsidRPr="008377CF" w:rsidRDefault="008377CF" w:rsidP="008377CF">
            <w:pPr>
              <w:jc w:val="cente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13,10</w:t>
            </w:r>
          </w:p>
        </w:tc>
        <w:tc>
          <w:tcPr>
            <w:tcW w:w="1317" w:type="pct"/>
            <w:tcBorders>
              <w:top w:val="nil"/>
              <w:left w:val="nil"/>
              <w:bottom w:val="single" w:sz="4" w:space="0" w:color="auto"/>
              <w:right w:val="single" w:sz="4" w:space="0" w:color="auto"/>
            </w:tcBorders>
            <w:shd w:val="clear" w:color="auto" w:fill="auto"/>
            <w:vAlign w:val="bottom"/>
            <w:hideMark/>
          </w:tcPr>
          <w:p w:rsidR="008377CF" w:rsidRPr="008377CF" w:rsidRDefault="008377CF" w:rsidP="008377CF">
            <w:pPr>
              <w:jc w:val="cente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16,51</w:t>
            </w:r>
          </w:p>
        </w:tc>
      </w:tr>
      <w:tr w:rsidR="008377CF" w:rsidRPr="008377CF" w:rsidTr="008377CF">
        <w:trPr>
          <w:trHeight w:val="225"/>
        </w:trPr>
        <w:tc>
          <w:tcPr>
            <w:tcW w:w="1638" w:type="pct"/>
            <w:gridSpan w:val="2"/>
            <w:tcBorders>
              <w:top w:val="single" w:sz="4" w:space="0" w:color="auto"/>
              <w:left w:val="single" w:sz="4" w:space="0" w:color="auto"/>
              <w:bottom w:val="single" w:sz="4" w:space="0" w:color="auto"/>
              <w:right w:val="nil"/>
            </w:tcBorders>
            <w:shd w:val="clear" w:color="auto" w:fill="auto"/>
            <w:noWrap/>
            <w:vAlign w:val="bottom"/>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Ratio de operaciones pagadas</w:t>
            </w:r>
          </w:p>
        </w:tc>
        <w:tc>
          <w:tcPr>
            <w:tcW w:w="691" w:type="pct"/>
            <w:tcBorders>
              <w:top w:val="nil"/>
              <w:left w:val="nil"/>
              <w:bottom w:val="single" w:sz="4" w:space="0" w:color="auto"/>
              <w:right w:val="single" w:sz="4" w:space="0" w:color="auto"/>
            </w:tcBorders>
            <w:shd w:val="clear" w:color="auto" w:fill="auto"/>
            <w:noWrap/>
            <w:vAlign w:val="bottom"/>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 </w:t>
            </w:r>
          </w:p>
        </w:tc>
        <w:tc>
          <w:tcPr>
            <w:tcW w:w="1354" w:type="pct"/>
            <w:tcBorders>
              <w:top w:val="nil"/>
              <w:left w:val="nil"/>
              <w:bottom w:val="single" w:sz="4" w:space="0" w:color="auto"/>
              <w:right w:val="single" w:sz="4" w:space="0" w:color="auto"/>
            </w:tcBorders>
            <w:shd w:val="clear" w:color="auto" w:fill="auto"/>
            <w:vAlign w:val="bottom"/>
            <w:hideMark/>
          </w:tcPr>
          <w:p w:rsidR="008377CF" w:rsidRPr="008377CF" w:rsidRDefault="008377CF" w:rsidP="008377CF">
            <w:pPr>
              <w:jc w:val="cente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13,21</w:t>
            </w:r>
          </w:p>
        </w:tc>
        <w:tc>
          <w:tcPr>
            <w:tcW w:w="1317" w:type="pct"/>
            <w:tcBorders>
              <w:top w:val="nil"/>
              <w:left w:val="nil"/>
              <w:bottom w:val="single" w:sz="4" w:space="0" w:color="auto"/>
              <w:right w:val="single" w:sz="4" w:space="0" w:color="auto"/>
            </w:tcBorders>
            <w:shd w:val="clear" w:color="auto" w:fill="auto"/>
            <w:vAlign w:val="bottom"/>
            <w:hideMark/>
          </w:tcPr>
          <w:p w:rsidR="008377CF" w:rsidRPr="008377CF" w:rsidRDefault="008377CF" w:rsidP="008377CF">
            <w:pPr>
              <w:jc w:val="cente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17,42</w:t>
            </w:r>
          </w:p>
        </w:tc>
      </w:tr>
      <w:tr w:rsidR="008377CF" w:rsidRPr="008377CF" w:rsidTr="008377CF">
        <w:trPr>
          <w:trHeight w:val="225"/>
        </w:trPr>
        <w:tc>
          <w:tcPr>
            <w:tcW w:w="2329"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 xml:space="preserve">Ratio de operaciones </w:t>
            </w:r>
            <w:r w:rsidR="00416638" w:rsidRPr="008377CF">
              <w:rPr>
                <w:rFonts w:ascii="Lucida Bright" w:hAnsi="Lucida Bright" w:cs="Calibri"/>
                <w:color w:val="000000"/>
                <w:sz w:val="14"/>
                <w:szCs w:val="14"/>
                <w:lang w:val="es-ES"/>
              </w:rPr>
              <w:t>pendientes</w:t>
            </w:r>
            <w:r w:rsidRPr="008377CF">
              <w:rPr>
                <w:rFonts w:ascii="Lucida Bright" w:hAnsi="Lucida Bright" w:cs="Calibri"/>
                <w:color w:val="000000"/>
                <w:sz w:val="14"/>
                <w:szCs w:val="14"/>
                <w:lang w:val="es-ES"/>
              </w:rPr>
              <w:t xml:space="preserve"> de pago</w:t>
            </w:r>
          </w:p>
        </w:tc>
        <w:tc>
          <w:tcPr>
            <w:tcW w:w="1354" w:type="pct"/>
            <w:tcBorders>
              <w:top w:val="nil"/>
              <w:left w:val="nil"/>
              <w:bottom w:val="single" w:sz="4" w:space="0" w:color="auto"/>
              <w:right w:val="single" w:sz="4" w:space="0" w:color="auto"/>
            </w:tcBorders>
            <w:shd w:val="clear" w:color="auto" w:fill="auto"/>
            <w:vAlign w:val="bottom"/>
            <w:hideMark/>
          </w:tcPr>
          <w:p w:rsidR="008377CF" w:rsidRPr="008377CF" w:rsidRDefault="008377CF" w:rsidP="008377CF">
            <w:pPr>
              <w:jc w:val="cente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9,21</w:t>
            </w:r>
          </w:p>
        </w:tc>
        <w:tc>
          <w:tcPr>
            <w:tcW w:w="1317" w:type="pct"/>
            <w:tcBorders>
              <w:top w:val="nil"/>
              <w:left w:val="nil"/>
              <w:bottom w:val="single" w:sz="4" w:space="0" w:color="auto"/>
              <w:right w:val="single" w:sz="4" w:space="0" w:color="auto"/>
            </w:tcBorders>
            <w:shd w:val="clear" w:color="auto" w:fill="auto"/>
            <w:vAlign w:val="bottom"/>
            <w:hideMark/>
          </w:tcPr>
          <w:p w:rsidR="008377CF" w:rsidRPr="008377CF" w:rsidRDefault="008377CF" w:rsidP="008377CF">
            <w:pPr>
              <w:jc w:val="cente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5,71</w:t>
            </w:r>
          </w:p>
        </w:tc>
      </w:tr>
      <w:tr w:rsidR="008377CF" w:rsidRPr="008377CF" w:rsidTr="008377CF">
        <w:trPr>
          <w:trHeight w:val="225"/>
        </w:trPr>
        <w:tc>
          <w:tcPr>
            <w:tcW w:w="819" w:type="pct"/>
            <w:tcBorders>
              <w:top w:val="nil"/>
              <w:left w:val="nil"/>
              <w:bottom w:val="nil"/>
              <w:right w:val="nil"/>
            </w:tcBorders>
            <w:shd w:val="clear" w:color="auto" w:fill="auto"/>
            <w:noWrap/>
            <w:vAlign w:val="bottom"/>
            <w:hideMark/>
          </w:tcPr>
          <w:p w:rsidR="008377CF" w:rsidRPr="008377CF" w:rsidRDefault="008377CF" w:rsidP="008377CF">
            <w:pPr>
              <w:rPr>
                <w:rFonts w:ascii="Lucida Bright" w:hAnsi="Lucida Bright" w:cs="Calibri"/>
                <w:color w:val="000000"/>
                <w:sz w:val="14"/>
                <w:szCs w:val="14"/>
                <w:lang w:val="es-ES"/>
              </w:rPr>
            </w:pPr>
          </w:p>
        </w:tc>
        <w:tc>
          <w:tcPr>
            <w:tcW w:w="819" w:type="pct"/>
            <w:tcBorders>
              <w:top w:val="nil"/>
              <w:left w:val="nil"/>
              <w:bottom w:val="nil"/>
              <w:right w:val="nil"/>
            </w:tcBorders>
            <w:shd w:val="clear" w:color="auto" w:fill="auto"/>
            <w:noWrap/>
            <w:vAlign w:val="bottom"/>
            <w:hideMark/>
          </w:tcPr>
          <w:p w:rsidR="008377CF" w:rsidRPr="008377CF" w:rsidRDefault="008377CF" w:rsidP="008377CF">
            <w:pPr>
              <w:rPr>
                <w:rFonts w:ascii="Lucida Bright" w:hAnsi="Lucida Bright" w:cs="Calibri"/>
                <w:color w:val="000000"/>
                <w:sz w:val="14"/>
                <w:szCs w:val="14"/>
                <w:lang w:val="es-ES"/>
              </w:rPr>
            </w:pPr>
          </w:p>
        </w:tc>
        <w:tc>
          <w:tcPr>
            <w:tcW w:w="691" w:type="pct"/>
            <w:tcBorders>
              <w:top w:val="nil"/>
              <w:left w:val="nil"/>
              <w:bottom w:val="nil"/>
              <w:right w:val="nil"/>
            </w:tcBorders>
            <w:shd w:val="clear" w:color="auto" w:fill="auto"/>
            <w:noWrap/>
            <w:vAlign w:val="bottom"/>
            <w:hideMark/>
          </w:tcPr>
          <w:p w:rsidR="008377CF" w:rsidRPr="008377CF" w:rsidRDefault="008377CF" w:rsidP="008377CF">
            <w:pPr>
              <w:rPr>
                <w:rFonts w:ascii="Lucida Bright" w:hAnsi="Lucida Bright" w:cs="Calibri"/>
                <w:color w:val="000000"/>
                <w:sz w:val="14"/>
                <w:szCs w:val="14"/>
                <w:lang w:val="es-ES"/>
              </w:rPr>
            </w:pPr>
          </w:p>
        </w:tc>
        <w:tc>
          <w:tcPr>
            <w:tcW w:w="1354" w:type="pct"/>
            <w:tcBorders>
              <w:top w:val="nil"/>
              <w:left w:val="nil"/>
              <w:bottom w:val="nil"/>
              <w:right w:val="nil"/>
            </w:tcBorders>
            <w:shd w:val="clear" w:color="auto" w:fill="auto"/>
            <w:noWrap/>
            <w:vAlign w:val="bottom"/>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Importe euros</w:t>
            </w:r>
          </w:p>
        </w:tc>
        <w:tc>
          <w:tcPr>
            <w:tcW w:w="1317" w:type="pct"/>
            <w:tcBorders>
              <w:top w:val="nil"/>
              <w:left w:val="nil"/>
              <w:bottom w:val="nil"/>
              <w:right w:val="nil"/>
            </w:tcBorders>
            <w:shd w:val="clear" w:color="auto" w:fill="auto"/>
            <w:noWrap/>
            <w:vAlign w:val="bottom"/>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Importe euros</w:t>
            </w:r>
          </w:p>
        </w:tc>
      </w:tr>
      <w:tr w:rsidR="008377CF" w:rsidRPr="008377CF" w:rsidTr="008377CF">
        <w:trPr>
          <w:trHeight w:val="225"/>
        </w:trPr>
        <w:tc>
          <w:tcPr>
            <w:tcW w:w="1638" w:type="pct"/>
            <w:gridSpan w:val="2"/>
            <w:tcBorders>
              <w:top w:val="single" w:sz="4" w:space="0" w:color="auto"/>
              <w:left w:val="single" w:sz="4" w:space="0" w:color="auto"/>
              <w:bottom w:val="single" w:sz="4" w:space="0" w:color="auto"/>
              <w:right w:val="nil"/>
            </w:tcBorders>
            <w:shd w:val="clear" w:color="auto" w:fill="auto"/>
            <w:noWrap/>
            <w:vAlign w:val="bottom"/>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Total pagos realizados</w:t>
            </w:r>
          </w:p>
        </w:tc>
        <w:tc>
          <w:tcPr>
            <w:tcW w:w="691" w:type="pct"/>
            <w:tcBorders>
              <w:top w:val="single" w:sz="4" w:space="0" w:color="auto"/>
              <w:left w:val="nil"/>
              <w:bottom w:val="single" w:sz="4" w:space="0" w:color="auto"/>
              <w:right w:val="single" w:sz="4" w:space="0" w:color="auto"/>
            </w:tcBorders>
            <w:shd w:val="clear" w:color="auto" w:fill="auto"/>
            <w:noWrap/>
            <w:vAlign w:val="bottom"/>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 </w:t>
            </w:r>
          </w:p>
        </w:tc>
        <w:tc>
          <w:tcPr>
            <w:tcW w:w="1354" w:type="pct"/>
            <w:tcBorders>
              <w:top w:val="single" w:sz="4" w:space="0" w:color="auto"/>
              <w:left w:val="nil"/>
              <w:bottom w:val="single" w:sz="4" w:space="0" w:color="auto"/>
              <w:right w:val="single" w:sz="4" w:space="0" w:color="auto"/>
            </w:tcBorders>
            <w:shd w:val="clear" w:color="auto" w:fill="auto"/>
            <w:noWrap/>
            <w:vAlign w:val="bottom"/>
            <w:hideMark/>
          </w:tcPr>
          <w:p w:rsidR="008377CF" w:rsidRPr="008377CF" w:rsidRDefault="008377CF" w:rsidP="008377CF">
            <w:pPr>
              <w:jc w:val="right"/>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86.379.490,11</w:t>
            </w:r>
          </w:p>
        </w:tc>
        <w:tc>
          <w:tcPr>
            <w:tcW w:w="1317" w:type="pct"/>
            <w:tcBorders>
              <w:top w:val="single" w:sz="4" w:space="0" w:color="auto"/>
              <w:left w:val="nil"/>
              <w:bottom w:val="single" w:sz="4" w:space="0" w:color="auto"/>
              <w:right w:val="single" w:sz="4" w:space="0" w:color="auto"/>
            </w:tcBorders>
            <w:shd w:val="clear" w:color="auto" w:fill="auto"/>
            <w:noWrap/>
            <w:vAlign w:val="bottom"/>
            <w:hideMark/>
          </w:tcPr>
          <w:p w:rsidR="008377CF" w:rsidRPr="008377CF" w:rsidRDefault="008377CF" w:rsidP="008377CF">
            <w:pPr>
              <w:jc w:val="right"/>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74.015.356,97</w:t>
            </w:r>
          </w:p>
        </w:tc>
      </w:tr>
      <w:tr w:rsidR="008377CF" w:rsidRPr="008377CF" w:rsidTr="008377CF">
        <w:trPr>
          <w:trHeight w:val="225"/>
        </w:trPr>
        <w:tc>
          <w:tcPr>
            <w:tcW w:w="1638" w:type="pct"/>
            <w:gridSpan w:val="2"/>
            <w:tcBorders>
              <w:top w:val="single" w:sz="4" w:space="0" w:color="auto"/>
              <w:left w:val="single" w:sz="4" w:space="0" w:color="auto"/>
              <w:bottom w:val="single" w:sz="4" w:space="0" w:color="auto"/>
              <w:right w:val="nil"/>
            </w:tcBorders>
            <w:shd w:val="clear" w:color="auto" w:fill="auto"/>
            <w:noWrap/>
            <w:vAlign w:val="bottom"/>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Total pagos pendientes</w:t>
            </w:r>
          </w:p>
        </w:tc>
        <w:tc>
          <w:tcPr>
            <w:tcW w:w="691" w:type="pct"/>
            <w:tcBorders>
              <w:top w:val="nil"/>
              <w:left w:val="nil"/>
              <w:bottom w:val="single" w:sz="4" w:space="0" w:color="auto"/>
              <w:right w:val="single" w:sz="4" w:space="0" w:color="auto"/>
            </w:tcBorders>
            <w:shd w:val="clear" w:color="auto" w:fill="auto"/>
            <w:noWrap/>
            <w:vAlign w:val="bottom"/>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 </w:t>
            </w:r>
          </w:p>
        </w:tc>
        <w:tc>
          <w:tcPr>
            <w:tcW w:w="1354" w:type="pct"/>
            <w:tcBorders>
              <w:top w:val="nil"/>
              <w:left w:val="nil"/>
              <w:bottom w:val="single" w:sz="4" w:space="0" w:color="auto"/>
              <w:right w:val="single" w:sz="4" w:space="0" w:color="auto"/>
            </w:tcBorders>
            <w:shd w:val="clear" w:color="auto" w:fill="auto"/>
            <w:noWrap/>
            <w:vAlign w:val="bottom"/>
            <w:hideMark/>
          </w:tcPr>
          <w:p w:rsidR="008377CF" w:rsidRPr="008377CF" w:rsidRDefault="008377CF" w:rsidP="008377CF">
            <w:pPr>
              <w:jc w:val="right"/>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2.380.181,17</w:t>
            </w:r>
          </w:p>
        </w:tc>
        <w:tc>
          <w:tcPr>
            <w:tcW w:w="1317" w:type="pct"/>
            <w:tcBorders>
              <w:top w:val="nil"/>
              <w:left w:val="nil"/>
              <w:bottom w:val="single" w:sz="4" w:space="0" w:color="auto"/>
              <w:right w:val="single" w:sz="4" w:space="0" w:color="auto"/>
            </w:tcBorders>
            <w:shd w:val="clear" w:color="auto" w:fill="auto"/>
            <w:noWrap/>
            <w:vAlign w:val="bottom"/>
            <w:hideMark/>
          </w:tcPr>
          <w:p w:rsidR="008377CF" w:rsidRPr="008377CF" w:rsidRDefault="008377CF" w:rsidP="008377CF">
            <w:pPr>
              <w:jc w:val="right"/>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3.745.457,23</w:t>
            </w:r>
          </w:p>
        </w:tc>
      </w:tr>
    </w:tbl>
    <w:p w:rsidR="00991EBD" w:rsidRDefault="00991EBD" w:rsidP="000214BB">
      <w:pPr>
        <w:pStyle w:val="Sangradetextonormal"/>
        <w:tabs>
          <w:tab w:val="clear" w:pos="8364"/>
          <w:tab w:val="right" w:pos="8222"/>
        </w:tabs>
        <w:rPr>
          <w:rFonts w:ascii="NewBaskerville" w:hAnsi="NewBaskerville"/>
          <w:sz w:val="20"/>
        </w:rPr>
      </w:pPr>
    </w:p>
    <w:tbl>
      <w:tblPr>
        <w:tblW w:w="5000" w:type="pct"/>
        <w:tblCellMar>
          <w:left w:w="70" w:type="dxa"/>
          <w:right w:w="70" w:type="dxa"/>
        </w:tblCellMar>
        <w:tblLook w:val="04A0" w:firstRow="1" w:lastRow="0" w:firstColumn="1" w:lastColumn="0" w:noHBand="0" w:noVBand="1"/>
      </w:tblPr>
      <w:tblGrid>
        <w:gridCol w:w="1560"/>
        <w:gridCol w:w="1394"/>
        <w:gridCol w:w="1296"/>
        <w:gridCol w:w="3126"/>
        <w:gridCol w:w="1977"/>
      </w:tblGrid>
      <w:tr w:rsidR="008377CF" w:rsidRPr="008377CF" w:rsidTr="008377CF">
        <w:trPr>
          <w:trHeight w:val="225"/>
        </w:trPr>
        <w:tc>
          <w:tcPr>
            <w:tcW w:w="5000" w:type="pct"/>
            <w:gridSpan w:val="5"/>
            <w:vMerge w:val="restart"/>
            <w:tcBorders>
              <w:top w:val="single" w:sz="8" w:space="0" w:color="auto"/>
              <w:left w:val="single" w:sz="8" w:space="0" w:color="auto"/>
              <w:bottom w:val="nil"/>
              <w:right w:val="single" w:sz="8" w:space="0" w:color="000000"/>
            </w:tcBorders>
            <w:shd w:val="clear" w:color="000000" w:fill="CCFFCC"/>
            <w:vAlign w:val="bottom"/>
            <w:hideMark/>
          </w:tcPr>
          <w:p w:rsidR="008377CF" w:rsidRPr="008377CF" w:rsidRDefault="008377CF" w:rsidP="008377CF">
            <w:pPr>
              <w:rPr>
                <w:rFonts w:ascii="Lucida Bright" w:hAnsi="Lucida Bright" w:cs="Calibri"/>
                <w:b/>
                <w:bCs/>
                <w:color w:val="000000"/>
                <w:sz w:val="14"/>
                <w:szCs w:val="14"/>
                <w:lang w:val="es-ES"/>
              </w:rPr>
            </w:pPr>
            <w:r w:rsidRPr="008377CF">
              <w:rPr>
                <w:rFonts w:ascii="Lucida Bright" w:hAnsi="Lucida Bright" w:cs="Calibri"/>
                <w:b/>
                <w:bCs/>
                <w:color w:val="000000"/>
                <w:sz w:val="14"/>
                <w:szCs w:val="14"/>
                <w:lang w:val="es-ES"/>
              </w:rPr>
              <w:t>Información sobre el volumen monetario y número de facturas pagadas en un período inferior al máximo establecido en la normativa de morosidad</w:t>
            </w:r>
          </w:p>
        </w:tc>
      </w:tr>
      <w:tr w:rsidR="008377CF" w:rsidRPr="008377CF" w:rsidTr="008377CF">
        <w:trPr>
          <w:trHeight w:val="240"/>
        </w:trPr>
        <w:tc>
          <w:tcPr>
            <w:tcW w:w="5000" w:type="pct"/>
            <w:gridSpan w:val="5"/>
            <w:vMerge/>
            <w:tcBorders>
              <w:top w:val="single" w:sz="8" w:space="0" w:color="auto"/>
              <w:left w:val="single" w:sz="8" w:space="0" w:color="auto"/>
              <w:bottom w:val="nil"/>
              <w:right w:val="single" w:sz="8" w:space="0" w:color="000000"/>
            </w:tcBorders>
            <w:vAlign w:val="center"/>
            <w:hideMark/>
          </w:tcPr>
          <w:p w:rsidR="008377CF" w:rsidRPr="008377CF" w:rsidRDefault="008377CF" w:rsidP="008377CF">
            <w:pPr>
              <w:rPr>
                <w:rFonts w:ascii="Lucida Bright" w:hAnsi="Lucida Bright" w:cs="Calibri"/>
                <w:b/>
                <w:bCs/>
                <w:color w:val="000000"/>
                <w:sz w:val="14"/>
                <w:szCs w:val="14"/>
                <w:lang w:val="es-ES"/>
              </w:rPr>
            </w:pPr>
          </w:p>
        </w:tc>
      </w:tr>
      <w:tr w:rsidR="008377CF" w:rsidRPr="008377CF" w:rsidTr="008377CF">
        <w:trPr>
          <w:trHeight w:val="225"/>
        </w:trPr>
        <w:tc>
          <w:tcPr>
            <w:tcW w:w="834" w:type="pct"/>
            <w:tcBorders>
              <w:top w:val="nil"/>
              <w:left w:val="single" w:sz="8" w:space="0" w:color="auto"/>
              <w:bottom w:val="nil"/>
              <w:right w:val="nil"/>
            </w:tcBorders>
            <w:shd w:val="clear" w:color="000000" w:fill="CCFFCC"/>
            <w:vAlign w:val="bottom"/>
            <w:hideMark/>
          </w:tcPr>
          <w:p w:rsidR="008377CF" w:rsidRPr="008377CF" w:rsidRDefault="008377CF" w:rsidP="008377CF">
            <w:pPr>
              <w:rPr>
                <w:rFonts w:ascii="Lucida Bright" w:hAnsi="Lucida Bright" w:cs="Calibri"/>
                <w:b/>
                <w:bCs/>
                <w:color w:val="000000"/>
                <w:sz w:val="14"/>
                <w:szCs w:val="14"/>
                <w:lang w:val="es-ES"/>
              </w:rPr>
            </w:pPr>
            <w:r w:rsidRPr="008377CF">
              <w:rPr>
                <w:rFonts w:ascii="Lucida Bright" w:hAnsi="Lucida Bright" w:cs="Calibri"/>
                <w:b/>
                <w:bCs/>
                <w:color w:val="000000"/>
                <w:sz w:val="14"/>
                <w:szCs w:val="14"/>
                <w:lang w:val="es-ES"/>
              </w:rPr>
              <w:t> </w:t>
            </w:r>
          </w:p>
        </w:tc>
        <w:tc>
          <w:tcPr>
            <w:tcW w:w="745" w:type="pct"/>
            <w:tcBorders>
              <w:top w:val="nil"/>
              <w:left w:val="nil"/>
              <w:bottom w:val="nil"/>
              <w:right w:val="nil"/>
            </w:tcBorders>
            <w:shd w:val="clear" w:color="000000" w:fill="CCFFCC"/>
            <w:vAlign w:val="bottom"/>
            <w:hideMark/>
          </w:tcPr>
          <w:p w:rsidR="008377CF" w:rsidRPr="008377CF" w:rsidRDefault="008377CF" w:rsidP="008377CF">
            <w:pPr>
              <w:rPr>
                <w:rFonts w:ascii="Lucida Bright" w:hAnsi="Lucida Bright" w:cs="Calibri"/>
                <w:b/>
                <w:bCs/>
                <w:color w:val="000000"/>
                <w:sz w:val="14"/>
                <w:szCs w:val="14"/>
                <w:lang w:val="es-ES"/>
              </w:rPr>
            </w:pPr>
            <w:r w:rsidRPr="008377CF">
              <w:rPr>
                <w:rFonts w:ascii="Lucida Bright" w:hAnsi="Lucida Bright" w:cs="Calibri"/>
                <w:b/>
                <w:bCs/>
                <w:color w:val="000000"/>
                <w:sz w:val="14"/>
                <w:szCs w:val="14"/>
                <w:lang w:val="es-ES"/>
              </w:rPr>
              <w:t> </w:t>
            </w:r>
          </w:p>
        </w:tc>
        <w:tc>
          <w:tcPr>
            <w:tcW w:w="693" w:type="pct"/>
            <w:tcBorders>
              <w:top w:val="nil"/>
              <w:left w:val="nil"/>
              <w:bottom w:val="nil"/>
              <w:right w:val="nil"/>
            </w:tcBorders>
            <w:shd w:val="clear" w:color="000000" w:fill="CCFFCC"/>
            <w:vAlign w:val="bottom"/>
            <w:hideMark/>
          </w:tcPr>
          <w:p w:rsidR="008377CF" w:rsidRPr="008377CF" w:rsidRDefault="008377CF" w:rsidP="008377CF">
            <w:pPr>
              <w:rPr>
                <w:rFonts w:ascii="Lucida Bright" w:hAnsi="Lucida Bright" w:cs="Calibri"/>
                <w:b/>
                <w:bCs/>
                <w:color w:val="000000"/>
                <w:sz w:val="14"/>
                <w:szCs w:val="14"/>
                <w:lang w:val="es-ES"/>
              </w:rPr>
            </w:pPr>
            <w:r w:rsidRPr="008377CF">
              <w:rPr>
                <w:rFonts w:ascii="Lucida Bright" w:hAnsi="Lucida Bright" w:cs="Calibri"/>
                <w:b/>
                <w:bCs/>
                <w:color w:val="000000"/>
                <w:sz w:val="14"/>
                <w:szCs w:val="14"/>
                <w:lang w:val="es-ES"/>
              </w:rPr>
              <w:t> </w:t>
            </w:r>
          </w:p>
        </w:tc>
        <w:tc>
          <w:tcPr>
            <w:tcW w:w="2728" w:type="pct"/>
            <w:gridSpan w:val="2"/>
            <w:tcBorders>
              <w:top w:val="single" w:sz="8" w:space="0" w:color="auto"/>
              <w:left w:val="single" w:sz="8" w:space="0" w:color="auto"/>
              <w:bottom w:val="nil"/>
              <w:right w:val="single" w:sz="8" w:space="0" w:color="000000"/>
            </w:tcBorders>
            <w:shd w:val="clear" w:color="000000" w:fill="CCFFCC"/>
            <w:vAlign w:val="bottom"/>
            <w:hideMark/>
          </w:tcPr>
          <w:p w:rsidR="008377CF" w:rsidRPr="008377CF" w:rsidRDefault="008377CF" w:rsidP="008377CF">
            <w:pPr>
              <w:jc w:val="center"/>
              <w:rPr>
                <w:rFonts w:ascii="Lucida Bright" w:hAnsi="Lucida Bright" w:cs="Calibri"/>
                <w:b/>
                <w:bCs/>
                <w:color w:val="000000"/>
                <w:sz w:val="14"/>
                <w:szCs w:val="14"/>
                <w:lang w:val="es-ES"/>
              </w:rPr>
            </w:pPr>
            <w:r w:rsidRPr="008377CF">
              <w:rPr>
                <w:rFonts w:ascii="Lucida Bright" w:hAnsi="Lucida Bright" w:cs="Calibri"/>
                <w:b/>
                <w:bCs/>
                <w:color w:val="000000"/>
                <w:sz w:val="14"/>
                <w:szCs w:val="14"/>
                <w:lang w:val="es-ES"/>
              </w:rPr>
              <w:t>2024</w:t>
            </w:r>
          </w:p>
        </w:tc>
      </w:tr>
      <w:tr w:rsidR="008377CF" w:rsidRPr="008377CF" w:rsidTr="008377CF">
        <w:trPr>
          <w:trHeight w:val="240"/>
        </w:trPr>
        <w:tc>
          <w:tcPr>
            <w:tcW w:w="2272" w:type="pct"/>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Núm. de fact pagadas en un período inferior al máx establ.</w:t>
            </w:r>
          </w:p>
        </w:tc>
        <w:tc>
          <w:tcPr>
            <w:tcW w:w="16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7CF" w:rsidRPr="008377CF" w:rsidRDefault="008377CF" w:rsidP="008377CF">
            <w:pPr>
              <w:jc w:val="cente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3840</w:t>
            </w:r>
          </w:p>
        </w:tc>
        <w:tc>
          <w:tcPr>
            <w:tcW w:w="1057" w:type="pct"/>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77CF" w:rsidRPr="008377CF" w:rsidRDefault="008377CF" w:rsidP="008377CF">
            <w:pPr>
              <w:jc w:val="cente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90,29%</w:t>
            </w:r>
          </w:p>
        </w:tc>
      </w:tr>
      <w:tr w:rsidR="008377CF" w:rsidRPr="008377CF" w:rsidTr="008377CF">
        <w:trPr>
          <w:trHeight w:val="165"/>
        </w:trPr>
        <w:tc>
          <w:tcPr>
            <w:tcW w:w="2272" w:type="pct"/>
            <w:gridSpan w:val="3"/>
            <w:vMerge/>
            <w:tcBorders>
              <w:top w:val="single" w:sz="4" w:space="0" w:color="auto"/>
              <w:left w:val="single" w:sz="8" w:space="0" w:color="auto"/>
              <w:bottom w:val="single" w:sz="4" w:space="0" w:color="auto"/>
              <w:right w:val="single" w:sz="4" w:space="0" w:color="auto"/>
            </w:tcBorders>
            <w:vAlign w:val="center"/>
            <w:hideMark/>
          </w:tcPr>
          <w:p w:rsidR="008377CF" w:rsidRPr="008377CF" w:rsidRDefault="008377CF" w:rsidP="008377CF">
            <w:pPr>
              <w:rPr>
                <w:rFonts w:ascii="Lucida Bright" w:hAnsi="Lucida Bright" w:cs="Calibri"/>
                <w:color w:val="000000"/>
                <w:sz w:val="14"/>
                <w:szCs w:val="14"/>
                <w:lang w:val="es-ES"/>
              </w:rPr>
            </w:pPr>
          </w:p>
        </w:tc>
        <w:tc>
          <w:tcPr>
            <w:tcW w:w="1671" w:type="pct"/>
            <w:vMerge/>
            <w:tcBorders>
              <w:top w:val="single" w:sz="4" w:space="0" w:color="auto"/>
              <w:left w:val="single" w:sz="4" w:space="0" w:color="auto"/>
              <w:bottom w:val="single" w:sz="4" w:space="0" w:color="auto"/>
              <w:right w:val="single" w:sz="4" w:space="0" w:color="auto"/>
            </w:tcBorders>
            <w:vAlign w:val="center"/>
            <w:hideMark/>
          </w:tcPr>
          <w:p w:rsidR="008377CF" w:rsidRPr="008377CF" w:rsidRDefault="008377CF" w:rsidP="008377CF">
            <w:pPr>
              <w:rPr>
                <w:rFonts w:ascii="Lucida Bright" w:hAnsi="Lucida Bright" w:cs="Calibri"/>
                <w:color w:val="000000"/>
                <w:sz w:val="14"/>
                <w:szCs w:val="14"/>
                <w:lang w:val="es-ES"/>
              </w:rPr>
            </w:pPr>
          </w:p>
        </w:tc>
        <w:tc>
          <w:tcPr>
            <w:tcW w:w="1057" w:type="pct"/>
            <w:vMerge/>
            <w:tcBorders>
              <w:top w:val="single" w:sz="4" w:space="0" w:color="auto"/>
              <w:left w:val="single" w:sz="4" w:space="0" w:color="auto"/>
              <w:bottom w:val="single" w:sz="4" w:space="0" w:color="auto"/>
              <w:right w:val="single" w:sz="8" w:space="0" w:color="auto"/>
            </w:tcBorders>
            <w:vAlign w:val="center"/>
            <w:hideMark/>
          </w:tcPr>
          <w:p w:rsidR="008377CF" w:rsidRPr="008377CF" w:rsidRDefault="008377CF" w:rsidP="008377CF">
            <w:pPr>
              <w:rPr>
                <w:rFonts w:ascii="Lucida Bright" w:hAnsi="Lucida Bright" w:cs="Calibri"/>
                <w:color w:val="000000"/>
                <w:sz w:val="14"/>
                <w:szCs w:val="14"/>
                <w:lang w:val="es-ES"/>
              </w:rPr>
            </w:pPr>
          </w:p>
        </w:tc>
      </w:tr>
      <w:tr w:rsidR="008377CF" w:rsidRPr="008377CF" w:rsidTr="008377CF">
        <w:trPr>
          <w:trHeight w:val="225"/>
        </w:trPr>
        <w:tc>
          <w:tcPr>
            <w:tcW w:w="2272" w:type="pct"/>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Núm. total de facturas pagadas</w:t>
            </w:r>
          </w:p>
        </w:tc>
        <w:tc>
          <w:tcPr>
            <w:tcW w:w="1671" w:type="pct"/>
            <w:tcBorders>
              <w:top w:val="nil"/>
              <w:left w:val="nil"/>
              <w:bottom w:val="single" w:sz="4" w:space="0" w:color="auto"/>
              <w:right w:val="single" w:sz="4" w:space="0" w:color="auto"/>
            </w:tcBorders>
            <w:shd w:val="clear" w:color="auto" w:fill="auto"/>
            <w:noWrap/>
            <w:vAlign w:val="center"/>
            <w:hideMark/>
          </w:tcPr>
          <w:p w:rsidR="008377CF" w:rsidRPr="008377CF" w:rsidRDefault="008377CF" w:rsidP="008377CF">
            <w:pPr>
              <w:jc w:val="cente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4253</w:t>
            </w:r>
          </w:p>
        </w:tc>
        <w:tc>
          <w:tcPr>
            <w:tcW w:w="1057" w:type="pct"/>
            <w:tcBorders>
              <w:top w:val="nil"/>
              <w:left w:val="nil"/>
              <w:bottom w:val="single" w:sz="4" w:space="0" w:color="auto"/>
              <w:right w:val="single" w:sz="8" w:space="0" w:color="auto"/>
            </w:tcBorders>
            <w:shd w:val="clear" w:color="auto" w:fill="auto"/>
            <w:noWrap/>
            <w:vAlign w:val="center"/>
            <w:hideMark/>
          </w:tcPr>
          <w:p w:rsidR="008377CF" w:rsidRPr="008377CF" w:rsidRDefault="008377CF" w:rsidP="008377CF">
            <w:pPr>
              <w:jc w:val="cente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100,00%</w:t>
            </w:r>
          </w:p>
        </w:tc>
      </w:tr>
      <w:tr w:rsidR="008377CF" w:rsidRPr="008377CF" w:rsidTr="008377CF">
        <w:trPr>
          <w:trHeight w:val="225"/>
        </w:trPr>
        <w:tc>
          <w:tcPr>
            <w:tcW w:w="2272" w:type="pct"/>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Volumen monetario de fact pagadas en un período inferior al máx establ.</w:t>
            </w:r>
          </w:p>
        </w:tc>
        <w:tc>
          <w:tcPr>
            <w:tcW w:w="16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377CF" w:rsidRPr="008377CF" w:rsidRDefault="008377CF" w:rsidP="008377CF">
            <w:pPr>
              <w:jc w:val="cente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81.503.137,87</w:t>
            </w:r>
          </w:p>
        </w:tc>
        <w:tc>
          <w:tcPr>
            <w:tcW w:w="1057" w:type="pct"/>
            <w:vMerge w:val="restart"/>
            <w:tcBorders>
              <w:top w:val="nil"/>
              <w:left w:val="single" w:sz="4" w:space="0" w:color="auto"/>
              <w:bottom w:val="single" w:sz="4" w:space="0" w:color="auto"/>
              <w:right w:val="single" w:sz="8" w:space="0" w:color="auto"/>
            </w:tcBorders>
            <w:shd w:val="clear" w:color="auto" w:fill="auto"/>
            <w:noWrap/>
            <w:vAlign w:val="center"/>
            <w:hideMark/>
          </w:tcPr>
          <w:p w:rsidR="008377CF" w:rsidRPr="008377CF" w:rsidRDefault="008377CF" w:rsidP="008377CF">
            <w:pPr>
              <w:jc w:val="cente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94,35%</w:t>
            </w:r>
          </w:p>
        </w:tc>
      </w:tr>
      <w:tr w:rsidR="008377CF" w:rsidRPr="008377CF" w:rsidTr="008377CF">
        <w:trPr>
          <w:trHeight w:val="225"/>
        </w:trPr>
        <w:tc>
          <w:tcPr>
            <w:tcW w:w="2272" w:type="pct"/>
            <w:gridSpan w:val="3"/>
            <w:vMerge/>
            <w:tcBorders>
              <w:top w:val="single" w:sz="4" w:space="0" w:color="auto"/>
              <w:left w:val="single" w:sz="8" w:space="0" w:color="auto"/>
              <w:bottom w:val="single" w:sz="4" w:space="0" w:color="auto"/>
              <w:right w:val="single" w:sz="4" w:space="0" w:color="auto"/>
            </w:tcBorders>
            <w:vAlign w:val="center"/>
            <w:hideMark/>
          </w:tcPr>
          <w:p w:rsidR="008377CF" w:rsidRPr="008377CF" w:rsidRDefault="008377CF" w:rsidP="008377CF">
            <w:pPr>
              <w:rPr>
                <w:rFonts w:ascii="Lucida Bright" w:hAnsi="Lucida Bright" w:cs="Calibri"/>
                <w:color w:val="000000"/>
                <w:sz w:val="14"/>
                <w:szCs w:val="14"/>
                <w:lang w:val="es-ES"/>
              </w:rPr>
            </w:pPr>
          </w:p>
        </w:tc>
        <w:tc>
          <w:tcPr>
            <w:tcW w:w="1671" w:type="pct"/>
            <w:vMerge/>
            <w:tcBorders>
              <w:top w:val="nil"/>
              <w:left w:val="single" w:sz="4" w:space="0" w:color="auto"/>
              <w:bottom w:val="single" w:sz="4" w:space="0" w:color="auto"/>
              <w:right w:val="single" w:sz="4" w:space="0" w:color="auto"/>
            </w:tcBorders>
            <w:vAlign w:val="center"/>
            <w:hideMark/>
          </w:tcPr>
          <w:p w:rsidR="008377CF" w:rsidRPr="008377CF" w:rsidRDefault="008377CF" w:rsidP="008377CF">
            <w:pPr>
              <w:rPr>
                <w:rFonts w:ascii="Lucida Bright" w:hAnsi="Lucida Bright" w:cs="Calibri"/>
                <w:color w:val="000000"/>
                <w:sz w:val="14"/>
                <w:szCs w:val="14"/>
                <w:lang w:val="es-ES"/>
              </w:rPr>
            </w:pPr>
          </w:p>
        </w:tc>
        <w:tc>
          <w:tcPr>
            <w:tcW w:w="1057" w:type="pct"/>
            <w:vMerge/>
            <w:tcBorders>
              <w:top w:val="nil"/>
              <w:left w:val="single" w:sz="4" w:space="0" w:color="auto"/>
              <w:bottom w:val="single" w:sz="4" w:space="0" w:color="auto"/>
              <w:right w:val="single" w:sz="8" w:space="0" w:color="auto"/>
            </w:tcBorders>
            <w:vAlign w:val="center"/>
            <w:hideMark/>
          </w:tcPr>
          <w:p w:rsidR="008377CF" w:rsidRPr="008377CF" w:rsidRDefault="008377CF" w:rsidP="008377CF">
            <w:pPr>
              <w:rPr>
                <w:rFonts w:ascii="Lucida Bright" w:hAnsi="Lucida Bright" w:cs="Calibri"/>
                <w:color w:val="000000"/>
                <w:sz w:val="14"/>
                <w:szCs w:val="14"/>
                <w:lang w:val="es-ES"/>
              </w:rPr>
            </w:pPr>
          </w:p>
        </w:tc>
      </w:tr>
      <w:tr w:rsidR="008377CF" w:rsidRPr="008377CF" w:rsidTr="008377CF">
        <w:trPr>
          <w:trHeight w:val="315"/>
        </w:trPr>
        <w:tc>
          <w:tcPr>
            <w:tcW w:w="2272" w:type="pct"/>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377CF" w:rsidRPr="008377CF" w:rsidRDefault="008377CF" w:rsidP="008377CF">
            <w:pP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Volumen monetario total de facturas pagadas</w:t>
            </w:r>
          </w:p>
        </w:tc>
        <w:tc>
          <w:tcPr>
            <w:tcW w:w="1671" w:type="pct"/>
            <w:tcBorders>
              <w:top w:val="nil"/>
              <w:left w:val="nil"/>
              <w:bottom w:val="single" w:sz="8" w:space="0" w:color="auto"/>
              <w:right w:val="single" w:sz="4" w:space="0" w:color="auto"/>
            </w:tcBorders>
            <w:shd w:val="clear" w:color="auto" w:fill="auto"/>
            <w:noWrap/>
            <w:vAlign w:val="center"/>
            <w:hideMark/>
          </w:tcPr>
          <w:p w:rsidR="008377CF" w:rsidRPr="008377CF" w:rsidRDefault="008377CF" w:rsidP="008377CF">
            <w:pPr>
              <w:jc w:val="cente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86.379.490,11</w:t>
            </w:r>
          </w:p>
        </w:tc>
        <w:tc>
          <w:tcPr>
            <w:tcW w:w="1057" w:type="pct"/>
            <w:tcBorders>
              <w:top w:val="nil"/>
              <w:left w:val="nil"/>
              <w:bottom w:val="single" w:sz="8" w:space="0" w:color="auto"/>
              <w:right w:val="single" w:sz="8" w:space="0" w:color="auto"/>
            </w:tcBorders>
            <w:shd w:val="clear" w:color="auto" w:fill="auto"/>
            <w:noWrap/>
            <w:vAlign w:val="center"/>
            <w:hideMark/>
          </w:tcPr>
          <w:p w:rsidR="008377CF" w:rsidRPr="008377CF" w:rsidRDefault="008377CF" w:rsidP="008377CF">
            <w:pPr>
              <w:jc w:val="center"/>
              <w:rPr>
                <w:rFonts w:ascii="Lucida Bright" w:hAnsi="Lucida Bright" w:cs="Calibri"/>
                <w:color w:val="000000"/>
                <w:sz w:val="14"/>
                <w:szCs w:val="14"/>
                <w:lang w:val="es-ES"/>
              </w:rPr>
            </w:pPr>
            <w:r w:rsidRPr="008377CF">
              <w:rPr>
                <w:rFonts w:ascii="Lucida Bright" w:hAnsi="Lucida Bright" w:cs="Calibri"/>
                <w:color w:val="000000"/>
                <w:sz w:val="14"/>
                <w:szCs w:val="14"/>
                <w:lang w:val="es-ES"/>
              </w:rPr>
              <w:t>100,00%</w:t>
            </w:r>
          </w:p>
        </w:tc>
      </w:tr>
    </w:tbl>
    <w:p w:rsidR="00395199" w:rsidRDefault="00395199" w:rsidP="000214BB">
      <w:pPr>
        <w:pStyle w:val="Sangradetextonormal"/>
        <w:tabs>
          <w:tab w:val="clear" w:pos="8364"/>
          <w:tab w:val="right" w:pos="8222"/>
        </w:tabs>
        <w:rPr>
          <w:rFonts w:ascii="NewBaskerville" w:hAnsi="NewBaskerville"/>
          <w:sz w:val="20"/>
        </w:rPr>
      </w:pPr>
    </w:p>
    <w:p w:rsidR="00395199" w:rsidRDefault="00395199" w:rsidP="000214BB">
      <w:pPr>
        <w:pStyle w:val="Sangradetextonormal"/>
        <w:tabs>
          <w:tab w:val="clear" w:pos="8364"/>
          <w:tab w:val="right" w:pos="8222"/>
        </w:tabs>
        <w:rPr>
          <w:rFonts w:ascii="NewBaskerville" w:hAnsi="NewBaskerville"/>
          <w:sz w:val="20"/>
        </w:rPr>
      </w:pPr>
    </w:p>
    <w:p w:rsidR="00991EBD" w:rsidRDefault="00991EBD" w:rsidP="000214BB">
      <w:pPr>
        <w:pStyle w:val="Sangradetextonormal"/>
        <w:tabs>
          <w:tab w:val="clear" w:pos="8364"/>
          <w:tab w:val="right" w:pos="8222"/>
        </w:tabs>
        <w:rPr>
          <w:rFonts w:ascii="NewBaskerville" w:hAnsi="NewBaskerville"/>
          <w:sz w:val="20"/>
        </w:rPr>
      </w:pPr>
    </w:p>
    <w:p w:rsidR="002C4355" w:rsidRPr="00BB019C" w:rsidRDefault="002C4355" w:rsidP="001052A7">
      <w:pPr>
        <w:tabs>
          <w:tab w:val="right" w:pos="8364"/>
        </w:tabs>
        <w:ind w:firstLine="540"/>
        <w:jc w:val="both"/>
        <w:rPr>
          <w:bCs/>
        </w:rPr>
      </w:pPr>
    </w:p>
    <w:p w:rsidR="00A57391" w:rsidRPr="00AD4AA7" w:rsidRDefault="00A57391" w:rsidP="00A57391">
      <w:pPr>
        <w:tabs>
          <w:tab w:val="right" w:pos="8364"/>
        </w:tabs>
        <w:jc w:val="center"/>
        <w:rPr>
          <w:b/>
          <w:caps/>
        </w:rPr>
      </w:pPr>
    </w:p>
    <w:p w:rsidR="00A57391" w:rsidRPr="00C7435A" w:rsidRDefault="00A57391" w:rsidP="00A57391">
      <w:pPr>
        <w:tabs>
          <w:tab w:val="right" w:pos="8364"/>
        </w:tabs>
        <w:jc w:val="center"/>
        <w:rPr>
          <w:rFonts w:ascii="NewBaskerville" w:hAnsi="NewBaskerville"/>
          <w:bCs/>
          <w:caps/>
        </w:rPr>
      </w:pPr>
      <w:r w:rsidRPr="00C7435A">
        <w:rPr>
          <w:rFonts w:ascii="NewBaskerville" w:hAnsi="NewBaskerville"/>
          <w:bCs/>
        </w:rPr>
        <w:t>EL PRESIDENTE</w:t>
      </w:r>
      <w:r w:rsidRPr="00C7435A">
        <w:rPr>
          <w:rFonts w:ascii="NewBaskerville" w:hAnsi="NewBaskerville"/>
          <w:bCs/>
          <w:caps/>
        </w:rPr>
        <w:t>,</w:t>
      </w:r>
    </w:p>
    <w:p w:rsidR="00A57391" w:rsidRPr="00C7435A" w:rsidRDefault="00D24A8A" w:rsidP="00A57391">
      <w:pPr>
        <w:tabs>
          <w:tab w:val="right" w:pos="8364"/>
        </w:tabs>
        <w:jc w:val="center"/>
        <w:rPr>
          <w:rFonts w:ascii="NewBaskerville" w:hAnsi="NewBaskerville"/>
          <w:bCs/>
        </w:rPr>
      </w:pPr>
      <w:r w:rsidRPr="00C7435A">
        <w:rPr>
          <w:rFonts w:ascii="NewBaskerville" w:hAnsi="NewBaskerville"/>
          <w:bCs/>
        </w:rPr>
        <w:t>Firmado digitalmente</w:t>
      </w:r>
    </w:p>
    <w:p w:rsidR="00A57391" w:rsidRPr="00AD4AA7" w:rsidRDefault="00A57391" w:rsidP="00A57391">
      <w:pPr>
        <w:tabs>
          <w:tab w:val="right" w:pos="8364"/>
        </w:tabs>
        <w:jc w:val="center"/>
        <w:rPr>
          <w:bCs/>
        </w:rPr>
      </w:pPr>
    </w:p>
    <w:p w:rsidR="00A57391" w:rsidRPr="00AD4AA7" w:rsidRDefault="00A57391" w:rsidP="00A57391">
      <w:pPr>
        <w:tabs>
          <w:tab w:val="right" w:pos="8364"/>
        </w:tabs>
        <w:jc w:val="center"/>
        <w:rPr>
          <w:bCs/>
        </w:rPr>
      </w:pPr>
    </w:p>
    <w:p w:rsidR="00A57391" w:rsidRPr="00AD4AA7" w:rsidRDefault="00A57391" w:rsidP="00A57391">
      <w:pPr>
        <w:tabs>
          <w:tab w:val="right" w:pos="8364"/>
        </w:tabs>
        <w:jc w:val="center"/>
        <w:rPr>
          <w:bCs/>
          <w:i/>
        </w:rPr>
      </w:pPr>
    </w:p>
    <w:p w:rsidR="008377CF" w:rsidRDefault="008155BC" w:rsidP="008377CF">
      <w:pPr>
        <w:tabs>
          <w:tab w:val="right" w:pos="8364"/>
        </w:tabs>
        <w:jc w:val="center"/>
        <w:rPr>
          <w:rFonts w:ascii="NewBaskerville" w:hAnsi="NewBaskerville"/>
          <w:bCs/>
          <w:i/>
        </w:rPr>
      </w:pPr>
      <w:r w:rsidRPr="00C7435A">
        <w:rPr>
          <w:rFonts w:ascii="NewBaskerville" w:hAnsi="NewBaskerville"/>
          <w:bCs/>
          <w:i/>
        </w:rPr>
        <w:t>Fdo.</w:t>
      </w:r>
      <w:r w:rsidR="00A57391" w:rsidRPr="00C7435A">
        <w:rPr>
          <w:rFonts w:ascii="NewBaskerville" w:hAnsi="NewBaskerville"/>
          <w:bCs/>
          <w:i/>
        </w:rPr>
        <w:t xml:space="preserve"> </w:t>
      </w:r>
      <w:r w:rsidR="00DE301C">
        <w:rPr>
          <w:rFonts w:ascii="NewBaskerville" w:hAnsi="NewBaskerville"/>
          <w:bCs/>
          <w:i/>
        </w:rPr>
        <w:t>José Javier Sanz Fernández</w:t>
      </w:r>
    </w:p>
    <w:p w:rsidR="00D24A8A" w:rsidRPr="00C7435A" w:rsidRDefault="00D24A8A" w:rsidP="008377CF">
      <w:pPr>
        <w:tabs>
          <w:tab w:val="right" w:pos="8364"/>
        </w:tabs>
        <w:jc w:val="center"/>
        <w:rPr>
          <w:rFonts w:ascii="NewBaskerville" w:hAnsi="NewBaskerville"/>
          <w:bCs/>
          <w:i/>
        </w:rPr>
      </w:pPr>
      <w:r w:rsidRPr="00C7435A">
        <w:rPr>
          <w:rFonts w:ascii="NewBaskerville" w:hAnsi="NewBaskerville"/>
          <w:bCs/>
          <w:i/>
        </w:rPr>
        <w:t>(La fecha válida será la de la firma electrónica del documento</w:t>
      </w:r>
      <w:r w:rsidR="00395199">
        <w:rPr>
          <w:rFonts w:ascii="NewBaskerville" w:hAnsi="NewBaskerville"/>
          <w:bCs/>
          <w:i/>
        </w:rPr>
        <w:t>)</w:t>
      </w:r>
    </w:p>
    <w:sectPr w:rsidR="00D24A8A" w:rsidRPr="00C7435A" w:rsidSect="00304E6C">
      <w:pgSz w:w="11907" w:h="16840" w:code="9"/>
      <w:pgMar w:top="1701" w:right="1418" w:bottom="1701" w:left="1276" w:header="567"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923" w:rsidRDefault="001D0923">
      <w:r>
        <w:separator/>
      </w:r>
    </w:p>
  </w:endnote>
  <w:endnote w:type="continuationSeparator" w:id="0">
    <w:p w:rsidR="001D0923" w:rsidRDefault="001D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Baskerville">
    <w:panose1 w:val="00000000000000000000"/>
    <w:charset w:val="00"/>
    <w:family w:val="auto"/>
    <w:pitch w:val="variable"/>
    <w:sig w:usb0="00000083" w:usb1="00000000" w:usb2="00000000" w:usb3="00000000" w:csb0="00000009" w:csb1="00000000"/>
  </w:font>
  <w:font w:name="Lucida Sans">
    <w:altName w:val="Lucida Sans Unicode"/>
    <w:charset w:val="00"/>
    <w:family w:val="swiss"/>
    <w:pitch w:val="variable"/>
    <w:sig w:usb0="00000001" w:usb1="0000807B" w:usb2="00000008"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Frutiger">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923" w:rsidRDefault="001D09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D0923" w:rsidRDefault="001D092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923" w:rsidRDefault="001D0923" w:rsidP="007A1C6E">
    <w:pPr>
      <w:pStyle w:val="Piedepgina"/>
      <w:ind w:right="360"/>
    </w:pPr>
  </w:p>
  <w:p w:rsidR="001D0923" w:rsidRDefault="001D0923" w:rsidP="007A1C6E">
    <w:pPr>
      <w:pStyle w:val="Piedepgina"/>
      <w:framePr w:wrap="notBesid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1D0923" w:rsidRDefault="001D092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923" w:rsidRDefault="001D092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923" w:rsidRDefault="001D09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2E0C">
      <w:rPr>
        <w:rStyle w:val="Nmerodepgina"/>
        <w:noProof/>
      </w:rPr>
      <w:t>58</w:t>
    </w:r>
    <w:r>
      <w:rPr>
        <w:rStyle w:val="Nmerodepgina"/>
      </w:rPr>
      <w:fldChar w:fldCharType="end"/>
    </w:r>
  </w:p>
  <w:p w:rsidR="001D0923" w:rsidRDefault="001D0923" w:rsidP="000D170C">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923" w:rsidRDefault="001D09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D0923" w:rsidRDefault="001D0923">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923" w:rsidRDefault="001D09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2E0C">
      <w:rPr>
        <w:rStyle w:val="Nmerodepgina"/>
        <w:noProof/>
      </w:rPr>
      <w:t>97</w:t>
    </w:r>
    <w:r>
      <w:rPr>
        <w:rStyle w:val="Nmerodepgina"/>
      </w:rPr>
      <w:fldChar w:fldCharType="end"/>
    </w:r>
  </w:p>
  <w:p w:rsidR="001D0923" w:rsidRDefault="001D092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923" w:rsidRDefault="001D0923">
      <w:r>
        <w:separator/>
      </w:r>
    </w:p>
  </w:footnote>
  <w:footnote w:type="continuationSeparator" w:id="0">
    <w:p w:rsidR="001D0923" w:rsidRDefault="001D0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923" w:rsidRDefault="001D09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923" w:rsidRDefault="001D0923">
    <w:pPr>
      <w:pStyle w:val="Encabezado"/>
    </w:pPr>
    <w:r>
      <w:rPr>
        <w:noProof/>
        <w:lang w:val="es-ES"/>
      </w:rPr>
      <w:drawing>
        <wp:inline distT="0" distB="0" distL="0" distR="0" wp14:anchorId="1D3C462C" wp14:editId="2C5CD6FC">
          <wp:extent cx="6161405" cy="1034415"/>
          <wp:effectExtent l="0" t="0" r="0" b="0"/>
          <wp:docPr id="24" name="Imagen 24" descr="logoword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word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1405" cy="10344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923" w:rsidRDefault="001D092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923" w:rsidRDefault="001D0923" w:rsidP="00451B81">
    <w:pPr>
      <w:pStyle w:val="Encabezado"/>
      <w:tabs>
        <w:tab w:val="left" w:pos="567"/>
        <w:tab w:val="left" w:pos="709"/>
        <w:tab w:val="left" w:pos="993"/>
      </w:tabs>
      <w:ind w:left="-284" w:hanging="567"/>
    </w:pPr>
  </w:p>
  <w:p w:rsidR="001D0923" w:rsidRDefault="001D0923" w:rsidP="00451B81">
    <w:pPr>
      <w:pStyle w:val="Encabezado"/>
      <w:tabs>
        <w:tab w:val="left" w:pos="567"/>
        <w:tab w:val="left" w:pos="709"/>
        <w:tab w:val="left" w:pos="993"/>
      </w:tabs>
      <w:ind w:left="-284" w:hanging="567"/>
    </w:pPr>
    <w:r>
      <w:rPr>
        <w:noProof/>
        <w:lang w:val="es-ES"/>
      </w:rPr>
      <w:drawing>
        <wp:inline distT="0" distB="0" distL="0" distR="0" wp14:anchorId="5DAB5235" wp14:editId="107DB038">
          <wp:extent cx="6117590" cy="1022985"/>
          <wp:effectExtent l="0" t="0" r="0" b="5715"/>
          <wp:docPr id="6" name="Imagen 6" descr="logoword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ord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590" cy="102298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923" w:rsidRDefault="001D0923" w:rsidP="00911AA3">
    <w:pPr>
      <w:pStyle w:val="Encabezado"/>
      <w:ind w:left="-709"/>
    </w:pPr>
    <w:r>
      <w:rPr>
        <w:noProof/>
        <w:lang w:val="es-ES"/>
      </w:rPr>
      <w:drawing>
        <wp:inline distT="0" distB="0" distL="0" distR="0" wp14:anchorId="4ECE264C" wp14:editId="55A023A6">
          <wp:extent cx="6117590" cy="1022985"/>
          <wp:effectExtent l="0" t="0" r="0" b="5715"/>
          <wp:docPr id="2" name="Imagen 2" descr="logoword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word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590" cy="10229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C8EFF8"/>
    <w:lvl w:ilvl="0">
      <w:numFmt w:val="decimal"/>
      <w:lvlText w:val="*"/>
      <w:lvlJc w:val="left"/>
    </w:lvl>
  </w:abstractNum>
  <w:abstractNum w:abstractNumId="1">
    <w:nsid w:val="024A7FC8"/>
    <w:multiLevelType w:val="hybridMultilevel"/>
    <w:tmpl w:val="24785E46"/>
    <w:lvl w:ilvl="0" w:tplc="8EB42704">
      <w:start w:val="3"/>
      <w:numFmt w:val="lowerLetter"/>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2">
    <w:nsid w:val="03CA1CEC"/>
    <w:multiLevelType w:val="hybridMultilevel"/>
    <w:tmpl w:val="9AD692A6"/>
    <w:lvl w:ilvl="0" w:tplc="0C0A000F">
      <w:start w:val="1"/>
      <w:numFmt w:val="decimal"/>
      <w:lvlText w:val="%1."/>
      <w:lvlJc w:val="left"/>
      <w:pPr>
        <w:ind w:left="1245" w:hanging="360"/>
      </w:pPr>
    </w:lvl>
    <w:lvl w:ilvl="1" w:tplc="0C0A0019" w:tentative="1">
      <w:start w:val="1"/>
      <w:numFmt w:val="lowerLetter"/>
      <w:lvlText w:val="%2."/>
      <w:lvlJc w:val="left"/>
      <w:pPr>
        <w:ind w:left="1965" w:hanging="360"/>
      </w:pPr>
    </w:lvl>
    <w:lvl w:ilvl="2" w:tplc="0C0A001B" w:tentative="1">
      <w:start w:val="1"/>
      <w:numFmt w:val="lowerRoman"/>
      <w:lvlText w:val="%3."/>
      <w:lvlJc w:val="right"/>
      <w:pPr>
        <w:ind w:left="2685" w:hanging="180"/>
      </w:pPr>
    </w:lvl>
    <w:lvl w:ilvl="3" w:tplc="0C0A000F" w:tentative="1">
      <w:start w:val="1"/>
      <w:numFmt w:val="decimal"/>
      <w:lvlText w:val="%4."/>
      <w:lvlJc w:val="left"/>
      <w:pPr>
        <w:ind w:left="3405" w:hanging="360"/>
      </w:pPr>
    </w:lvl>
    <w:lvl w:ilvl="4" w:tplc="0C0A0019" w:tentative="1">
      <w:start w:val="1"/>
      <w:numFmt w:val="lowerLetter"/>
      <w:lvlText w:val="%5."/>
      <w:lvlJc w:val="left"/>
      <w:pPr>
        <w:ind w:left="4125" w:hanging="360"/>
      </w:pPr>
    </w:lvl>
    <w:lvl w:ilvl="5" w:tplc="0C0A001B" w:tentative="1">
      <w:start w:val="1"/>
      <w:numFmt w:val="lowerRoman"/>
      <w:lvlText w:val="%6."/>
      <w:lvlJc w:val="right"/>
      <w:pPr>
        <w:ind w:left="4845" w:hanging="180"/>
      </w:pPr>
    </w:lvl>
    <w:lvl w:ilvl="6" w:tplc="0C0A000F" w:tentative="1">
      <w:start w:val="1"/>
      <w:numFmt w:val="decimal"/>
      <w:lvlText w:val="%7."/>
      <w:lvlJc w:val="left"/>
      <w:pPr>
        <w:ind w:left="5565" w:hanging="360"/>
      </w:pPr>
    </w:lvl>
    <w:lvl w:ilvl="7" w:tplc="0C0A0019" w:tentative="1">
      <w:start w:val="1"/>
      <w:numFmt w:val="lowerLetter"/>
      <w:lvlText w:val="%8."/>
      <w:lvlJc w:val="left"/>
      <w:pPr>
        <w:ind w:left="6285" w:hanging="360"/>
      </w:pPr>
    </w:lvl>
    <w:lvl w:ilvl="8" w:tplc="0C0A001B" w:tentative="1">
      <w:start w:val="1"/>
      <w:numFmt w:val="lowerRoman"/>
      <w:lvlText w:val="%9."/>
      <w:lvlJc w:val="right"/>
      <w:pPr>
        <w:ind w:left="7005" w:hanging="180"/>
      </w:pPr>
    </w:lvl>
  </w:abstractNum>
  <w:abstractNum w:abstractNumId="3">
    <w:nsid w:val="05E545F7"/>
    <w:multiLevelType w:val="hybridMultilevel"/>
    <w:tmpl w:val="C0B225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727B8A"/>
    <w:multiLevelType w:val="hybridMultilevel"/>
    <w:tmpl w:val="5178F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142616"/>
    <w:multiLevelType w:val="hybridMultilevel"/>
    <w:tmpl w:val="B29ED69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0B69646B"/>
    <w:multiLevelType w:val="hybridMultilevel"/>
    <w:tmpl w:val="8676DF28"/>
    <w:lvl w:ilvl="0" w:tplc="A920C5B0">
      <w:start w:val="4"/>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nsid w:val="103E54F1"/>
    <w:multiLevelType w:val="hybridMultilevel"/>
    <w:tmpl w:val="BE344F5A"/>
    <w:lvl w:ilvl="0" w:tplc="0C0A000F">
      <w:start w:val="1"/>
      <w:numFmt w:val="decimal"/>
      <w:lvlText w:val="%1."/>
      <w:lvlJc w:val="left"/>
      <w:pPr>
        <w:ind w:left="1483" w:hanging="360"/>
      </w:pPr>
    </w:lvl>
    <w:lvl w:ilvl="1" w:tplc="0C0A0019" w:tentative="1">
      <w:start w:val="1"/>
      <w:numFmt w:val="lowerLetter"/>
      <w:lvlText w:val="%2."/>
      <w:lvlJc w:val="left"/>
      <w:pPr>
        <w:ind w:left="2203" w:hanging="360"/>
      </w:pPr>
    </w:lvl>
    <w:lvl w:ilvl="2" w:tplc="0C0A001B" w:tentative="1">
      <w:start w:val="1"/>
      <w:numFmt w:val="lowerRoman"/>
      <w:lvlText w:val="%3."/>
      <w:lvlJc w:val="right"/>
      <w:pPr>
        <w:ind w:left="2923" w:hanging="180"/>
      </w:pPr>
    </w:lvl>
    <w:lvl w:ilvl="3" w:tplc="0C0A000F" w:tentative="1">
      <w:start w:val="1"/>
      <w:numFmt w:val="decimal"/>
      <w:lvlText w:val="%4."/>
      <w:lvlJc w:val="left"/>
      <w:pPr>
        <w:ind w:left="3643" w:hanging="360"/>
      </w:pPr>
    </w:lvl>
    <w:lvl w:ilvl="4" w:tplc="0C0A0019" w:tentative="1">
      <w:start w:val="1"/>
      <w:numFmt w:val="lowerLetter"/>
      <w:lvlText w:val="%5."/>
      <w:lvlJc w:val="left"/>
      <w:pPr>
        <w:ind w:left="4363" w:hanging="360"/>
      </w:pPr>
    </w:lvl>
    <w:lvl w:ilvl="5" w:tplc="0C0A001B" w:tentative="1">
      <w:start w:val="1"/>
      <w:numFmt w:val="lowerRoman"/>
      <w:lvlText w:val="%6."/>
      <w:lvlJc w:val="right"/>
      <w:pPr>
        <w:ind w:left="5083" w:hanging="180"/>
      </w:pPr>
    </w:lvl>
    <w:lvl w:ilvl="6" w:tplc="0C0A000F" w:tentative="1">
      <w:start w:val="1"/>
      <w:numFmt w:val="decimal"/>
      <w:lvlText w:val="%7."/>
      <w:lvlJc w:val="left"/>
      <w:pPr>
        <w:ind w:left="5803" w:hanging="360"/>
      </w:pPr>
    </w:lvl>
    <w:lvl w:ilvl="7" w:tplc="0C0A0019" w:tentative="1">
      <w:start w:val="1"/>
      <w:numFmt w:val="lowerLetter"/>
      <w:lvlText w:val="%8."/>
      <w:lvlJc w:val="left"/>
      <w:pPr>
        <w:ind w:left="6523" w:hanging="360"/>
      </w:pPr>
    </w:lvl>
    <w:lvl w:ilvl="8" w:tplc="0C0A001B" w:tentative="1">
      <w:start w:val="1"/>
      <w:numFmt w:val="lowerRoman"/>
      <w:lvlText w:val="%9."/>
      <w:lvlJc w:val="right"/>
      <w:pPr>
        <w:ind w:left="7243" w:hanging="180"/>
      </w:pPr>
    </w:lvl>
  </w:abstractNum>
  <w:abstractNum w:abstractNumId="8">
    <w:nsid w:val="13F609E2"/>
    <w:multiLevelType w:val="hybridMultilevel"/>
    <w:tmpl w:val="69986F4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9452103"/>
    <w:multiLevelType w:val="hybridMultilevel"/>
    <w:tmpl w:val="279A94CE"/>
    <w:lvl w:ilvl="0" w:tplc="165C1EE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EF71683"/>
    <w:multiLevelType w:val="hybridMultilevel"/>
    <w:tmpl w:val="CE38B8E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6C8787E"/>
    <w:multiLevelType w:val="hybridMultilevel"/>
    <w:tmpl w:val="A896075A"/>
    <w:lvl w:ilvl="0" w:tplc="B5B6B76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9D928D3"/>
    <w:multiLevelType w:val="hybridMultilevel"/>
    <w:tmpl w:val="E6E6AE1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CA314EB"/>
    <w:multiLevelType w:val="hybridMultilevel"/>
    <w:tmpl w:val="3AD69D5A"/>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2CC96896"/>
    <w:multiLevelType w:val="hybridMultilevel"/>
    <w:tmpl w:val="3A4039E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2DB820CD"/>
    <w:multiLevelType w:val="hybridMultilevel"/>
    <w:tmpl w:val="F8CEC120"/>
    <w:lvl w:ilvl="0" w:tplc="4B2E75DA">
      <w:start w:val="1"/>
      <w:numFmt w:val="lowerLetter"/>
      <w:lvlText w:val="%1)"/>
      <w:lvlJc w:val="left"/>
      <w:pPr>
        <w:tabs>
          <w:tab w:val="num" w:pos="927"/>
        </w:tabs>
        <w:ind w:left="927" w:hanging="360"/>
      </w:pPr>
      <w:rPr>
        <w:rFonts w:hint="default"/>
      </w:rPr>
    </w:lvl>
    <w:lvl w:ilvl="1" w:tplc="9C700940">
      <w:start w:val="2"/>
      <w:numFmt w:val="bullet"/>
      <w:lvlText w:val=""/>
      <w:lvlJc w:val="left"/>
      <w:pPr>
        <w:tabs>
          <w:tab w:val="num" w:pos="1647"/>
        </w:tabs>
        <w:ind w:left="1647" w:hanging="360"/>
      </w:pPr>
      <w:rPr>
        <w:rFonts w:ascii="Symbol" w:eastAsia="Times New Roman" w:hAnsi="Symbol" w:cs="Times New Roman" w:hint="default"/>
      </w:r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6">
    <w:nsid w:val="2F975FF5"/>
    <w:multiLevelType w:val="hybridMultilevel"/>
    <w:tmpl w:val="07EC466C"/>
    <w:lvl w:ilvl="0" w:tplc="47F29CD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1C91739"/>
    <w:multiLevelType w:val="hybridMultilevel"/>
    <w:tmpl w:val="5A7EE6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2286E02"/>
    <w:multiLevelType w:val="multilevel"/>
    <w:tmpl w:val="46C6B09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8107831"/>
    <w:multiLevelType w:val="hybridMultilevel"/>
    <w:tmpl w:val="80EA0F52"/>
    <w:lvl w:ilvl="0" w:tplc="739A67A4">
      <w:start w:val="1"/>
      <w:numFmt w:val="lowerLetter"/>
      <w:lvlText w:val="%1)"/>
      <w:lvlJc w:val="left"/>
      <w:pPr>
        <w:ind w:left="644" w:hanging="360"/>
      </w:pPr>
      <w:rPr>
        <w:rFonts w:ascii="NewBaskerville" w:hAnsi="NewBaskerville" w:hint="default"/>
        <w:sz w:val="20"/>
        <w:szCs w:val="20"/>
        <w:u w:val="none"/>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41CA328E"/>
    <w:multiLevelType w:val="hybridMultilevel"/>
    <w:tmpl w:val="4D3ED092"/>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nsid w:val="45EA5995"/>
    <w:multiLevelType w:val="hybridMultilevel"/>
    <w:tmpl w:val="C8BC530A"/>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FB017F"/>
    <w:multiLevelType w:val="hybridMultilevel"/>
    <w:tmpl w:val="214478BC"/>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4CCE3F67"/>
    <w:multiLevelType w:val="hybridMultilevel"/>
    <w:tmpl w:val="41DCE198"/>
    <w:lvl w:ilvl="0" w:tplc="0C0A000F">
      <w:start w:val="1"/>
      <w:numFmt w:val="decimal"/>
      <w:lvlText w:val="%1."/>
      <w:lvlJc w:val="left"/>
      <w:pPr>
        <w:ind w:left="1245" w:hanging="360"/>
      </w:pPr>
    </w:lvl>
    <w:lvl w:ilvl="1" w:tplc="0C0A0019" w:tentative="1">
      <w:start w:val="1"/>
      <w:numFmt w:val="lowerLetter"/>
      <w:lvlText w:val="%2."/>
      <w:lvlJc w:val="left"/>
      <w:pPr>
        <w:ind w:left="1965" w:hanging="360"/>
      </w:pPr>
    </w:lvl>
    <w:lvl w:ilvl="2" w:tplc="0C0A001B" w:tentative="1">
      <w:start w:val="1"/>
      <w:numFmt w:val="lowerRoman"/>
      <w:lvlText w:val="%3."/>
      <w:lvlJc w:val="right"/>
      <w:pPr>
        <w:ind w:left="2685" w:hanging="180"/>
      </w:pPr>
    </w:lvl>
    <w:lvl w:ilvl="3" w:tplc="0C0A000F" w:tentative="1">
      <w:start w:val="1"/>
      <w:numFmt w:val="decimal"/>
      <w:lvlText w:val="%4."/>
      <w:lvlJc w:val="left"/>
      <w:pPr>
        <w:ind w:left="3405" w:hanging="360"/>
      </w:pPr>
    </w:lvl>
    <w:lvl w:ilvl="4" w:tplc="0C0A0019" w:tentative="1">
      <w:start w:val="1"/>
      <w:numFmt w:val="lowerLetter"/>
      <w:lvlText w:val="%5."/>
      <w:lvlJc w:val="left"/>
      <w:pPr>
        <w:ind w:left="4125" w:hanging="360"/>
      </w:pPr>
    </w:lvl>
    <w:lvl w:ilvl="5" w:tplc="0C0A001B" w:tentative="1">
      <w:start w:val="1"/>
      <w:numFmt w:val="lowerRoman"/>
      <w:lvlText w:val="%6."/>
      <w:lvlJc w:val="right"/>
      <w:pPr>
        <w:ind w:left="4845" w:hanging="180"/>
      </w:pPr>
    </w:lvl>
    <w:lvl w:ilvl="6" w:tplc="0C0A000F" w:tentative="1">
      <w:start w:val="1"/>
      <w:numFmt w:val="decimal"/>
      <w:lvlText w:val="%7."/>
      <w:lvlJc w:val="left"/>
      <w:pPr>
        <w:ind w:left="5565" w:hanging="360"/>
      </w:pPr>
    </w:lvl>
    <w:lvl w:ilvl="7" w:tplc="0C0A0019" w:tentative="1">
      <w:start w:val="1"/>
      <w:numFmt w:val="lowerLetter"/>
      <w:lvlText w:val="%8."/>
      <w:lvlJc w:val="left"/>
      <w:pPr>
        <w:ind w:left="6285" w:hanging="360"/>
      </w:pPr>
    </w:lvl>
    <w:lvl w:ilvl="8" w:tplc="0C0A001B" w:tentative="1">
      <w:start w:val="1"/>
      <w:numFmt w:val="lowerRoman"/>
      <w:lvlText w:val="%9."/>
      <w:lvlJc w:val="right"/>
      <w:pPr>
        <w:ind w:left="7005" w:hanging="180"/>
      </w:pPr>
    </w:lvl>
  </w:abstractNum>
  <w:abstractNum w:abstractNumId="24">
    <w:nsid w:val="4D421DC9"/>
    <w:multiLevelType w:val="hybridMultilevel"/>
    <w:tmpl w:val="40488F1A"/>
    <w:lvl w:ilvl="0" w:tplc="212CEA1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F0C54DD"/>
    <w:multiLevelType w:val="hybridMultilevel"/>
    <w:tmpl w:val="AA0AE492"/>
    <w:lvl w:ilvl="0" w:tplc="2832683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4480ADC"/>
    <w:multiLevelType w:val="hybridMultilevel"/>
    <w:tmpl w:val="90826E50"/>
    <w:lvl w:ilvl="0" w:tplc="0C0A000F">
      <w:start w:val="1"/>
      <w:numFmt w:val="decimal"/>
      <w:lvlText w:val="%1."/>
      <w:lvlJc w:val="left"/>
      <w:pPr>
        <w:ind w:left="1528" w:hanging="360"/>
      </w:pPr>
    </w:lvl>
    <w:lvl w:ilvl="1" w:tplc="0C0A0019" w:tentative="1">
      <w:start w:val="1"/>
      <w:numFmt w:val="lowerLetter"/>
      <w:lvlText w:val="%2."/>
      <w:lvlJc w:val="left"/>
      <w:pPr>
        <w:ind w:left="2248" w:hanging="360"/>
      </w:pPr>
    </w:lvl>
    <w:lvl w:ilvl="2" w:tplc="0C0A001B" w:tentative="1">
      <w:start w:val="1"/>
      <w:numFmt w:val="lowerRoman"/>
      <w:lvlText w:val="%3."/>
      <w:lvlJc w:val="right"/>
      <w:pPr>
        <w:ind w:left="2968" w:hanging="180"/>
      </w:pPr>
    </w:lvl>
    <w:lvl w:ilvl="3" w:tplc="0C0A000F" w:tentative="1">
      <w:start w:val="1"/>
      <w:numFmt w:val="decimal"/>
      <w:lvlText w:val="%4."/>
      <w:lvlJc w:val="left"/>
      <w:pPr>
        <w:ind w:left="3688" w:hanging="360"/>
      </w:pPr>
    </w:lvl>
    <w:lvl w:ilvl="4" w:tplc="0C0A0019" w:tentative="1">
      <w:start w:val="1"/>
      <w:numFmt w:val="lowerLetter"/>
      <w:lvlText w:val="%5."/>
      <w:lvlJc w:val="left"/>
      <w:pPr>
        <w:ind w:left="4408" w:hanging="360"/>
      </w:pPr>
    </w:lvl>
    <w:lvl w:ilvl="5" w:tplc="0C0A001B" w:tentative="1">
      <w:start w:val="1"/>
      <w:numFmt w:val="lowerRoman"/>
      <w:lvlText w:val="%6."/>
      <w:lvlJc w:val="right"/>
      <w:pPr>
        <w:ind w:left="5128" w:hanging="180"/>
      </w:pPr>
    </w:lvl>
    <w:lvl w:ilvl="6" w:tplc="0C0A000F" w:tentative="1">
      <w:start w:val="1"/>
      <w:numFmt w:val="decimal"/>
      <w:lvlText w:val="%7."/>
      <w:lvlJc w:val="left"/>
      <w:pPr>
        <w:ind w:left="5848" w:hanging="360"/>
      </w:pPr>
    </w:lvl>
    <w:lvl w:ilvl="7" w:tplc="0C0A0019" w:tentative="1">
      <w:start w:val="1"/>
      <w:numFmt w:val="lowerLetter"/>
      <w:lvlText w:val="%8."/>
      <w:lvlJc w:val="left"/>
      <w:pPr>
        <w:ind w:left="6568" w:hanging="360"/>
      </w:pPr>
    </w:lvl>
    <w:lvl w:ilvl="8" w:tplc="0C0A001B" w:tentative="1">
      <w:start w:val="1"/>
      <w:numFmt w:val="lowerRoman"/>
      <w:lvlText w:val="%9."/>
      <w:lvlJc w:val="right"/>
      <w:pPr>
        <w:ind w:left="7288" w:hanging="180"/>
      </w:pPr>
    </w:lvl>
  </w:abstractNum>
  <w:abstractNum w:abstractNumId="27">
    <w:nsid w:val="54B1522C"/>
    <w:multiLevelType w:val="hybridMultilevel"/>
    <w:tmpl w:val="60C26210"/>
    <w:lvl w:ilvl="0" w:tplc="47F29CD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85A4BC8"/>
    <w:multiLevelType w:val="hybridMultilevel"/>
    <w:tmpl w:val="B8C858A8"/>
    <w:lvl w:ilvl="0" w:tplc="EF9E4894">
      <w:start w:val="8"/>
      <w:numFmt w:val="lowerLetter"/>
      <w:lvlText w:val="%1)"/>
      <w:lvlJc w:val="left"/>
      <w:pPr>
        <w:ind w:left="1065" w:hanging="360"/>
      </w:pPr>
      <w:rPr>
        <w:rFonts w:hint="default"/>
      </w:rPr>
    </w:lvl>
    <w:lvl w:ilvl="1" w:tplc="0C0A0019">
      <w:start w:val="1"/>
      <w:numFmt w:val="lowerLetter"/>
      <w:lvlText w:val="%2."/>
      <w:lvlJc w:val="left"/>
      <w:pPr>
        <w:ind w:left="1636"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9">
    <w:nsid w:val="5B0350EF"/>
    <w:multiLevelType w:val="hybridMultilevel"/>
    <w:tmpl w:val="6E38D1B8"/>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30">
    <w:nsid w:val="5BB44183"/>
    <w:multiLevelType w:val="hybridMultilevel"/>
    <w:tmpl w:val="643CCF26"/>
    <w:lvl w:ilvl="0" w:tplc="EF3A3D8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03111AE"/>
    <w:multiLevelType w:val="hybridMultilevel"/>
    <w:tmpl w:val="F48E8616"/>
    <w:lvl w:ilvl="0" w:tplc="67C8EFF8">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506"/>
        </w:tabs>
        <w:ind w:left="1506" w:hanging="360"/>
      </w:pPr>
      <w:rPr>
        <w:rFonts w:ascii="Courier New" w:hAnsi="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32">
    <w:nsid w:val="64927B6A"/>
    <w:multiLevelType w:val="hybridMultilevel"/>
    <w:tmpl w:val="D2348E1A"/>
    <w:lvl w:ilvl="0" w:tplc="0C0A000F">
      <w:start w:val="1"/>
      <w:numFmt w:val="decimal"/>
      <w:lvlText w:val="%1."/>
      <w:lvlJc w:val="left"/>
      <w:pPr>
        <w:ind w:left="1245" w:hanging="360"/>
      </w:pPr>
    </w:lvl>
    <w:lvl w:ilvl="1" w:tplc="0C0A0019" w:tentative="1">
      <w:start w:val="1"/>
      <w:numFmt w:val="lowerLetter"/>
      <w:lvlText w:val="%2."/>
      <w:lvlJc w:val="left"/>
      <w:pPr>
        <w:ind w:left="1965" w:hanging="360"/>
      </w:pPr>
    </w:lvl>
    <w:lvl w:ilvl="2" w:tplc="0C0A001B" w:tentative="1">
      <w:start w:val="1"/>
      <w:numFmt w:val="lowerRoman"/>
      <w:lvlText w:val="%3."/>
      <w:lvlJc w:val="right"/>
      <w:pPr>
        <w:ind w:left="2685" w:hanging="180"/>
      </w:pPr>
    </w:lvl>
    <w:lvl w:ilvl="3" w:tplc="0C0A000F" w:tentative="1">
      <w:start w:val="1"/>
      <w:numFmt w:val="decimal"/>
      <w:lvlText w:val="%4."/>
      <w:lvlJc w:val="left"/>
      <w:pPr>
        <w:ind w:left="3405" w:hanging="360"/>
      </w:pPr>
    </w:lvl>
    <w:lvl w:ilvl="4" w:tplc="0C0A0019" w:tentative="1">
      <w:start w:val="1"/>
      <w:numFmt w:val="lowerLetter"/>
      <w:lvlText w:val="%5."/>
      <w:lvlJc w:val="left"/>
      <w:pPr>
        <w:ind w:left="4125" w:hanging="360"/>
      </w:pPr>
    </w:lvl>
    <w:lvl w:ilvl="5" w:tplc="0C0A001B" w:tentative="1">
      <w:start w:val="1"/>
      <w:numFmt w:val="lowerRoman"/>
      <w:lvlText w:val="%6."/>
      <w:lvlJc w:val="right"/>
      <w:pPr>
        <w:ind w:left="4845" w:hanging="180"/>
      </w:pPr>
    </w:lvl>
    <w:lvl w:ilvl="6" w:tplc="0C0A000F" w:tentative="1">
      <w:start w:val="1"/>
      <w:numFmt w:val="decimal"/>
      <w:lvlText w:val="%7."/>
      <w:lvlJc w:val="left"/>
      <w:pPr>
        <w:ind w:left="5565" w:hanging="360"/>
      </w:pPr>
    </w:lvl>
    <w:lvl w:ilvl="7" w:tplc="0C0A0019" w:tentative="1">
      <w:start w:val="1"/>
      <w:numFmt w:val="lowerLetter"/>
      <w:lvlText w:val="%8."/>
      <w:lvlJc w:val="left"/>
      <w:pPr>
        <w:ind w:left="6285" w:hanging="360"/>
      </w:pPr>
    </w:lvl>
    <w:lvl w:ilvl="8" w:tplc="0C0A001B" w:tentative="1">
      <w:start w:val="1"/>
      <w:numFmt w:val="lowerRoman"/>
      <w:lvlText w:val="%9."/>
      <w:lvlJc w:val="right"/>
      <w:pPr>
        <w:ind w:left="7005" w:hanging="180"/>
      </w:pPr>
    </w:lvl>
  </w:abstractNum>
  <w:abstractNum w:abstractNumId="33">
    <w:nsid w:val="665644CE"/>
    <w:multiLevelType w:val="hybridMultilevel"/>
    <w:tmpl w:val="943C30E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70339E4"/>
    <w:multiLevelType w:val="hybridMultilevel"/>
    <w:tmpl w:val="4132699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677F3454"/>
    <w:multiLevelType w:val="hybridMultilevel"/>
    <w:tmpl w:val="891A4A76"/>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69BF1E45"/>
    <w:multiLevelType w:val="hybridMultilevel"/>
    <w:tmpl w:val="41629DFE"/>
    <w:lvl w:ilvl="0" w:tplc="6DA484B2">
      <w:start w:val="1"/>
      <w:numFmt w:val="decimal"/>
      <w:lvlText w:val="%1."/>
      <w:lvlJc w:val="left"/>
      <w:pPr>
        <w:ind w:left="1047" w:hanging="360"/>
      </w:pPr>
      <w:rPr>
        <w:rFonts w:hint="default"/>
      </w:rPr>
    </w:lvl>
    <w:lvl w:ilvl="1" w:tplc="0C0A0019" w:tentative="1">
      <w:start w:val="1"/>
      <w:numFmt w:val="lowerLetter"/>
      <w:lvlText w:val="%2."/>
      <w:lvlJc w:val="left"/>
      <w:pPr>
        <w:ind w:left="1767" w:hanging="360"/>
      </w:pPr>
    </w:lvl>
    <w:lvl w:ilvl="2" w:tplc="0C0A001B" w:tentative="1">
      <w:start w:val="1"/>
      <w:numFmt w:val="lowerRoman"/>
      <w:lvlText w:val="%3."/>
      <w:lvlJc w:val="right"/>
      <w:pPr>
        <w:ind w:left="2487" w:hanging="180"/>
      </w:pPr>
    </w:lvl>
    <w:lvl w:ilvl="3" w:tplc="0C0A000F" w:tentative="1">
      <w:start w:val="1"/>
      <w:numFmt w:val="decimal"/>
      <w:lvlText w:val="%4."/>
      <w:lvlJc w:val="left"/>
      <w:pPr>
        <w:ind w:left="3207" w:hanging="360"/>
      </w:pPr>
    </w:lvl>
    <w:lvl w:ilvl="4" w:tplc="0C0A0019" w:tentative="1">
      <w:start w:val="1"/>
      <w:numFmt w:val="lowerLetter"/>
      <w:lvlText w:val="%5."/>
      <w:lvlJc w:val="left"/>
      <w:pPr>
        <w:ind w:left="3927" w:hanging="360"/>
      </w:pPr>
    </w:lvl>
    <w:lvl w:ilvl="5" w:tplc="0C0A001B" w:tentative="1">
      <w:start w:val="1"/>
      <w:numFmt w:val="lowerRoman"/>
      <w:lvlText w:val="%6."/>
      <w:lvlJc w:val="right"/>
      <w:pPr>
        <w:ind w:left="4647" w:hanging="180"/>
      </w:pPr>
    </w:lvl>
    <w:lvl w:ilvl="6" w:tplc="0C0A000F" w:tentative="1">
      <w:start w:val="1"/>
      <w:numFmt w:val="decimal"/>
      <w:lvlText w:val="%7."/>
      <w:lvlJc w:val="left"/>
      <w:pPr>
        <w:ind w:left="5367" w:hanging="360"/>
      </w:pPr>
    </w:lvl>
    <w:lvl w:ilvl="7" w:tplc="0C0A0019" w:tentative="1">
      <w:start w:val="1"/>
      <w:numFmt w:val="lowerLetter"/>
      <w:lvlText w:val="%8."/>
      <w:lvlJc w:val="left"/>
      <w:pPr>
        <w:ind w:left="6087" w:hanging="360"/>
      </w:pPr>
    </w:lvl>
    <w:lvl w:ilvl="8" w:tplc="0C0A001B" w:tentative="1">
      <w:start w:val="1"/>
      <w:numFmt w:val="lowerRoman"/>
      <w:lvlText w:val="%9."/>
      <w:lvlJc w:val="right"/>
      <w:pPr>
        <w:ind w:left="6807" w:hanging="180"/>
      </w:pPr>
    </w:lvl>
  </w:abstractNum>
  <w:abstractNum w:abstractNumId="37">
    <w:nsid w:val="6B8759A4"/>
    <w:multiLevelType w:val="hybridMultilevel"/>
    <w:tmpl w:val="4D620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CDD2E33"/>
    <w:multiLevelType w:val="hybridMultilevel"/>
    <w:tmpl w:val="1CDC7B1A"/>
    <w:lvl w:ilvl="0" w:tplc="0C0A000D">
      <w:start w:val="1"/>
      <w:numFmt w:val="bullet"/>
      <w:lvlText w:val=""/>
      <w:lvlJc w:val="left"/>
      <w:pPr>
        <w:ind w:left="2007" w:hanging="360"/>
      </w:pPr>
      <w:rPr>
        <w:rFonts w:ascii="Wingdings" w:hAnsi="Wingdings"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39">
    <w:nsid w:val="6E4B736D"/>
    <w:multiLevelType w:val="hybridMultilevel"/>
    <w:tmpl w:val="E2906F3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nsid w:val="728366DF"/>
    <w:multiLevelType w:val="hybridMultilevel"/>
    <w:tmpl w:val="676E4EC6"/>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41">
    <w:nsid w:val="742B654B"/>
    <w:multiLevelType w:val="hybridMultilevel"/>
    <w:tmpl w:val="B6BCD0AA"/>
    <w:lvl w:ilvl="0" w:tplc="B00A198E">
      <w:start w:val="3"/>
      <w:numFmt w:val="bullet"/>
      <w:lvlText w:val="-"/>
      <w:lvlJc w:val="left"/>
      <w:pPr>
        <w:ind w:left="928" w:hanging="360"/>
      </w:pPr>
      <w:rPr>
        <w:rFonts w:ascii="NewBaskerville" w:eastAsia="Times New Roman" w:hAnsi="NewBaskerville" w:cs="Times New Roman"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42">
    <w:nsid w:val="75D7042D"/>
    <w:multiLevelType w:val="hybridMultilevel"/>
    <w:tmpl w:val="D758E7EA"/>
    <w:lvl w:ilvl="0" w:tplc="0C0A000F">
      <w:start w:val="1"/>
      <w:numFmt w:val="decimal"/>
      <w:lvlText w:val="%1."/>
      <w:lvlJc w:val="left"/>
      <w:pPr>
        <w:ind w:left="1245" w:hanging="360"/>
      </w:pPr>
    </w:lvl>
    <w:lvl w:ilvl="1" w:tplc="0C0A0019" w:tentative="1">
      <w:start w:val="1"/>
      <w:numFmt w:val="lowerLetter"/>
      <w:lvlText w:val="%2."/>
      <w:lvlJc w:val="left"/>
      <w:pPr>
        <w:ind w:left="1965" w:hanging="360"/>
      </w:pPr>
    </w:lvl>
    <w:lvl w:ilvl="2" w:tplc="0C0A001B" w:tentative="1">
      <w:start w:val="1"/>
      <w:numFmt w:val="lowerRoman"/>
      <w:lvlText w:val="%3."/>
      <w:lvlJc w:val="right"/>
      <w:pPr>
        <w:ind w:left="2685" w:hanging="180"/>
      </w:pPr>
    </w:lvl>
    <w:lvl w:ilvl="3" w:tplc="0C0A000F" w:tentative="1">
      <w:start w:val="1"/>
      <w:numFmt w:val="decimal"/>
      <w:lvlText w:val="%4."/>
      <w:lvlJc w:val="left"/>
      <w:pPr>
        <w:ind w:left="3405" w:hanging="360"/>
      </w:pPr>
    </w:lvl>
    <w:lvl w:ilvl="4" w:tplc="0C0A0019" w:tentative="1">
      <w:start w:val="1"/>
      <w:numFmt w:val="lowerLetter"/>
      <w:lvlText w:val="%5."/>
      <w:lvlJc w:val="left"/>
      <w:pPr>
        <w:ind w:left="4125" w:hanging="360"/>
      </w:pPr>
    </w:lvl>
    <w:lvl w:ilvl="5" w:tplc="0C0A001B" w:tentative="1">
      <w:start w:val="1"/>
      <w:numFmt w:val="lowerRoman"/>
      <w:lvlText w:val="%6."/>
      <w:lvlJc w:val="right"/>
      <w:pPr>
        <w:ind w:left="4845" w:hanging="180"/>
      </w:pPr>
    </w:lvl>
    <w:lvl w:ilvl="6" w:tplc="0C0A000F" w:tentative="1">
      <w:start w:val="1"/>
      <w:numFmt w:val="decimal"/>
      <w:lvlText w:val="%7."/>
      <w:lvlJc w:val="left"/>
      <w:pPr>
        <w:ind w:left="5565" w:hanging="360"/>
      </w:pPr>
    </w:lvl>
    <w:lvl w:ilvl="7" w:tplc="0C0A0019" w:tentative="1">
      <w:start w:val="1"/>
      <w:numFmt w:val="lowerLetter"/>
      <w:lvlText w:val="%8."/>
      <w:lvlJc w:val="left"/>
      <w:pPr>
        <w:ind w:left="6285" w:hanging="360"/>
      </w:pPr>
    </w:lvl>
    <w:lvl w:ilvl="8" w:tplc="0C0A001B" w:tentative="1">
      <w:start w:val="1"/>
      <w:numFmt w:val="lowerRoman"/>
      <w:lvlText w:val="%9."/>
      <w:lvlJc w:val="right"/>
      <w:pPr>
        <w:ind w:left="7005" w:hanging="180"/>
      </w:pPr>
    </w:lvl>
  </w:abstractNum>
  <w:abstractNum w:abstractNumId="43">
    <w:nsid w:val="778327C1"/>
    <w:multiLevelType w:val="hybridMultilevel"/>
    <w:tmpl w:val="D9C865A6"/>
    <w:lvl w:ilvl="0" w:tplc="5868EF32">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44">
    <w:nsid w:val="79A62A63"/>
    <w:multiLevelType w:val="hybridMultilevel"/>
    <w:tmpl w:val="89DC6002"/>
    <w:lvl w:ilvl="0" w:tplc="0C0A000F">
      <w:start w:val="1"/>
      <w:numFmt w:val="decimal"/>
      <w:lvlText w:val="%1."/>
      <w:lvlJc w:val="left"/>
      <w:pPr>
        <w:ind w:left="1245" w:hanging="360"/>
      </w:pPr>
    </w:lvl>
    <w:lvl w:ilvl="1" w:tplc="0C0A0019" w:tentative="1">
      <w:start w:val="1"/>
      <w:numFmt w:val="lowerLetter"/>
      <w:lvlText w:val="%2."/>
      <w:lvlJc w:val="left"/>
      <w:pPr>
        <w:ind w:left="1965" w:hanging="360"/>
      </w:pPr>
    </w:lvl>
    <w:lvl w:ilvl="2" w:tplc="0C0A001B" w:tentative="1">
      <w:start w:val="1"/>
      <w:numFmt w:val="lowerRoman"/>
      <w:lvlText w:val="%3."/>
      <w:lvlJc w:val="right"/>
      <w:pPr>
        <w:ind w:left="2685" w:hanging="180"/>
      </w:pPr>
    </w:lvl>
    <w:lvl w:ilvl="3" w:tplc="0C0A000F" w:tentative="1">
      <w:start w:val="1"/>
      <w:numFmt w:val="decimal"/>
      <w:lvlText w:val="%4."/>
      <w:lvlJc w:val="left"/>
      <w:pPr>
        <w:ind w:left="3405" w:hanging="360"/>
      </w:pPr>
    </w:lvl>
    <w:lvl w:ilvl="4" w:tplc="0C0A0019" w:tentative="1">
      <w:start w:val="1"/>
      <w:numFmt w:val="lowerLetter"/>
      <w:lvlText w:val="%5."/>
      <w:lvlJc w:val="left"/>
      <w:pPr>
        <w:ind w:left="4125" w:hanging="360"/>
      </w:pPr>
    </w:lvl>
    <w:lvl w:ilvl="5" w:tplc="0C0A001B" w:tentative="1">
      <w:start w:val="1"/>
      <w:numFmt w:val="lowerRoman"/>
      <w:lvlText w:val="%6."/>
      <w:lvlJc w:val="right"/>
      <w:pPr>
        <w:ind w:left="4845" w:hanging="180"/>
      </w:pPr>
    </w:lvl>
    <w:lvl w:ilvl="6" w:tplc="0C0A000F" w:tentative="1">
      <w:start w:val="1"/>
      <w:numFmt w:val="decimal"/>
      <w:lvlText w:val="%7."/>
      <w:lvlJc w:val="left"/>
      <w:pPr>
        <w:ind w:left="5565" w:hanging="360"/>
      </w:pPr>
    </w:lvl>
    <w:lvl w:ilvl="7" w:tplc="0C0A0019" w:tentative="1">
      <w:start w:val="1"/>
      <w:numFmt w:val="lowerLetter"/>
      <w:lvlText w:val="%8."/>
      <w:lvlJc w:val="left"/>
      <w:pPr>
        <w:ind w:left="6285" w:hanging="360"/>
      </w:pPr>
    </w:lvl>
    <w:lvl w:ilvl="8" w:tplc="0C0A001B" w:tentative="1">
      <w:start w:val="1"/>
      <w:numFmt w:val="lowerRoman"/>
      <w:lvlText w:val="%9."/>
      <w:lvlJc w:val="right"/>
      <w:pPr>
        <w:ind w:left="7005" w:hanging="180"/>
      </w:pPr>
    </w:lvl>
  </w:abstractNum>
  <w:abstractNum w:abstractNumId="45">
    <w:nsid w:val="7D962EEB"/>
    <w:multiLevelType w:val="hybridMultilevel"/>
    <w:tmpl w:val="4BAC8D3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DD5190F"/>
    <w:multiLevelType w:val="hybridMultilevel"/>
    <w:tmpl w:val="33ACD25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E7A517F"/>
    <w:multiLevelType w:val="hybridMultilevel"/>
    <w:tmpl w:val="55E22404"/>
    <w:lvl w:ilvl="0" w:tplc="0C0A000F">
      <w:start w:val="1"/>
      <w:numFmt w:val="decimal"/>
      <w:lvlText w:val="%1."/>
      <w:lvlJc w:val="left"/>
      <w:pPr>
        <w:ind w:left="1932" w:hanging="360"/>
      </w:pPr>
    </w:lvl>
    <w:lvl w:ilvl="1" w:tplc="0C0A0019" w:tentative="1">
      <w:start w:val="1"/>
      <w:numFmt w:val="lowerLetter"/>
      <w:lvlText w:val="%2."/>
      <w:lvlJc w:val="left"/>
      <w:pPr>
        <w:ind w:left="2652" w:hanging="360"/>
      </w:pPr>
    </w:lvl>
    <w:lvl w:ilvl="2" w:tplc="0C0A001B" w:tentative="1">
      <w:start w:val="1"/>
      <w:numFmt w:val="lowerRoman"/>
      <w:lvlText w:val="%3."/>
      <w:lvlJc w:val="right"/>
      <w:pPr>
        <w:ind w:left="3372" w:hanging="180"/>
      </w:pPr>
    </w:lvl>
    <w:lvl w:ilvl="3" w:tplc="0C0A000F" w:tentative="1">
      <w:start w:val="1"/>
      <w:numFmt w:val="decimal"/>
      <w:lvlText w:val="%4."/>
      <w:lvlJc w:val="left"/>
      <w:pPr>
        <w:ind w:left="4092" w:hanging="360"/>
      </w:pPr>
    </w:lvl>
    <w:lvl w:ilvl="4" w:tplc="0C0A0019" w:tentative="1">
      <w:start w:val="1"/>
      <w:numFmt w:val="lowerLetter"/>
      <w:lvlText w:val="%5."/>
      <w:lvlJc w:val="left"/>
      <w:pPr>
        <w:ind w:left="4812" w:hanging="360"/>
      </w:pPr>
    </w:lvl>
    <w:lvl w:ilvl="5" w:tplc="0C0A001B" w:tentative="1">
      <w:start w:val="1"/>
      <w:numFmt w:val="lowerRoman"/>
      <w:lvlText w:val="%6."/>
      <w:lvlJc w:val="right"/>
      <w:pPr>
        <w:ind w:left="5532" w:hanging="180"/>
      </w:pPr>
    </w:lvl>
    <w:lvl w:ilvl="6" w:tplc="0C0A000F" w:tentative="1">
      <w:start w:val="1"/>
      <w:numFmt w:val="decimal"/>
      <w:lvlText w:val="%7."/>
      <w:lvlJc w:val="left"/>
      <w:pPr>
        <w:ind w:left="6252" w:hanging="360"/>
      </w:pPr>
    </w:lvl>
    <w:lvl w:ilvl="7" w:tplc="0C0A0019" w:tentative="1">
      <w:start w:val="1"/>
      <w:numFmt w:val="lowerLetter"/>
      <w:lvlText w:val="%8."/>
      <w:lvlJc w:val="left"/>
      <w:pPr>
        <w:ind w:left="6972" w:hanging="360"/>
      </w:pPr>
    </w:lvl>
    <w:lvl w:ilvl="8" w:tplc="0C0A001B" w:tentative="1">
      <w:start w:val="1"/>
      <w:numFmt w:val="lowerRoman"/>
      <w:lvlText w:val="%9."/>
      <w:lvlJc w:val="right"/>
      <w:pPr>
        <w:ind w:left="7692" w:hanging="180"/>
      </w:pPr>
    </w:lvl>
  </w:abstractNum>
  <w:abstractNum w:abstractNumId="48">
    <w:nsid w:val="7EF01C4C"/>
    <w:multiLevelType w:val="hybridMultilevel"/>
    <w:tmpl w:val="68E4780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141"/>
        <w:lvlJc w:val="left"/>
        <w:pPr>
          <w:ind w:left="708" w:hanging="141"/>
        </w:pPr>
        <w:rPr>
          <w:rFonts w:ascii="Symbol" w:hAnsi="Symbol" w:hint="default"/>
        </w:rPr>
      </w:lvl>
    </w:lvlOverride>
  </w:num>
  <w:num w:numId="2">
    <w:abstractNumId w:val="43"/>
  </w:num>
  <w:num w:numId="3">
    <w:abstractNumId w:val="15"/>
  </w:num>
  <w:num w:numId="4">
    <w:abstractNumId w:val="1"/>
  </w:num>
  <w:num w:numId="5">
    <w:abstractNumId w:val="28"/>
  </w:num>
  <w:num w:numId="6">
    <w:abstractNumId w:val="11"/>
  </w:num>
  <w:num w:numId="7">
    <w:abstractNumId w:val="21"/>
  </w:num>
  <w:num w:numId="8">
    <w:abstractNumId w:val="29"/>
  </w:num>
  <w:num w:numId="9">
    <w:abstractNumId w:val="18"/>
  </w:num>
  <w:num w:numId="10">
    <w:abstractNumId w:val="36"/>
  </w:num>
  <w:num w:numId="11">
    <w:abstractNumId w:val="22"/>
  </w:num>
  <w:num w:numId="12">
    <w:abstractNumId w:val="35"/>
  </w:num>
  <w:num w:numId="13">
    <w:abstractNumId w:val="24"/>
  </w:num>
  <w:num w:numId="14">
    <w:abstractNumId w:val="27"/>
  </w:num>
  <w:num w:numId="15">
    <w:abstractNumId w:val="39"/>
  </w:num>
  <w:num w:numId="16">
    <w:abstractNumId w:val="12"/>
  </w:num>
  <w:num w:numId="17">
    <w:abstractNumId w:val="16"/>
  </w:num>
  <w:num w:numId="18">
    <w:abstractNumId w:val="10"/>
  </w:num>
  <w:num w:numId="19">
    <w:abstractNumId w:val="48"/>
  </w:num>
  <w:num w:numId="20">
    <w:abstractNumId w:val="44"/>
  </w:num>
  <w:num w:numId="21">
    <w:abstractNumId w:val="23"/>
  </w:num>
  <w:num w:numId="22">
    <w:abstractNumId w:val="42"/>
  </w:num>
  <w:num w:numId="23">
    <w:abstractNumId w:val="32"/>
  </w:num>
  <w:num w:numId="24">
    <w:abstractNumId w:val="2"/>
  </w:num>
  <w:num w:numId="25">
    <w:abstractNumId w:val="14"/>
  </w:num>
  <w:num w:numId="26">
    <w:abstractNumId w:val="5"/>
  </w:num>
  <w:num w:numId="27">
    <w:abstractNumId w:val="34"/>
  </w:num>
  <w:num w:numId="28">
    <w:abstractNumId w:val="30"/>
  </w:num>
  <w:num w:numId="29">
    <w:abstractNumId w:val="25"/>
  </w:num>
  <w:num w:numId="30">
    <w:abstractNumId w:val="13"/>
  </w:num>
  <w:num w:numId="31">
    <w:abstractNumId w:val="7"/>
  </w:num>
  <w:num w:numId="32">
    <w:abstractNumId w:val="26"/>
  </w:num>
  <w:num w:numId="33">
    <w:abstractNumId w:val="8"/>
  </w:num>
  <w:num w:numId="34">
    <w:abstractNumId w:val="45"/>
  </w:num>
  <w:num w:numId="35">
    <w:abstractNumId w:val="46"/>
  </w:num>
  <w:num w:numId="36">
    <w:abstractNumId w:val="33"/>
  </w:num>
  <w:num w:numId="37">
    <w:abstractNumId w:val="4"/>
  </w:num>
  <w:num w:numId="38">
    <w:abstractNumId w:val="20"/>
  </w:num>
  <w:num w:numId="39">
    <w:abstractNumId w:val="38"/>
  </w:num>
  <w:num w:numId="40">
    <w:abstractNumId w:val="31"/>
  </w:num>
  <w:num w:numId="41">
    <w:abstractNumId w:val="6"/>
  </w:num>
  <w:num w:numId="42">
    <w:abstractNumId w:val="9"/>
  </w:num>
  <w:num w:numId="43">
    <w:abstractNumId w:val="41"/>
  </w:num>
  <w:num w:numId="44">
    <w:abstractNumId w:val="19"/>
  </w:num>
  <w:num w:numId="45">
    <w:abstractNumId w:val="47"/>
  </w:num>
  <w:num w:numId="46">
    <w:abstractNumId w:val="17"/>
  </w:num>
  <w:num w:numId="47">
    <w:abstractNumId w:val="37"/>
  </w:num>
  <w:num w:numId="48">
    <w:abstractNumId w:val="40"/>
  </w:num>
  <w:num w:numId="4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hideGrammaticalErrors/>
  <w:attachedTemplate r:id="rId1"/>
  <w:defaultTabStop w:val="709"/>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1E"/>
    <w:rsid w:val="0000011D"/>
    <w:rsid w:val="00000AC7"/>
    <w:rsid w:val="00001577"/>
    <w:rsid w:val="00001588"/>
    <w:rsid w:val="00001682"/>
    <w:rsid w:val="00001E0B"/>
    <w:rsid w:val="00002391"/>
    <w:rsid w:val="00002B67"/>
    <w:rsid w:val="00003A48"/>
    <w:rsid w:val="000042A8"/>
    <w:rsid w:val="00004364"/>
    <w:rsid w:val="00004468"/>
    <w:rsid w:val="00004821"/>
    <w:rsid w:val="00004ABB"/>
    <w:rsid w:val="00005756"/>
    <w:rsid w:val="000068AD"/>
    <w:rsid w:val="00006B02"/>
    <w:rsid w:val="000072F2"/>
    <w:rsid w:val="0000780C"/>
    <w:rsid w:val="000104C7"/>
    <w:rsid w:val="00010D3D"/>
    <w:rsid w:val="00011BF3"/>
    <w:rsid w:val="0001276F"/>
    <w:rsid w:val="00015760"/>
    <w:rsid w:val="00015939"/>
    <w:rsid w:val="0001659E"/>
    <w:rsid w:val="0001788C"/>
    <w:rsid w:val="00017E6A"/>
    <w:rsid w:val="0002045F"/>
    <w:rsid w:val="000204BC"/>
    <w:rsid w:val="0002052A"/>
    <w:rsid w:val="00020B55"/>
    <w:rsid w:val="000210E2"/>
    <w:rsid w:val="000214BB"/>
    <w:rsid w:val="00021A30"/>
    <w:rsid w:val="000231A1"/>
    <w:rsid w:val="00023EB8"/>
    <w:rsid w:val="00024224"/>
    <w:rsid w:val="00024765"/>
    <w:rsid w:val="00024AA3"/>
    <w:rsid w:val="00025C4B"/>
    <w:rsid w:val="000263AE"/>
    <w:rsid w:val="000274DE"/>
    <w:rsid w:val="00027678"/>
    <w:rsid w:val="000279A9"/>
    <w:rsid w:val="000300BD"/>
    <w:rsid w:val="000307B8"/>
    <w:rsid w:val="00030DE8"/>
    <w:rsid w:val="00030FFA"/>
    <w:rsid w:val="000313FC"/>
    <w:rsid w:val="000332EA"/>
    <w:rsid w:val="000337F0"/>
    <w:rsid w:val="0003424C"/>
    <w:rsid w:val="00035F9F"/>
    <w:rsid w:val="00036F2A"/>
    <w:rsid w:val="00037643"/>
    <w:rsid w:val="0004087C"/>
    <w:rsid w:val="00040BB6"/>
    <w:rsid w:val="00040E00"/>
    <w:rsid w:val="00043062"/>
    <w:rsid w:val="00043B4D"/>
    <w:rsid w:val="00044207"/>
    <w:rsid w:val="00044B64"/>
    <w:rsid w:val="000458C5"/>
    <w:rsid w:val="00045A28"/>
    <w:rsid w:val="000469AC"/>
    <w:rsid w:val="00047A30"/>
    <w:rsid w:val="00047E3D"/>
    <w:rsid w:val="00047F91"/>
    <w:rsid w:val="00050985"/>
    <w:rsid w:val="00052604"/>
    <w:rsid w:val="00052B62"/>
    <w:rsid w:val="00052D93"/>
    <w:rsid w:val="000536BA"/>
    <w:rsid w:val="00053A9A"/>
    <w:rsid w:val="00054292"/>
    <w:rsid w:val="000542C8"/>
    <w:rsid w:val="00054B87"/>
    <w:rsid w:val="0005508B"/>
    <w:rsid w:val="00055388"/>
    <w:rsid w:val="0005605C"/>
    <w:rsid w:val="0005620E"/>
    <w:rsid w:val="00056367"/>
    <w:rsid w:val="00057148"/>
    <w:rsid w:val="0005783F"/>
    <w:rsid w:val="00057A33"/>
    <w:rsid w:val="000617FB"/>
    <w:rsid w:val="00061D51"/>
    <w:rsid w:val="00062A97"/>
    <w:rsid w:val="00062EAB"/>
    <w:rsid w:val="0006344B"/>
    <w:rsid w:val="00063565"/>
    <w:rsid w:val="00063785"/>
    <w:rsid w:val="00063E16"/>
    <w:rsid w:val="00063F0F"/>
    <w:rsid w:val="00064EE1"/>
    <w:rsid w:val="000652F5"/>
    <w:rsid w:val="00066FF6"/>
    <w:rsid w:val="0006789D"/>
    <w:rsid w:val="0006790B"/>
    <w:rsid w:val="00070E83"/>
    <w:rsid w:val="000718BF"/>
    <w:rsid w:val="0007197A"/>
    <w:rsid w:val="00071C51"/>
    <w:rsid w:val="00071C84"/>
    <w:rsid w:val="00072D1A"/>
    <w:rsid w:val="00072E45"/>
    <w:rsid w:val="00073912"/>
    <w:rsid w:val="00073A81"/>
    <w:rsid w:val="00074175"/>
    <w:rsid w:val="00074931"/>
    <w:rsid w:val="0007573B"/>
    <w:rsid w:val="00075A9A"/>
    <w:rsid w:val="00076E63"/>
    <w:rsid w:val="00077612"/>
    <w:rsid w:val="00077AF1"/>
    <w:rsid w:val="00077BCA"/>
    <w:rsid w:val="00077D64"/>
    <w:rsid w:val="00080084"/>
    <w:rsid w:val="00080511"/>
    <w:rsid w:val="000807C2"/>
    <w:rsid w:val="0008191B"/>
    <w:rsid w:val="00081E15"/>
    <w:rsid w:val="00082992"/>
    <w:rsid w:val="00083185"/>
    <w:rsid w:val="00083BB5"/>
    <w:rsid w:val="00083E35"/>
    <w:rsid w:val="0008430D"/>
    <w:rsid w:val="00084916"/>
    <w:rsid w:val="00085057"/>
    <w:rsid w:val="000870CC"/>
    <w:rsid w:val="00087381"/>
    <w:rsid w:val="00087AAE"/>
    <w:rsid w:val="00090112"/>
    <w:rsid w:val="00090E5E"/>
    <w:rsid w:val="00090EC6"/>
    <w:rsid w:val="00090FAB"/>
    <w:rsid w:val="0009164C"/>
    <w:rsid w:val="00091B3E"/>
    <w:rsid w:val="000927E0"/>
    <w:rsid w:val="00093913"/>
    <w:rsid w:val="00094725"/>
    <w:rsid w:val="00094C6A"/>
    <w:rsid w:val="0009572E"/>
    <w:rsid w:val="00095FD3"/>
    <w:rsid w:val="000960C1"/>
    <w:rsid w:val="00096D11"/>
    <w:rsid w:val="000972BD"/>
    <w:rsid w:val="000975C8"/>
    <w:rsid w:val="00097B54"/>
    <w:rsid w:val="000A09C1"/>
    <w:rsid w:val="000A0CB4"/>
    <w:rsid w:val="000A0E1D"/>
    <w:rsid w:val="000A14A4"/>
    <w:rsid w:val="000A1693"/>
    <w:rsid w:val="000A2082"/>
    <w:rsid w:val="000A2322"/>
    <w:rsid w:val="000A29BC"/>
    <w:rsid w:val="000A2AAF"/>
    <w:rsid w:val="000A350B"/>
    <w:rsid w:val="000A391E"/>
    <w:rsid w:val="000A40BF"/>
    <w:rsid w:val="000A4C0E"/>
    <w:rsid w:val="000A60B9"/>
    <w:rsid w:val="000A65C0"/>
    <w:rsid w:val="000A6F65"/>
    <w:rsid w:val="000A7012"/>
    <w:rsid w:val="000A76C8"/>
    <w:rsid w:val="000A7777"/>
    <w:rsid w:val="000A7A18"/>
    <w:rsid w:val="000B0113"/>
    <w:rsid w:val="000B4249"/>
    <w:rsid w:val="000B4473"/>
    <w:rsid w:val="000B5444"/>
    <w:rsid w:val="000B5B0D"/>
    <w:rsid w:val="000B5D32"/>
    <w:rsid w:val="000B67EF"/>
    <w:rsid w:val="000B6BB2"/>
    <w:rsid w:val="000B6D28"/>
    <w:rsid w:val="000C0C34"/>
    <w:rsid w:val="000C0E35"/>
    <w:rsid w:val="000C1789"/>
    <w:rsid w:val="000C1BC0"/>
    <w:rsid w:val="000C25EF"/>
    <w:rsid w:val="000C3896"/>
    <w:rsid w:val="000C4583"/>
    <w:rsid w:val="000C5111"/>
    <w:rsid w:val="000C59D6"/>
    <w:rsid w:val="000C5FB0"/>
    <w:rsid w:val="000C66D8"/>
    <w:rsid w:val="000C6CDD"/>
    <w:rsid w:val="000C6DB5"/>
    <w:rsid w:val="000C7AB7"/>
    <w:rsid w:val="000D00D0"/>
    <w:rsid w:val="000D00E6"/>
    <w:rsid w:val="000D0330"/>
    <w:rsid w:val="000D0B74"/>
    <w:rsid w:val="000D0C50"/>
    <w:rsid w:val="000D10E4"/>
    <w:rsid w:val="000D170C"/>
    <w:rsid w:val="000D1AE5"/>
    <w:rsid w:val="000D233E"/>
    <w:rsid w:val="000D31C6"/>
    <w:rsid w:val="000D3F81"/>
    <w:rsid w:val="000D5121"/>
    <w:rsid w:val="000D5A55"/>
    <w:rsid w:val="000D60BD"/>
    <w:rsid w:val="000D6842"/>
    <w:rsid w:val="000D6E28"/>
    <w:rsid w:val="000D7416"/>
    <w:rsid w:val="000E1482"/>
    <w:rsid w:val="000E18AF"/>
    <w:rsid w:val="000E297C"/>
    <w:rsid w:val="000E2D19"/>
    <w:rsid w:val="000E49AF"/>
    <w:rsid w:val="000E4DC4"/>
    <w:rsid w:val="000E5C11"/>
    <w:rsid w:val="000E5D88"/>
    <w:rsid w:val="000E6BD4"/>
    <w:rsid w:val="000E71DA"/>
    <w:rsid w:val="000F06FB"/>
    <w:rsid w:val="000F36F8"/>
    <w:rsid w:val="000F381C"/>
    <w:rsid w:val="000F3A6B"/>
    <w:rsid w:val="000F3AD4"/>
    <w:rsid w:val="000F4124"/>
    <w:rsid w:val="000F4192"/>
    <w:rsid w:val="000F532A"/>
    <w:rsid w:val="000F54F0"/>
    <w:rsid w:val="000F5829"/>
    <w:rsid w:val="0010004D"/>
    <w:rsid w:val="001001B0"/>
    <w:rsid w:val="00100DA5"/>
    <w:rsid w:val="0010198F"/>
    <w:rsid w:val="00102226"/>
    <w:rsid w:val="00102DF0"/>
    <w:rsid w:val="00103003"/>
    <w:rsid w:val="0010426E"/>
    <w:rsid w:val="00104546"/>
    <w:rsid w:val="001052A7"/>
    <w:rsid w:val="00105588"/>
    <w:rsid w:val="0010596D"/>
    <w:rsid w:val="001060CD"/>
    <w:rsid w:val="00106204"/>
    <w:rsid w:val="00106A43"/>
    <w:rsid w:val="00106C9E"/>
    <w:rsid w:val="00107DB6"/>
    <w:rsid w:val="001102E6"/>
    <w:rsid w:val="00110779"/>
    <w:rsid w:val="001117FA"/>
    <w:rsid w:val="0011288F"/>
    <w:rsid w:val="00112BE6"/>
    <w:rsid w:val="001131CC"/>
    <w:rsid w:val="00114C74"/>
    <w:rsid w:val="001151CE"/>
    <w:rsid w:val="001152FD"/>
    <w:rsid w:val="00115B4D"/>
    <w:rsid w:val="00116150"/>
    <w:rsid w:val="001164D2"/>
    <w:rsid w:val="0011793D"/>
    <w:rsid w:val="001179B4"/>
    <w:rsid w:val="00117D4F"/>
    <w:rsid w:val="001202FB"/>
    <w:rsid w:val="001207A8"/>
    <w:rsid w:val="001208BE"/>
    <w:rsid w:val="00120B99"/>
    <w:rsid w:val="00121405"/>
    <w:rsid w:val="001214AF"/>
    <w:rsid w:val="00122761"/>
    <w:rsid w:val="0012293C"/>
    <w:rsid w:val="00123FA2"/>
    <w:rsid w:val="00124395"/>
    <w:rsid w:val="0012523A"/>
    <w:rsid w:val="0012610B"/>
    <w:rsid w:val="0012715B"/>
    <w:rsid w:val="00130051"/>
    <w:rsid w:val="00130323"/>
    <w:rsid w:val="001307F8"/>
    <w:rsid w:val="00130FA3"/>
    <w:rsid w:val="001310D5"/>
    <w:rsid w:val="00131130"/>
    <w:rsid w:val="00131F22"/>
    <w:rsid w:val="00131F5A"/>
    <w:rsid w:val="001328BC"/>
    <w:rsid w:val="00132A6C"/>
    <w:rsid w:val="00133B47"/>
    <w:rsid w:val="001343C0"/>
    <w:rsid w:val="001345E7"/>
    <w:rsid w:val="001347F6"/>
    <w:rsid w:val="001349EC"/>
    <w:rsid w:val="0013506A"/>
    <w:rsid w:val="00135089"/>
    <w:rsid w:val="00135274"/>
    <w:rsid w:val="001353B8"/>
    <w:rsid w:val="00135553"/>
    <w:rsid w:val="001357FE"/>
    <w:rsid w:val="00135B75"/>
    <w:rsid w:val="00135BD4"/>
    <w:rsid w:val="00135DE2"/>
    <w:rsid w:val="001364AC"/>
    <w:rsid w:val="00136F83"/>
    <w:rsid w:val="00137591"/>
    <w:rsid w:val="00141615"/>
    <w:rsid w:val="00141842"/>
    <w:rsid w:val="00142B01"/>
    <w:rsid w:val="00142EF3"/>
    <w:rsid w:val="00143F40"/>
    <w:rsid w:val="00144D95"/>
    <w:rsid w:val="001451BC"/>
    <w:rsid w:val="001464F3"/>
    <w:rsid w:val="00146C8B"/>
    <w:rsid w:val="00147FC6"/>
    <w:rsid w:val="0015021A"/>
    <w:rsid w:val="0015041F"/>
    <w:rsid w:val="001507F2"/>
    <w:rsid w:val="00150C5B"/>
    <w:rsid w:val="0015169C"/>
    <w:rsid w:val="00151837"/>
    <w:rsid w:val="00151A2A"/>
    <w:rsid w:val="00151F71"/>
    <w:rsid w:val="00152423"/>
    <w:rsid w:val="00153210"/>
    <w:rsid w:val="001533F3"/>
    <w:rsid w:val="00155204"/>
    <w:rsid w:val="001552D3"/>
    <w:rsid w:val="0015738A"/>
    <w:rsid w:val="00157F37"/>
    <w:rsid w:val="00160B53"/>
    <w:rsid w:val="001620C8"/>
    <w:rsid w:val="00162798"/>
    <w:rsid w:val="0016369C"/>
    <w:rsid w:val="00164D13"/>
    <w:rsid w:val="00165DB1"/>
    <w:rsid w:val="00166548"/>
    <w:rsid w:val="00166ACF"/>
    <w:rsid w:val="00171290"/>
    <w:rsid w:val="001713E2"/>
    <w:rsid w:val="00171911"/>
    <w:rsid w:val="001721E8"/>
    <w:rsid w:val="00172314"/>
    <w:rsid w:val="001724E7"/>
    <w:rsid w:val="001724F4"/>
    <w:rsid w:val="00172586"/>
    <w:rsid w:val="00172B61"/>
    <w:rsid w:val="0017441D"/>
    <w:rsid w:val="00174816"/>
    <w:rsid w:val="00176C18"/>
    <w:rsid w:val="00177858"/>
    <w:rsid w:val="0018037A"/>
    <w:rsid w:val="001804D6"/>
    <w:rsid w:val="001805BE"/>
    <w:rsid w:val="001807BF"/>
    <w:rsid w:val="00180D76"/>
    <w:rsid w:val="0018131B"/>
    <w:rsid w:val="00181360"/>
    <w:rsid w:val="00181994"/>
    <w:rsid w:val="00182783"/>
    <w:rsid w:val="00182996"/>
    <w:rsid w:val="00182E0D"/>
    <w:rsid w:val="0018380E"/>
    <w:rsid w:val="001845F2"/>
    <w:rsid w:val="00184A43"/>
    <w:rsid w:val="00184D9F"/>
    <w:rsid w:val="001851CC"/>
    <w:rsid w:val="00185A81"/>
    <w:rsid w:val="00185F6B"/>
    <w:rsid w:val="00186981"/>
    <w:rsid w:val="0018743C"/>
    <w:rsid w:val="00187A36"/>
    <w:rsid w:val="001918C2"/>
    <w:rsid w:val="00191E47"/>
    <w:rsid w:val="001924E4"/>
    <w:rsid w:val="00192C0A"/>
    <w:rsid w:val="00192EA6"/>
    <w:rsid w:val="00193B0E"/>
    <w:rsid w:val="001943DA"/>
    <w:rsid w:val="0019446E"/>
    <w:rsid w:val="00194C18"/>
    <w:rsid w:val="00195BB2"/>
    <w:rsid w:val="0019630E"/>
    <w:rsid w:val="00196446"/>
    <w:rsid w:val="00196827"/>
    <w:rsid w:val="0019683C"/>
    <w:rsid w:val="00196E5D"/>
    <w:rsid w:val="001977E2"/>
    <w:rsid w:val="0019799A"/>
    <w:rsid w:val="00197B01"/>
    <w:rsid w:val="00197D23"/>
    <w:rsid w:val="001A0434"/>
    <w:rsid w:val="001A0A1D"/>
    <w:rsid w:val="001A0F52"/>
    <w:rsid w:val="001A2CED"/>
    <w:rsid w:val="001A33AF"/>
    <w:rsid w:val="001A34F1"/>
    <w:rsid w:val="001A3911"/>
    <w:rsid w:val="001A392A"/>
    <w:rsid w:val="001A3E07"/>
    <w:rsid w:val="001A4533"/>
    <w:rsid w:val="001A55AC"/>
    <w:rsid w:val="001A586B"/>
    <w:rsid w:val="001A6A2D"/>
    <w:rsid w:val="001A70D5"/>
    <w:rsid w:val="001B04A4"/>
    <w:rsid w:val="001B08A8"/>
    <w:rsid w:val="001B17EE"/>
    <w:rsid w:val="001B1823"/>
    <w:rsid w:val="001B3461"/>
    <w:rsid w:val="001B3F2B"/>
    <w:rsid w:val="001B4116"/>
    <w:rsid w:val="001B4EA5"/>
    <w:rsid w:val="001B6503"/>
    <w:rsid w:val="001B67D5"/>
    <w:rsid w:val="001B6A43"/>
    <w:rsid w:val="001B6FB4"/>
    <w:rsid w:val="001B7235"/>
    <w:rsid w:val="001C0BF3"/>
    <w:rsid w:val="001C1AC2"/>
    <w:rsid w:val="001C291E"/>
    <w:rsid w:val="001C4597"/>
    <w:rsid w:val="001C46EB"/>
    <w:rsid w:val="001C487D"/>
    <w:rsid w:val="001C4AC4"/>
    <w:rsid w:val="001C4AD5"/>
    <w:rsid w:val="001C517B"/>
    <w:rsid w:val="001C55E7"/>
    <w:rsid w:val="001C64FA"/>
    <w:rsid w:val="001C652A"/>
    <w:rsid w:val="001C7D4E"/>
    <w:rsid w:val="001D0923"/>
    <w:rsid w:val="001D0DDF"/>
    <w:rsid w:val="001D192C"/>
    <w:rsid w:val="001D2529"/>
    <w:rsid w:val="001D269F"/>
    <w:rsid w:val="001D2BB5"/>
    <w:rsid w:val="001D30F9"/>
    <w:rsid w:val="001D3DA0"/>
    <w:rsid w:val="001D4A5A"/>
    <w:rsid w:val="001D5391"/>
    <w:rsid w:val="001D5514"/>
    <w:rsid w:val="001D559F"/>
    <w:rsid w:val="001D6131"/>
    <w:rsid w:val="001D6361"/>
    <w:rsid w:val="001D6766"/>
    <w:rsid w:val="001D683A"/>
    <w:rsid w:val="001D6F75"/>
    <w:rsid w:val="001D6FC3"/>
    <w:rsid w:val="001D7B4B"/>
    <w:rsid w:val="001E0345"/>
    <w:rsid w:val="001E08C1"/>
    <w:rsid w:val="001E0B03"/>
    <w:rsid w:val="001E0B1D"/>
    <w:rsid w:val="001E0CF2"/>
    <w:rsid w:val="001E32A9"/>
    <w:rsid w:val="001E4561"/>
    <w:rsid w:val="001E4C9E"/>
    <w:rsid w:val="001E4D8C"/>
    <w:rsid w:val="001E527C"/>
    <w:rsid w:val="001E5449"/>
    <w:rsid w:val="001E5B78"/>
    <w:rsid w:val="001E5C4A"/>
    <w:rsid w:val="001E6D35"/>
    <w:rsid w:val="001F0356"/>
    <w:rsid w:val="001F07F4"/>
    <w:rsid w:val="001F090A"/>
    <w:rsid w:val="001F1A84"/>
    <w:rsid w:val="001F1C97"/>
    <w:rsid w:val="001F2058"/>
    <w:rsid w:val="001F21C8"/>
    <w:rsid w:val="001F2D6C"/>
    <w:rsid w:val="001F2DBA"/>
    <w:rsid w:val="001F3C90"/>
    <w:rsid w:val="001F3FC4"/>
    <w:rsid w:val="001F44F3"/>
    <w:rsid w:val="001F4C4A"/>
    <w:rsid w:val="001F4F5E"/>
    <w:rsid w:val="001F5CB7"/>
    <w:rsid w:val="001F5D88"/>
    <w:rsid w:val="001F63B5"/>
    <w:rsid w:val="001F69CD"/>
    <w:rsid w:val="001F780C"/>
    <w:rsid w:val="001F78EB"/>
    <w:rsid w:val="001F79D2"/>
    <w:rsid w:val="00200CC0"/>
    <w:rsid w:val="0020160E"/>
    <w:rsid w:val="002019D4"/>
    <w:rsid w:val="00202455"/>
    <w:rsid w:val="0020321B"/>
    <w:rsid w:val="0020324A"/>
    <w:rsid w:val="00204019"/>
    <w:rsid w:val="002049F3"/>
    <w:rsid w:val="00204D85"/>
    <w:rsid w:val="00205163"/>
    <w:rsid w:val="00205177"/>
    <w:rsid w:val="002055C9"/>
    <w:rsid w:val="0020662C"/>
    <w:rsid w:val="002075D9"/>
    <w:rsid w:val="002109C2"/>
    <w:rsid w:val="002114E5"/>
    <w:rsid w:val="00211E65"/>
    <w:rsid w:val="002124C5"/>
    <w:rsid w:val="002129CC"/>
    <w:rsid w:val="002143AE"/>
    <w:rsid w:val="00215EE3"/>
    <w:rsid w:val="002167B4"/>
    <w:rsid w:val="002169B2"/>
    <w:rsid w:val="00216CF6"/>
    <w:rsid w:val="00216D27"/>
    <w:rsid w:val="0021767A"/>
    <w:rsid w:val="00217B1F"/>
    <w:rsid w:val="002202F5"/>
    <w:rsid w:val="00221503"/>
    <w:rsid w:val="0022171E"/>
    <w:rsid w:val="00222033"/>
    <w:rsid w:val="002231C2"/>
    <w:rsid w:val="00223769"/>
    <w:rsid w:val="002240CE"/>
    <w:rsid w:val="00224843"/>
    <w:rsid w:val="00224A04"/>
    <w:rsid w:val="00224D72"/>
    <w:rsid w:val="002250E6"/>
    <w:rsid w:val="00225A1C"/>
    <w:rsid w:val="00225CF1"/>
    <w:rsid w:val="00226D3C"/>
    <w:rsid w:val="00226FC9"/>
    <w:rsid w:val="00227164"/>
    <w:rsid w:val="002275DC"/>
    <w:rsid w:val="0022787E"/>
    <w:rsid w:val="002304EF"/>
    <w:rsid w:val="00231135"/>
    <w:rsid w:val="0023149C"/>
    <w:rsid w:val="002314A2"/>
    <w:rsid w:val="0023152E"/>
    <w:rsid w:val="00231C06"/>
    <w:rsid w:val="00232672"/>
    <w:rsid w:val="00234084"/>
    <w:rsid w:val="00234116"/>
    <w:rsid w:val="002358D1"/>
    <w:rsid w:val="00235D8F"/>
    <w:rsid w:val="00240624"/>
    <w:rsid w:val="0024083E"/>
    <w:rsid w:val="00240C15"/>
    <w:rsid w:val="00240C49"/>
    <w:rsid w:val="00240F9A"/>
    <w:rsid w:val="0024168D"/>
    <w:rsid w:val="00241CB9"/>
    <w:rsid w:val="002420DC"/>
    <w:rsid w:val="00242432"/>
    <w:rsid w:val="00242637"/>
    <w:rsid w:val="00242A6D"/>
    <w:rsid w:val="00242B4E"/>
    <w:rsid w:val="00243425"/>
    <w:rsid w:val="002435FB"/>
    <w:rsid w:val="002450EE"/>
    <w:rsid w:val="00245534"/>
    <w:rsid w:val="0025069A"/>
    <w:rsid w:val="00250764"/>
    <w:rsid w:val="002523BC"/>
    <w:rsid w:val="00252C1B"/>
    <w:rsid w:val="00253378"/>
    <w:rsid w:val="002537FF"/>
    <w:rsid w:val="00255058"/>
    <w:rsid w:val="002552B2"/>
    <w:rsid w:val="0025549F"/>
    <w:rsid w:val="00255AC3"/>
    <w:rsid w:val="00257560"/>
    <w:rsid w:val="002578A1"/>
    <w:rsid w:val="002607C8"/>
    <w:rsid w:val="00260D31"/>
    <w:rsid w:val="00262457"/>
    <w:rsid w:val="00262607"/>
    <w:rsid w:val="00262737"/>
    <w:rsid w:val="00262F42"/>
    <w:rsid w:val="00263DAC"/>
    <w:rsid w:val="00264BCA"/>
    <w:rsid w:val="0026604C"/>
    <w:rsid w:val="00266597"/>
    <w:rsid w:val="0026680E"/>
    <w:rsid w:val="00266E60"/>
    <w:rsid w:val="00267385"/>
    <w:rsid w:val="00267551"/>
    <w:rsid w:val="00267A65"/>
    <w:rsid w:val="002709D5"/>
    <w:rsid w:val="00270D60"/>
    <w:rsid w:val="0027108A"/>
    <w:rsid w:val="002713E4"/>
    <w:rsid w:val="00271A91"/>
    <w:rsid w:val="002729EB"/>
    <w:rsid w:val="00272DAD"/>
    <w:rsid w:val="00272FBD"/>
    <w:rsid w:val="00273483"/>
    <w:rsid w:val="00273586"/>
    <w:rsid w:val="00273F00"/>
    <w:rsid w:val="00275136"/>
    <w:rsid w:val="00275168"/>
    <w:rsid w:val="002757E2"/>
    <w:rsid w:val="00276605"/>
    <w:rsid w:val="00276B31"/>
    <w:rsid w:val="00276E33"/>
    <w:rsid w:val="00276F7D"/>
    <w:rsid w:val="00277D62"/>
    <w:rsid w:val="002801A3"/>
    <w:rsid w:val="00280B87"/>
    <w:rsid w:val="00281B94"/>
    <w:rsid w:val="002832E5"/>
    <w:rsid w:val="0028357E"/>
    <w:rsid w:val="00284351"/>
    <w:rsid w:val="0028570D"/>
    <w:rsid w:val="0028658D"/>
    <w:rsid w:val="00286F67"/>
    <w:rsid w:val="00287435"/>
    <w:rsid w:val="00290279"/>
    <w:rsid w:val="002918E7"/>
    <w:rsid w:val="00291D1A"/>
    <w:rsid w:val="00292059"/>
    <w:rsid w:val="002929D6"/>
    <w:rsid w:val="0029449B"/>
    <w:rsid w:val="00294816"/>
    <w:rsid w:val="00295665"/>
    <w:rsid w:val="00295E59"/>
    <w:rsid w:val="0029608C"/>
    <w:rsid w:val="002961C0"/>
    <w:rsid w:val="00296F9E"/>
    <w:rsid w:val="002972ED"/>
    <w:rsid w:val="00297B5F"/>
    <w:rsid w:val="002A0A01"/>
    <w:rsid w:val="002A243C"/>
    <w:rsid w:val="002A3A43"/>
    <w:rsid w:val="002A4D18"/>
    <w:rsid w:val="002A504D"/>
    <w:rsid w:val="002A5E78"/>
    <w:rsid w:val="002A60E5"/>
    <w:rsid w:val="002A7B57"/>
    <w:rsid w:val="002A7F39"/>
    <w:rsid w:val="002B0831"/>
    <w:rsid w:val="002B0A43"/>
    <w:rsid w:val="002B209F"/>
    <w:rsid w:val="002B2184"/>
    <w:rsid w:val="002B241E"/>
    <w:rsid w:val="002B2833"/>
    <w:rsid w:val="002B37FB"/>
    <w:rsid w:val="002B3960"/>
    <w:rsid w:val="002B3DEB"/>
    <w:rsid w:val="002B3EA9"/>
    <w:rsid w:val="002B444D"/>
    <w:rsid w:val="002B4543"/>
    <w:rsid w:val="002B489D"/>
    <w:rsid w:val="002B4F54"/>
    <w:rsid w:val="002B5159"/>
    <w:rsid w:val="002B5526"/>
    <w:rsid w:val="002B58DC"/>
    <w:rsid w:val="002B5E39"/>
    <w:rsid w:val="002B62A0"/>
    <w:rsid w:val="002B650F"/>
    <w:rsid w:val="002B68AC"/>
    <w:rsid w:val="002B77C7"/>
    <w:rsid w:val="002B79AC"/>
    <w:rsid w:val="002C080A"/>
    <w:rsid w:val="002C1210"/>
    <w:rsid w:val="002C1BE9"/>
    <w:rsid w:val="002C29AB"/>
    <w:rsid w:val="002C33C1"/>
    <w:rsid w:val="002C34F1"/>
    <w:rsid w:val="002C3AC9"/>
    <w:rsid w:val="002C3CB4"/>
    <w:rsid w:val="002C4355"/>
    <w:rsid w:val="002C4590"/>
    <w:rsid w:val="002C499C"/>
    <w:rsid w:val="002C6870"/>
    <w:rsid w:val="002C6B86"/>
    <w:rsid w:val="002C6EEB"/>
    <w:rsid w:val="002C76BD"/>
    <w:rsid w:val="002C7B82"/>
    <w:rsid w:val="002D0DBC"/>
    <w:rsid w:val="002D0F79"/>
    <w:rsid w:val="002D0FAA"/>
    <w:rsid w:val="002D114F"/>
    <w:rsid w:val="002D1DB9"/>
    <w:rsid w:val="002D27A8"/>
    <w:rsid w:val="002D2A8D"/>
    <w:rsid w:val="002D2BC3"/>
    <w:rsid w:val="002D2C98"/>
    <w:rsid w:val="002D307C"/>
    <w:rsid w:val="002D34F2"/>
    <w:rsid w:val="002D3CA4"/>
    <w:rsid w:val="002D43DD"/>
    <w:rsid w:val="002D6449"/>
    <w:rsid w:val="002D6695"/>
    <w:rsid w:val="002D6A11"/>
    <w:rsid w:val="002D7A68"/>
    <w:rsid w:val="002E0773"/>
    <w:rsid w:val="002E0F4D"/>
    <w:rsid w:val="002E1C3E"/>
    <w:rsid w:val="002E2589"/>
    <w:rsid w:val="002E2766"/>
    <w:rsid w:val="002E2943"/>
    <w:rsid w:val="002E32F0"/>
    <w:rsid w:val="002E3C89"/>
    <w:rsid w:val="002E3D7B"/>
    <w:rsid w:val="002E3EF8"/>
    <w:rsid w:val="002E417C"/>
    <w:rsid w:val="002E445F"/>
    <w:rsid w:val="002E4DED"/>
    <w:rsid w:val="002E5032"/>
    <w:rsid w:val="002E54F8"/>
    <w:rsid w:val="002E567E"/>
    <w:rsid w:val="002E5AE5"/>
    <w:rsid w:val="002E626F"/>
    <w:rsid w:val="002E69C0"/>
    <w:rsid w:val="002E72F4"/>
    <w:rsid w:val="002E7B44"/>
    <w:rsid w:val="002F0397"/>
    <w:rsid w:val="002F0A52"/>
    <w:rsid w:val="002F11BA"/>
    <w:rsid w:val="002F1AC5"/>
    <w:rsid w:val="002F1EAF"/>
    <w:rsid w:val="002F2221"/>
    <w:rsid w:val="002F236A"/>
    <w:rsid w:val="002F2E33"/>
    <w:rsid w:val="002F2F63"/>
    <w:rsid w:val="002F3984"/>
    <w:rsid w:val="002F3F15"/>
    <w:rsid w:val="002F54B8"/>
    <w:rsid w:val="002F5FCC"/>
    <w:rsid w:val="002F6659"/>
    <w:rsid w:val="002F7174"/>
    <w:rsid w:val="002F73DE"/>
    <w:rsid w:val="002F7F22"/>
    <w:rsid w:val="003005F1"/>
    <w:rsid w:val="0030068E"/>
    <w:rsid w:val="00300921"/>
    <w:rsid w:val="003009DC"/>
    <w:rsid w:val="00300BDF"/>
    <w:rsid w:val="00301714"/>
    <w:rsid w:val="0030255B"/>
    <w:rsid w:val="00302E15"/>
    <w:rsid w:val="003033C3"/>
    <w:rsid w:val="00304CD4"/>
    <w:rsid w:val="00304DAC"/>
    <w:rsid w:val="00304E6C"/>
    <w:rsid w:val="003056BB"/>
    <w:rsid w:val="00305763"/>
    <w:rsid w:val="003058FD"/>
    <w:rsid w:val="00306067"/>
    <w:rsid w:val="00306CAC"/>
    <w:rsid w:val="00307C05"/>
    <w:rsid w:val="003106BE"/>
    <w:rsid w:val="0031074B"/>
    <w:rsid w:val="003113B0"/>
    <w:rsid w:val="003115AE"/>
    <w:rsid w:val="0031179D"/>
    <w:rsid w:val="00311954"/>
    <w:rsid w:val="00311D4B"/>
    <w:rsid w:val="0031200E"/>
    <w:rsid w:val="003124EB"/>
    <w:rsid w:val="00312D68"/>
    <w:rsid w:val="00312E65"/>
    <w:rsid w:val="003131F1"/>
    <w:rsid w:val="00313DA1"/>
    <w:rsid w:val="00314F2F"/>
    <w:rsid w:val="003153A6"/>
    <w:rsid w:val="00315628"/>
    <w:rsid w:val="0031579F"/>
    <w:rsid w:val="00315A6B"/>
    <w:rsid w:val="00315E85"/>
    <w:rsid w:val="00316205"/>
    <w:rsid w:val="0031676C"/>
    <w:rsid w:val="0031787D"/>
    <w:rsid w:val="0032026D"/>
    <w:rsid w:val="003205D7"/>
    <w:rsid w:val="0032068A"/>
    <w:rsid w:val="00320CB8"/>
    <w:rsid w:val="00321146"/>
    <w:rsid w:val="00321800"/>
    <w:rsid w:val="00321BA6"/>
    <w:rsid w:val="00321ECE"/>
    <w:rsid w:val="003222F8"/>
    <w:rsid w:val="00322806"/>
    <w:rsid w:val="00322848"/>
    <w:rsid w:val="00322E26"/>
    <w:rsid w:val="003232FC"/>
    <w:rsid w:val="003237F6"/>
    <w:rsid w:val="003243B3"/>
    <w:rsid w:val="00324FCE"/>
    <w:rsid w:val="003252D8"/>
    <w:rsid w:val="00325AFB"/>
    <w:rsid w:val="00325C1C"/>
    <w:rsid w:val="003275C8"/>
    <w:rsid w:val="00330171"/>
    <w:rsid w:val="0033044D"/>
    <w:rsid w:val="003308EB"/>
    <w:rsid w:val="0033140F"/>
    <w:rsid w:val="00331479"/>
    <w:rsid w:val="00332966"/>
    <w:rsid w:val="00333100"/>
    <w:rsid w:val="00333923"/>
    <w:rsid w:val="003339B3"/>
    <w:rsid w:val="003339CE"/>
    <w:rsid w:val="00333BDC"/>
    <w:rsid w:val="003341D0"/>
    <w:rsid w:val="00335D22"/>
    <w:rsid w:val="00335D25"/>
    <w:rsid w:val="00337CA4"/>
    <w:rsid w:val="0034035B"/>
    <w:rsid w:val="00340C32"/>
    <w:rsid w:val="00340D8B"/>
    <w:rsid w:val="00341131"/>
    <w:rsid w:val="00341181"/>
    <w:rsid w:val="00342094"/>
    <w:rsid w:val="003425A5"/>
    <w:rsid w:val="00342689"/>
    <w:rsid w:val="0034275A"/>
    <w:rsid w:val="00342F2A"/>
    <w:rsid w:val="003431E2"/>
    <w:rsid w:val="00343813"/>
    <w:rsid w:val="003440C7"/>
    <w:rsid w:val="00344110"/>
    <w:rsid w:val="0034612B"/>
    <w:rsid w:val="0034627F"/>
    <w:rsid w:val="00347523"/>
    <w:rsid w:val="00347C1C"/>
    <w:rsid w:val="00347EF5"/>
    <w:rsid w:val="00347F47"/>
    <w:rsid w:val="00350D1C"/>
    <w:rsid w:val="0035118E"/>
    <w:rsid w:val="00352633"/>
    <w:rsid w:val="0035398A"/>
    <w:rsid w:val="003539D2"/>
    <w:rsid w:val="00354199"/>
    <w:rsid w:val="00354863"/>
    <w:rsid w:val="00354C11"/>
    <w:rsid w:val="00355289"/>
    <w:rsid w:val="00355986"/>
    <w:rsid w:val="00355CD5"/>
    <w:rsid w:val="00355E93"/>
    <w:rsid w:val="00356D50"/>
    <w:rsid w:val="00357986"/>
    <w:rsid w:val="00357F3C"/>
    <w:rsid w:val="003617E5"/>
    <w:rsid w:val="003617F7"/>
    <w:rsid w:val="003618DF"/>
    <w:rsid w:val="0036223B"/>
    <w:rsid w:val="00362321"/>
    <w:rsid w:val="00362704"/>
    <w:rsid w:val="00362904"/>
    <w:rsid w:val="00362AEB"/>
    <w:rsid w:val="003636C5"/>
    <w:rsid w:val="003637CB"/>
    <w:rsid w:val="0036401F"/>
    <w:rsid w:val="00364422"/>
    <w:rsid w:val="00365783"/>
    <w:rsid w:val="00366411"/>
    <w:rsid w:val="00366C9F"/>
    <w:rsid w:val="00367913"/>
    <w:rsid w:val="00367ADD"/>
    <w:rsid w:val="00370D3A"/>
    <w:rsid w:val="00371390"/>
    <w:rsid w:val="00371595"/>
    <w:rsid w:val="003717D7"/>
    <w:rsid w:val="003717DB"/>
    <w:rsid w:val="003736A7"/>
    <w:rsid w:val="003737B4"/>
    <w:rsid w:val="003740B2"/>
    <w:rsid w:val="00374AD3"/>
    <w:rsid w:val="00374CC8"/>
    <w:rsid w:val="00374E4F"/>
    <w:rsid w:val="00375152"/>
    <w:rsid w:val="00380828"/>
    <w:rsid w:val="00381A73"/>
    <w:rsid w:val="00382086"/>
    <w:rsid w:val="00382F10"/>
    <w:rsid w:val="003835A1"/>
    <w:rsid w:val="003838C6"/>
    <w:rsid w:val="00384283"/>
    <w:rsid w:val="003850E5"/>
    <w:rsid w:val="00385F74"/>
    <w:rsid w:val="003867DF"/>
    <w:rsid w:val="003879D9"/>
    <w:rsid w:val="00387BEE"/>
    <w:rsid w:val="00387CC5"/>
    <w:rsid w:val="003910A8"/>
    <w:rsid w:val="0039122B"/>
    <w:rsid w:val="00391B11"/>
    <w:rsid w:val="00391EEE"/>
    <w:rsid w:val="003930DB"/>
    <w:rsid w:val="003942CA"/>
    <w:rsid w:val="00394D72"/>
    <w:rsid w:val="00394F55"/>
    <w:rsid w:val="00395199"/>
    <w:rsid w:val="003962B5"/>
    <w:rsid w:val="00396608"/>
    <w:rsid w:val="0039672A"/>
    <w:rsid w:val="003976DD"/>
    <w:rsid w:val="0039792C"/>
    <w:rsid w:val="00397FB9"/>
    <w:rsid w:val="003A009D"/>
    <w:rsid w:val="003A195D"/>
    <w:rsid w:val="003A1EE8"/>
    <w:rsid w:val="003A2FD1"/>
    <w:rsid w:val="003A30A8"/>
    <w:rsid w:val="003A3F89"/>
    <w:rsid w:val="003A430B"/>
    <w:rsid w:val="003A50B1"/>
    <w:rsid w:val="003A5394"/>
    <w:rsid w:val="003A5532"/>
    <w:rsid w:val="003A5922"/>
    <w:rsid w:val="003A5AE0"/>
    <w:rsid w:val="003A5E57"/>
    <w:rsid w:val="003A5FF5"/>
    <w:rsid w:val="003A62AE"/>
    <w:rsid w:val="003A63E2"/>
    <w:rsid w:val="003A67B3"/>
    <w:rsid w:val="003A69CC"/>
    <w:rsid w:val="003A6C66"/>
    <w:rsid w:val="003A6F21"/>
    <w:rsid w:val="003A7225"/>
    <w:rsid w:val="003B0347"/>
    <w:rsid w:val="003B17F3"/>
    <w:rsid w:val="003B18C7"/>
    <w:rsid w:val="003B1FA4"/>
    <w:rsid w:val="003B28B8"/>
    <w:rsid w:val="003B2C24"/>
    <w:rsid w:val="003B2C84"/>
    <w:rsid w:val="003B33B5"/>
    <w:rsid w:val="003B432F"/>
    <w:rsid w:val="003B51F0"/>
    <w:rsid w:val="003B597A"/>
    <w:rsid w:val="003B5A13"/>
    <w:rsid w:val="003B5A60"/>
    <w:rsid w:val="003B5D81"/>
    <w:rsid w:val="003B5F06"/>
    <w:rsid w:val="003B6B5B"/>
    <w:rsid w:val="003B72CC"/>
    <w:rsid w:val="003C0821"/>
    <w:rsid w:val="003C0FBD"/>
    <w:rsid w:val="003C145B"/>
    <w:rsid w:val="003C1CA3"/>
    <w:rsid w:val="003C352A"/>
    <w:rsid w:val="003C398B"/>
    <w:rsid w:val="003C4172"/>
    <w:rsid w:val="003C56C8"/>
    <w:rsid w:val="003C5718"/>
    <w:rsid w:val="003C5BA7"/>
    <w:rsid w:val="003C660A"/>
    <w:rsid w:val="003C6685"/>
    <w:rsid w:val="003C6D04"/>
    <w:rsid w:val="003C70F6"/>
    <w:rsid w:val="003C7675"/>
    <w:rsid w:val="003C7842"/>
    <w:rsid w:val="003C7960"/>
    <w:rsid w:val="003D0C46"/>
    <w:rsid w:val="003D0DA3"/>
    <w:rsid w:val="003D207A"/>
    <w:rsid w:val="003D3C0E"/>
    <w:rsid w:val="003D4191"/>
    <w:rsid w:val="003D457C"/>
    <w:rsid w:val="003D5483"/>
    <w:rsid w:val="003D5B03"/>
    <w:rsid w:val="003D793B"/>
    <w:rsid w:val="003E004A"/>
    <w:rsid w:val="003E055E"/>
    <w:rsid w:val="003E0915"/>
    <w:rsid w:val="003E0918"/>
    <w:rsid w:val="003E0D64"/>
    <w:rsid w:val="003E1013"/>
    <w:rsid w:val="003E1DF1"/>
    <w:rsid w:val="003E230D"/>
    <w:rsid w:val="003E2475"/>
    <w:rsid w:val="003E24B3"/>
    <w:rsid w:val="003E2A61"/>
    <w:rsid w:val="003E2F75"/>
    <w:rsid w:val="003E3714"/>
    <w:rsid w:val="003E4252"/>
    <w:rsid w:val="003E4856"/>
    <w:rsid w:val="003E4A98"/>
    <w:rsid w:val="003E50C4"/>
    <w:rsid w:val="003E59EB"/>
    <w:rsid w:val="003E682D"/>
    <w:rsid w:val="003F0651"/>
    <w:rsid w:val="003F0772"/>
    <w:rsid w:val="003F16BD"/>
    <w:rsid w:val="003F23D8"/>
    <w:rsid w:val="003F24D6"/>
    <w:rsid w:val="003F2DF9"/>
    <w:rsid w:val="003F2E2E"/>
    <w:rsid w:val="003F3836"/>
    <w:rsid w:val="003F45CD"/>
    <w:rsid w:val="003F4B0B"/>
    <w:rsid w:val="003F4B5E"/>
    <w:rsid w:val="003F5177"/>
    <w:rsid w:val="003F5449"/>
    <w:rsid w:val="003F56E6"/>
    <w:rsid w:val="003F62F7"/>
    <w:rsid w:val="003F6CD3"/>
    <w:rsid w:val="003F7590"/>
    <w:rsid w:val="003F7D51"/>
    <w:rsid w:val="003F7ED7"/>
    <w:rsid w:val="00400FCD"/>
    <w:rsid w:val="004010C4"/>
    <w:rsid w:val="00401838"/>
    <w:rsid w:val="00401A03"/>
    <w:rsid w:val="00401AC6"/>
    <w:rsid w:val="00401FDE"/>
    <w:rsid w:val="00402E1D"/>
    <w:rsid w:val="00403959"/>
    <w:rsid w:val="004048B1"/>
    <w:rsid w:val="00404A29"/>
    <w:rsid w:val="00406149"/>
    <w:rsid w:val="004070B0"/>
    <w:rsid w:val="004074D5"/>
    <w:rsid w:val="00407993"/>
    <w:rsid w:val="004101B6"/>
    <w:rsid w:val="00410413"/>
    <w:rsid w:val="00410426"/>
    <w:rsid w:val="004109CC"/>
    <w:rsid w:val="00411251"/>
    <w:rsid w:val="00411493"/>
    <w:rsid w:val="00411594"/>
    <w:rsid w:val="004128F7"/>
    <w:rsid w:val="00412FBA"/>
    <w:rsid w:val="004143C2"/>
    <w:rsid w:val="004149A1"/>
    <w:rsid w:val="00414D78"/>
    <w:rsid w:val="0041507C"/>
    <w:rsid w:val="00415231"/>
    <w:rsid w:val="004158AB"/>
    <w:rsid w:val="00416638"/>
    <w:rsid w:val="00417100"/>
    <w:rsid w:val="004172A5"/>
    <w:rsid w:val="00417326"/>
    <w:rsid w:val="00417330"/>
    <w:rsid w:val="00417E12"/>
    <w:rsid w:val="00420363"/>
    <w:rsid w:val="0042048F"/>
    <w:rsid w:val="004208E0"/>
    <w:rsid w:val="004211BA"/>
    <w:rsid w:val="0042145C"/>
    <w:rsid w:val="00421507"/>
    <w:rsid w:val="004216B0"/>
    <w:rsid w:val="004217F0"/>
    <w:rsid w:val="004218E1"/>
    <w:rsid w:val="00422663"/>
    <w:rsid w:val="0042271D"/>
    <w:rsid w:val="004228D9"/>
    <w:rsid w:val="00422D3F"/>
    <w:rsid w:val="00423264"/>
    <w:rsid w:val="00423C1D"/>
    <w:rsid w:val="00423F10"/>
    <w:rsid w:val="00424979"/>
    <w:rsid w:val="004264ED"/>
    <w:rsid w:val="00427386"/>
    <w:rsid w:val="00427604"/>
    <w:rsid w:val="00427E05"/>
    <w:rsid w:val="00430DDE"/>
    <w:rsid w:val="00431338"/>
    <w:rsid w:val="00431552"/>
    <w:rsid w:val="00431F7C"/>
    <w:rsid w:val="004321BA"/>
    <w:rsid w:val="004323C0"/>
    <w:rsid w:val="00433333"/>
    <w:rsid w:val="0043387F"/>
    <w:rsid w:val="0043452E"/>
    <w:rsid w:val="00434610"/>
    <w:rsid w:val="004351FA"/>
    <w:rsid w:val="004352E5"/>
    <w:rsid w:val="00435D88"/>
    <w:rsid w:val="0043611A"/>
    <w:rsid w:val="00437060"/>
    <w:rsid w:val="004407BF"/>
    <w:rsid w:val="0044094D"/>
    <w:rsid w:val="004409F7"/>
    <w:rsid w:val="00441ADC"/>
    <w:rsid w:val="00441B25"/>
    <w:rsid w:val="00441BF1"/>
    <w:rsid w:val="0044205F"/>
    <w:rsid w:val="00442A2D"/>
    <w:rsid w:val="00442E66"/>
    <w:rsid w:val="00443495"/>
    <w:rsid w:val="00443D4F"/>
    <w:rsid w:val="00443D87"/>
    <w:rsid w:val="00443E5D"/>
    <w:rsid w:val="0044441D"/>
    <w:rsid w:val="00444455"/>
    <w:rsid w:val="0044445A"/>
    <w:rsid w:val="004451E3"/>
    <w:rsid w:val="004457CE"/>
    <w:rsid w:val="00446CF7"/>
    <w:rsid w:val="00446E23"/>
    <w:rsid w:val="004510E1"/>
    <w:rsid w:val="00451433"/>
    <w:rsid w:val="00451688"/>
    <w:rsid w:val="004518BC"/>
    <w:rsid w:val="00451B81"/>
    <w:rsid w:val="00451EC7"/>
    <w:rsid w:val="004523E6"/>
    <w:rsid w:val="004525A2"/>
    <w:rsid w:val="0045295E"/>
    <w:rsid w:val="0045316E"/>
    <w:rsid w:val="004537B5"/>
    <w:rsid w:val="0045514E"/>
    <w:rsid w:val="00455341"/>
    <w:rsid w:val="004555FE"/>
    <w:rsid w:val="00456615"/>
    <w:rsid w:val="004576AC"/>
    <w:rsid w:val="00460E37"/>
    <w:rsid w:val="004615E1"/>
    <w:rsid w:val="0046178B"/>
    <w:rsid w:val="004620AD"/>
    <w:rsid w:val="00462118"/>
    <w:rsid w:val="00462607"/>
    <w:rsid w:val="00462BE1"/>
    <w:rsid w:val="00462DAC"/>
    <w:rsid w:val="00463363"/>
    <w:rsid w:val="0046372F"/>
    <w:rsid w:val="00463ABF"/>
    <w:rsid w:val="00463C9F"/>
    <w:rsid w:val="0046402A"/>
    <w:rsid w:val="0046479C"/>
    <w:rsid w:val="00465031"/>
    <w:rsid w:val="00465399"/>
    <w:rsid w:val="0046575F"/>
    <w:rsid w:val="004661C7"/>
    <w:rsid w:val="00466BA1"/>
    <w:rsid w:val="004717F9"/>
    <w:rsid w:val="00471AD5"/>
    <w:rsid w:val="00471BCC"/>
    <w:rsid w:val="00471E92"/>
    <w:rsid w:val="00471ECA"/>
    <w:rsid w:val="0047248E"/>
    <w:rsid w:val="00472775"/>
    <w:rsid w:val="00473770"/>
    <w:rsid w:val="00474974"/>
    <w:rsid w:val="00475B03"/>
    <w:rsid w:val="00475DF5"/>
    <w:rsid w:val="00476508"/>
    <w:rsid w:val="00476871"/>
    <w:rsid w:val="00480151"/>
    <w:rsid w:val="00480387"/>
    <w:rsid w:val="00481B90"/>
    <w:rsid w:val="00482CDF"/>
    <w:rsid w:val="00482FAC"/>
    <w:rsid w:val="004830A0"/>
    <w:rsid w:val="0048433C"/>
    <w:rsid w:val="00484FB9"/>
    <w:rsid w:val="00485075"/>
    <w:rsid w:val="00485287"/>
    <w:rsid w:val="00486433"/>
    <w:rsid w:val="00486764"/>
    <w:rsid w:val="00486862"/>
    <w:rsid w:val="00486982"/>
    <w:rsid w:val="00487F92"/>
    <w:rsid w:val="0049002E"/>
    <w:rsid w:val="004902D1"/>
    <w:rsid w:val="00490AF4"/>
    <w:rsid w:val="00490E9C"/>
    <w:rsid w:val="00490FFB"/>
    <w:rsid w:val="00491A2F"/>
    <w:rsid w:val="00491CDA"/>
    <w:rsid w:val="004926AD"/>
    <w:rsid w:val="00492E39"/>
    <w:rsid w:val="0049304B"/>
    <w:rsid w:val="0049340B"/>
    <w:rsid w:val="0049376B"/>
    <w:rsid w:val="00493D3E"/>
    <w:rsid w:val="00494995"/>
    <w:rsid w:val="00494CFC"/>
    <w:rsid w:val="004952BC"/>
    <w:rsid w:val="0049553F"/>
    <w:rsid w:val="00497E37"/>
    <w:rsid w:val="004A041C"/>
    <w:rsid w:val="004A0D27"/>
    <w:rsid w:val="004A19CE"/>
    <w:rsid w:val="004A2184"/>
    <w:rsid w:val="004A243B"/>
    <w:rsid w:val="004A3F7A"/>
    <w:rsid w:val="004A42A1"/>
    <w:rsid w:val="004A686E"/>
    <w:rsid w:val="004A7251"/>
    <w:rsid w:val="004A7A34"/>
    <w:rsid w:val="004B000D"/>
    <w:rsid w:val="004B0596"/>
    <w:rsid w:val="004B0EE3"/>
    <w:rsid w:val="004B0FCC"/>
    <w:rsid w:val="004B1D6B"/>
    <w:rsid w:val="004B22B4"/>
    <w:rsid w:val="004B28E6"/>
    <w:rsid w:val="004B36F4"/>
    <w:rsid w:val="004B3D77"/>
    <w:rsid w:val="004B46CC"/>
    <w:rsid w:val="004B4BD4"/>
    <w:rsid w:val="004B4D75"/>
    <w:rsid w:val="004B5382"/>
    <w:rsid w:val="004B5903"/>
    <w:rsid w:val="004B5CEB"/>
    <w:rsid w:val="004B691E"/>
    <w:rsid w:val="004B7C2B"/>
    <w:rsid w:val="004C05E1"/>
    <w:rsid w:val="004C0EC1"/>
    <w:rsid w:val="004C1C77"/>
    <w:rsid w:val="004C1F29"/>
    <w:rsid w:val="004C2CDF"/>
    <w:rsid w:val="004C553A"/>
    <w:rsid w:val="004C5C4B"/>
    <w:rsid w:val="004C6206"/>
    <w:rsid w:val="004C6AB7"/>
    <w:rsid w:val="004C76DC"/>
    <w:rsid w:val="004C7DAF"/>
    <w:rsid w:val="004D0951"/>
    <w:rsid w:val="004D0E1F"/>
    <w:rsid w:val="004D10D6"/>
    <w:rsid w:val="004D1B51"/>
    <w:rsid w:val="004D1EE0"/>
    <w:rsid w:val="004D2063"/>
    <w:rsid w:val="004D2748"/>
    <w:rsid w:val="004D3394"/>
    <w:rsid w:val="004D36F7"/>
    <w:rsid w:val="004D3794"/>
    <w:rsid w:val="004D3AEE"/>
    <w:rsid w:val="004D3BC2"/>
    <w:rsid w:val="004D3FAA"/>
    <w:rsid w:val="004D5B32"/>
    <w:rsid w:val="004D5CA3"/>
    <w:rsid w:val="004D6448"/>
    <w:rsid w:val="004D6CAB"/>
    <w:rsid w:val="004D7122"/>
    <w:rsid w:val="004D720E"/>
    <w:rsid w:val="004D7EF3"/>
    <w:rsid w:val="004E020D"/>
    <w:rsid w:val="004E02F1"/>
    <w:rsid w:val="004E0427"/>
    <w:rsid w:val="004E085C"/>
    <w:rsid w:val="004E12DF"/>
    <w:rsid w:val="004E2220"/>
    <w:rsid w:val="004E274A"/>
    <w:rsid w:val="004E34EF"/>
    <w:rsid w:val="004E395C"/>
    <w:rsid w:val="004E3E8F"/>
    <w:rsid w:val="004E5856"/>
    <w:rsid w:val="004E5D14"/>
    <w:rsid w:val="004E605E"/>
    <w:rsid w:val="004E623C"/>
    <w:rsid w:val="004E6E1C"/>
    <w:rsid w:val="004E6F9C"/>
    <w:rsid w:val="004F0072"/>
    <w:rsid w:val="004F02D9"/>
    <w:rsid w:val="004F0599"/>
    <w:rsid w:val="004F0A8D"/>
    <w:rsid w:val="004F1380"/>
    <w:rsid w:val="004F1C43"/>
    <w:rsid w:val="004F1FD0"/>
    <w:rsid w:val="004F251C"/>
    <w:rsid w:val="004F2D58"/>
    <w:rsid w:val="004F2EF7"/>
    <w:rsid w:val="004F34AD"/>
    <w:rsid w:val="004F48F2"/>
    <w:rsid w:val="004F494F"/>
    <w:rsid w:val="004F501D"/>
    <w:rsid w:val="004F52E7"/>
    <w:rsid w:val="004F6728"/>
    <w:rsid w:val="004F6811"/>
    <w:rsid w:val="004F6B52"/>
    <w:rsid w:val="004F7BD0"/>
    <w:rsid w:val="00500823"/>
    <w:rsid w:val="00501029"/>
    <w:rsid w:val="0050159F"/>
    <w:rsid w:val="00501CB8"/>
    <w:rsid w:val="0050293A"/>
    <w:rsid w:val="005035FE"/>
    <w:rsid w:val="005044F0"/>
    <w:rsid w:val="00504698"/>
    <w:rsid w:val="005046B2"/>
    <w:rsid w:val="00504C9F"/>
    <w:rsid w:val="00507DEF"/>
    <w:rsid w:val="00510B73"/>
    <w:rsid w:val="00511309"/>
    <w:rsid w:val="0051172F"/>
    <w:rsid w:val="00512234"/>
    <w:rsid w:val="005126D5"/>
    <w:rsid w:val="005133ED"/>
    <w:rsid w:val="005136F0"/>
    <w:rsid w:val="00513968"/>
    <w:rsid w:val="0051409B"/>
    <w:rsid w:val="005146D5"/>
    <w:rsid w:val="00514E88"/>
    <w:rsid w:val="005152AC"/>
    <w:rsid w:val="005158CC"/>
    <w:rsid w:val="005159DC"/>
    <w:rsid w:val="00515A48"/>
    <w:rsid w:val="00515D04"/>
    <w:rsid w:val="00515D09"/>
    <w:rsid w:val="00516725"/>
    <w:rsid w:val="00517145"/>
    <w:rsid w:val="005179EC"/>
    <w:rsid w:val="00520392"/>
    <w:rsid w:val="005204C4"/>
    <w:rsid w:val="005205F6"/>
    <w:rsid w:val="0052117A"/>
    <w:rsid w:val="00521595"/>
    <w:rsid w:val="005222E3"/>
    <w:rsid w:val="005225B9"/>
    <w:rsid w:val="00522F27"/>
    <w:rsid w:val="00523CD1"/>
    <w:rsid w:val="00524110"/>
    <w:rsid w:val="0052512C"/>
    <w:rsid w:val="005253E7"/>
    <w:rsid w:val="005259A2"/>
    <w:rsid w:val="00525BCE"/>
    <w:rsid w:val="00525F4B"/>
    <w:rsid w:val="0052640F"/>
    <w:rsid w:val="00526F8F"/>
    <w:rsid w:val="0053058A"/>
    <w:rsid w:val="00530948"/>
    <w:rsid w:val="005310E5"/>
    <w:rsid w:val="005318A5"/>
    <w:rsid w:val="00531B1E"/>
    <w:rsid w:val="00532A98"/>
    <w:rsid w:val="00533026"/>
    <w:rsid w:val="00533ECB"/>
    <w:rsid w:val="00534EC6"/>
    <w:rsid w:val="00535539"/>
    <w:rsid w:val="00535E4A"/>
    <w:rsid w:val="0053692E"/>
    <w:rsid w:val="00536F3B"/>
    <w:rsid w:val="00536F43"/>
    <w:rsid w:val="00537E11"/>
    <w:rsid w:val="00540E48"/>
    <w:rsid w:val="00540F86"/>
    <w:rsid w:val="00542424"/>
    <w:rsid w:val="00542F63"/>
    <w:rsid w:val="0054364A"/>
    <w:rsid w:val="00543B35"/>
    <w:rsid w:val="00543FF1"/>
    <w:rsid w:val="005447E8"/>
    <w:rsid w:val="00546952"/>
    <w:rsid w:val="00546A53"/>
    <w:rsid w:val="0054757B"/>
    <w:rsid w:val="0055096E"/>
    <w:rsid w:val="00550C91"/>
    <w:rsid w:val="00552075"/>
    <w:rsid w:val="00552795"/>
    <w:rsid w:val="00552C82"/>
    <w:rsid w:val="00553486"/>
    <w:rsid w:val="005539B0"/>
    <w:rsid w:val="005546C8"/>
    <w:rsid w:val="00556957"/>
    <w:rsid w:val="00557CEE"/>
    <w:rsid w:val="00560AAC"/>
    <w:rsid w:val="00560E4F"/>
    <w:rsid w:val="005612AB"/>
    <w:rsid w:val="00562209"/>
    <w:rsid w:val="005622A7"/>
    <w:rsid w:val="00562DC9"/>
    <w:rsid w:val="00563CB8"/>
    <w:rsid w:val="0056401F"/>
    <w:rsid w:val="0056431A"/>
    <w:rsid w:val="00564413"/>
    <w:rsid w:val="00565D97"/>
    <w:rsid w:val="00566958"/>
    <w:rsid w:val="00567A51"/>
    <w:rsid w:val="00567F58"/>
    <w:rsid w:val="005700DE"/>
    <w:rsid w:val="005700E8"/>
    <w:rsid w:val="00570C88"/>
    <w:rsid w:val="00570EBA"/>
    <w:rsid w:val="00571328"/>
    <w:rsid w:val="0057239B"/>
    <w:rsid w:val="0057251A"/>
    <w:rsid w:val="00572610"/>
    <w:rsid w:val="00574654"/>
    <w:rsid w:val="00574926"/>
    <w:rsid w:val="0057562B"/>
    <w:rsid w:val="00575642"/>
    <w:rsid w:val="005758FD"/>
    <w:rsid w:val="00576038"/>
    <w:rsid w:val="00576518"/>
    <w:rsid w:val="00576E2D"/>
    <w:rsid w:val="00576F2C"/>
    <w:rsid w:val="00580821"/>
    <w:rsid w:val="005808C7"/>
    <w:rsid w:val="00581379"/>
    <w:rsid w:val="00581AC0"/>
    <w:rsid w:val="00582409"/>
    <w:rsid w:val="00582819"/>
    <w:rsid w:val="00582B49"/>
    <w:rsid w:val="00583853"/>
    <w:rsid w:val="00583CC7"/>
    <w:rsid w:val="00584985"/>
    <w:rsid w:val="00584DEB"/>
    <w:rsid w:val="0058608E"/>
    <w:rsid w:val="005908D4"/>
    <w:rsid w:val="00591127"/>
    <w:rsid w:val="005919E5"/>
    <w:rsid w:val="00591D98"/>
    <w:rsid w:val="00592762"/>
    <w:rsid w:val="005930D6"/>
    <w:rsid w:val="005931CA"/>
    <w:rsid w:val="00593AED"/>
    <w:rsid w:val="00594196"/>
    <w:rsid w:val="0059471B"/>
    <w:rsid w:val="00594948"/>
    <w:rsid w:val="00595738"/>
    <w:rsid w:val="00595E91"/>
    <w:rsid w:val="00597AA9"/>
    <w:rsid w:val="005A103B"/>
    <w:rsid w:val="005A1210"/>
    <w:rsid w:val="005A1C34"/>
    <w:rsid w:val="005A1C82"/>
    <w:rsid w:val="005A28F6"/>
    <w:rsid w:val="005A365C"/>
    <w:rsid w:val="005A3EB6"/>
    <w:rsid w:val="005A43D4"/>
    <w:rsid w:val="005A503C"/>
    <w:rsid w:val="005A6126"/>
    <w:rsid w:val="005A787E"/>
    <w:rsid w:val="005B1077"/>
    <w:rsid w:val="005B1B2F"/>
    <w:rsid w:val="005B2758"/>
    <w:rsid w:val="005B2789"/>
    <w:rsid w:val="005B3620"/>
    <w:rsid w:val="005B37AD"/>
    <w:rsid w:val="005B402E"/>
    <w:rsid w:val="005B46E5"/>
    <w:rsid w:val="005B57B7"/>
    <w:rsid w:val="005B6067"/>
    <w:rsid w:val="005B60DA"/>
    <w:rsid w:val="005B6280"/>
    <w:rsid w:val="005B675E"/>
    <w:rsid w:val="005B6E26"/>
    <w:rsid w:val="005B712C"/>
    <w:rsid w:val="005C0AC9"/>
    <w:rsid w:val="005C1CD6"/>
    <w:rsid w:val="005C285D"/>
    <w:rsid w:val="005C2F51"/>
    <w:rsid w:val="005C502E"/>
    <w:rsid w:val="005C5515"/>
    <w:rsid w:val="005C5B1A"/>
    <w:rsid w:val="005C5D72"/>
    <w:rsid w:val="005C606B"/>
    <w:rsid w:val="005C60AF"/>
    <w:rsid w:val="005C6307"/>
    <w:rsid w:val="005C7032"/>
    <w:rsid w:val="005C790F"/>
    <w:rsid w:val="005C7CA0"/>
    <w:rsid w:val="005D048E"/>
    <w:rsid w:val="005D061B"/>
    <w:rsid w:val="005D088D"/>
    <w:rsid w:val="005D092A"/>
    <w:rsid w:val="005D0B44"/>
    <w:rsid w:val="005D1920"/>
    <w:rsid w:val="005D2076"/>
    <w:rsid w:val="005D2EAE"/>
    <w:rsid w:val="005D329C"/>
    <w:rsid w:val="005D3DDF"/>
    <w:rsid w:val="005D4AFE"/>
    <w:rsid w:val="005D4C96"/>
    <w:rsid w:val="005D4E03"/>
    <w:rsid w:val="005D503E"/>
    <w:rsid w:val="005D537D"/>
    <w:rsid w:val="005D5FB7"/>
    <w:rsid w:val="005D6004"/>
    <w:rsid w:val="005D6932"/>
    <w:rsid w:val="005D7858"/>
    <w:rsid w:val="005E030F"/>
    <w:rsid w:val="005E03D4"/>
    <w:rsid w:val="005E1AD8"/>
    <w:rsid w:val="005E24C0"/>
    <w:rsid w:val="005E28A8"/>
    <w:rsid w:val="005E2AA8"/>
    <w:rsid w:val="005E2AB6"/>
    <w:rsid w:val="005E2E89"/>
    <w:rsid w:val="005E4AAA"/>
    <w:rsid w:val="005E54C0"/>
    <w:rsid w:val="005E62B9"/>
    <w:rsid w:val="005E67F2"/>
    <w:rsid w:val="005E6B91"/>
    <w:rsid w:val="005E738A"/>
    <w:rsid w:val="005E76DE"/>
    <w:rsid w:val="005E7848"/>
    <w:rsid w:val="005E7B81"/>
    <w:rsid w:val="005F024C"/>
    <w:rsid w:val="005F0619"/>
    <w:rsid w:val="005F0A4D"/>
    <w:rsid w:val="005F0F79"/>
    <w:rsid w:val="005F1915"/>
    <w:rsid w:val="005F1BCB"/>
    <w:rsid w:val="005F1F31"/>
    <w:rsid w:val="005F2715"/>
    <w:rsid w:val="005F2A1B"/>
    <w:rsid w:val="005F2D64"/>
    <w:rsid w:val="005F35CD"/>
    <w:rsid w:val="005F4420"/>
    <w:rsid w:val="005F4BC6"/>
    <w:rsid w:val="005F62C4"/>
    <w:rsid w:val="005F7240"/>
    <w:rsid w:val="005F7555"/>
    <w:rsid w:val="006000B5"/>
    <w:rsid w:val="00600AAA"/>
    <w:rsid w:val="006010B3"/>
    <w:rsid w:val="006018C7"/>
    <w:rsid w:val="00602F33"/>
    <w:rsid w:val="00603A0A"/>
    <w:rsid w:val="00603B7F"/>
    <w:rsid w:val="0060409F"/>
    <w:rsid w:val="00604269"/>
    <w:rsid w:val="00604FA3"/>
    <w:rsid w:val="0060514F"/>
    <w:rsid w:val="006051F1"/>
    <w:rsid w:val="00605444"/>
    <w:rsid w:val="00605529"/>
    <w:rsid w:val="00606360"/>
    <w:rsid w:val="00606760"/>
    <w:rsid w:val="00606FB4"/>
    <w:rsid w:val="00607160"/>
    <w:rsid w:val="006073F7"/>
    <w:rsid w:val="0060753F"/>
    <w:rsid w:val="00607574"/>
    <w:rsid w:val="00610592"/>
    <w:rsid w:val="00610F13"/>
    <w:rsid w:val="00611DB1"/>
    <w:rsid w:val="00612ADB"/>
    <w:rsid w:val="00612EFB"/>
    <w:rsid w:val="0061314C"/>
    <w:rsid w:val="00615D32"/>
    <w:rsid w:val="00617CAC"/>
    <w:rsid w:val="00620DE1"/>
    <w:rsid w:val="00620FA3"/>
    <w:rsid w:val="00621938"/>
    <w:rsid w:val="0062196F"/>
    <w:rsid w:val="00621E69"/>
    <w:rsid w:val="0062235C"/>
    <w:rsid w:val="006223BC"/>
    <w:rsid w:val="006224A5"/>
    <w:rsid w:val="0062282C"/>
    <w:rsid w:val="0062285F"/>
    <w:rsid w:val="00623077"/>
    <w:rsid w:val="00624C31"/>
    <w:rsid w:val="00624EFB"/>
    <w:rsid w:val="00625D2A"/>
    <w:rsid w:val="006265E2"/>
    <w:rsid w:val="0062692C"/>
    <w:rsid w:val="006270DB"/>
    <w:rsid w:val="00627896"/>
    <w:rsid w:val="006303C3"/>
    <w:rsid w:val="0063120A"/>
    <w:rsid w:val="00631BEA"/>
    <w:rsid w:val="00633278"/>
    <w:rsid w:val="006338D7"/>
    <w:rsid w:val="00633DD5"/>
    <w:rsid w:val="00633F92"/>
    <w:rsid w:val="00633FC5"/>
    <w:rsid w:val="0063414C"/>
    <w:rsid w:val="00634FB6"/>
    <w:rsid w:val="0063515C"/>
    <w:rsid w:val="006351FC"/>
    <w:rsid w:val="006358EB"/>
    <w:rsid w:val="00635FDE"/>
    <w:rsid w:val="0063644B"/>
    <w:rsid w:val="006375A3"/>
    <w:rsid w:val="006400AE"/>
    <w:rsid w:val="00640199"/>
    <w:rsid w:val="00640B8A"/>
    <w:rsid w:val="006411C5"/>
    <w:rsid w:val="00641536"/>
    <w:rsid w:val="00641D9D"/>
    <w:rsid w:val="006434D6"/>
    <w:rsid w:val="006437DD"/>
    <w:rsid w:val="00643D2D"/>
    <w:rsid w:val="006447B7"/>
    <w:rsid w:val="00644A32"/>
    <w:rsid w:val="00644C2C"/>
    <w:rsid w:val="00645630"/>
    <w:rsid w:val="00645A39"/>
    <w:rsid w:val="00645CD1"/>
    <w:rsid w:val="00646487"/>
    <w:rsid w:val="00646615"/>
    <w:rsid w:val="006466BD"/>
    <w:rsid w:val="006468E2"/>
    <w:rsid w:val="00646AC3"/>
    <w:rsid w:val="00647DC7"/>
    <w:rsid w:val="0065042B"/>
    <w:rsid w:val="0065131E"/>
    <w:rsid w:val="006513EE"/>
    <w:rsid w:val="00651591"/>
    <w:rsid w:val="00652125"/>
    <w:rsid w:val="00652197"/>
    <w:rsid w:val="00653024"/>
    <w:rsid w:val="006535D8"/>
    <w:rsid w:val="00653857"/>
    <w:rsid w:val="00654727"/>
    <w:rsid w:val="006554E4"/>
    <w:rsid w:val="00655DFE"/>
    <w:rsid w:val="006563AD"/>
    <w:rsid w:val="006574F8"/>
    <w:rsid w:val="00660394"/>
    <w:rsid w:val="00660B76"/>
    <w:rsid w:val="00661664"/>
    <w:rsid w:val="00661A4F"/>
    <w:rsid w:val="00661DC2"/>
    <w:rsid w:val="00661DE8"/>
    <w:rsid w:val="00662D97"/>
    <w:rsid w:val="00663F5E"/>
    <w:rsid w:val="00666033"/>
    <w:rsid w:val="006660A6"/>
    <w:rsid w:val="0066639F"/>
    <w:rsid w:val="006667CF"/>
    <w:rsid w:val="00667019"/>
    <w:rsid w:val="0067040F"/>
    <w:rsid w:val="00670903"/>
    <w:rsid w:val="00670D8A"/>
    <w:rsid w:val="00671651"/>
    <w:rsid w:val="00671CDB"/>
    <w:rsid w:val="00672AFF"/>
    <w:rsid w:val="00672C1C"/>
    <w:rsid w:val="00673518"/>
    <w:rsid w:val="006750B0"/>
    <w:rsid w:val="00676489"/>
    <w:rsid w:val="006764F3"/>
    <w:rsid w:val="006777BD"/>
    <w:rsid w:val="00677849"/>
    <w:rsid w:val="00677C00"/>
    <w:rsid w:val="00680499"/>
    <w:rsid w:val="00680585"/>
    <w:rsid w:val="0068082A"/>
    <w:rsid w:val="006814C6"/>
    <w:rsid w:val="00681517"/>
    <w:rsid w:val="006826A3"/>
    <w:rsid w:val="006826C1"/>
    <w:rsid w:val="006841A7"/>
    <w:rsid w:val="00685CB5"/>
    <w:rsid w:val="0068611C"/>
    <w:rsid w:val="006867D0"/>
    <w:rsid w:val="00686DF7"/>
    <w:rsid w:val="00687FE0"/>
    <w:rsid w:val="00690CB4"/>
    <w:rsid w:val="006910DB"/>
    <w:rsid w:val="00691133"/>
    <w:rsid w:val="006916FD"/>
    <w:rsid w:val="0069299D"/>
    <w:rsid w:val="00694146"/>
    <w:rsid w:val="00694956"/>
    <w:rsid w:val="006956BA"/>
    <w:rsid w:val="0069593A"/>
    <w:rsid w:val="00695963"/>
    <w:rsid w:val="00695D9E"/>
    <w:rsid w:val="00696045"/>
    <w:rsid w:val="006962B3"/>
    <w:rsid w:val="0069714B"/>
    <w:rsid w:val="006A0145"/>
    <w:rsid w:val="006A0154"/>
    <w:rsid w:val="006A1E55"/>
    <w:rsid w:val="006A23AD"/>
    <w:rsid w:val="006A25FF"/>
    <w:rsid w:val="006A3AC3"/>
    <w:rsid w:val="006A47F0"/>
    <w:rsid w:val="006A4DD9"/>
    <w:rsid w:val="006A5525"/>
    <w:rsid w:val="006A5C88"/>
    <w:rsid w:val="006A6984"/>
    <w:rsid w:val="006A713C"/>
    <w:rsid w:val="006A7B99"/>
    <w:rsid w:val="006B22F8"/>
    <w:rsid w:val="006B2956"/>
    <w:rsid w:val="006B29D1"/>
    <w:rsid w:val="006B33F1"/>
    <w:rsid w:val="006B4182"/>
    <w:rsid w:val="006B439F"/>
    <w:rsid w:val="006B46CE"/>
    <w:rsid w:val="006B46DA"/>
    <w:rsid w:val="006B4B32"/>
    <w:rsid w:val="006B4CA1"/>
    <w:rsid w:val="006B4EFA"/>
    <w:rsid w:val="006B582B"/>
    <w:rsid w:val="006B6336"/>
    <w:rsid w:val="006B6DDF"/>
    <w:rsid w:val="006B7A96"/>
    <w:rsid w:val="006C0E99"/>
    <w:rsid w:val="006C0EE0"/>
    <w:rsid w:val="006C1AA1"/>
    <w:rsid w:val="006C1C97"/>
    <w:rsid w:val="006C1FA4"/>
    <w:rsid w:val="006C4178"/>
    <w:rsid w:val="006C4DD8"/>
    <w:rsid w:val="006C4F76"/>
    <w:rsid w:val="006C5221"/>
    <w:rsid w:val="006C52AF"/>
    <w:rsid w:val="006C6932"/>
    <w:rsid w:val="006C734D"/>
    <w:rsid w:val="006C7B25"/>
    <w:rsid w:val="006C7DA3"/>
    <w:rsid w:val="006C7F00"/>
    <w:rsid w:val="006C7F54"/>
    <w:rsid w:val="006D00C2"/>
    <w:rsid w:val="006D1E57"/>
    <w:rsid w:val="006D2728"/>
    <w:rsid w:val="006D2811"/>
    <w:rsid w:val="006D2A63"/>
    <w:rsid w:val="006D3468"/>
    <w:rsid w:val="006D34D5"/>
    <w:rsid w:val="006D36BC"/>
    <w:rsid w:val="006D3B6D"/>
    <w:rsid w:val="006D3C62"/>
    <w:rsid w:val="006D4073"/>
    <w:rsid w:val="006D4332"/>
    <w:rsid w:val="006D5036"/>
    <w:rsid w:val="006D59EA"/>
    <w:rsid w:val="006D794F"/>
    <w:rsid w:val="006E072E"/>
    <w:rsid w:val="006E10AE"/>
    <w:rsid w:val="006E1541"/>
    <w:rsid w:val="006E1FA4"/>
    <w:rsid w:val="006E369E"/>
    <w:rsid w:val="006E3831"/>
    <w:rsid w:val="006E464E"/>
    <w:rsid w:val="006E51A7"/>
    <w:rsid w:val="006E5280"/>
    <w:rsid w:val="006E6068"/>
    <w:rsid w:val="006E6152"/>
    <w:rsid w:val="006E641E"/>
    <w:rsid w:val="006E7310"/>
    <w:rsid w:val="006E77F6"/>
    <w:rsid w:val="006E7D5A"/>
    <w:rsid w:val="006F03B6"/>
    <w:rsid w:val="006F03BA"/>
    <w:rsid w:val="006F0FC2"/>
    <w:rsid w:val="006F10CA"/>
    <w:rsid w:val="006F1C51"/>
    <w:rsid w:val="006F1D57"/>
    <w:rsid w:val="006F224E"/>
    <w:rsid w:val="006F240A"/>
    <w:rsid w:val="006F28C4"/>
    <w:rsid w:val="006F2D6A"/>
    <w:rsid w:val="006F307D"/>
    <w:rsid w:val="006F30F1"/>
    <w:rsid w:val="006F3248"/>
    <w:rsid w:val="006F550B"/>
    <w:rsid w:val="006F64A8"/>
    <w:rsid w:val="006F6C5A"/>
    <w:rsid w:val="006F7121"/>
    <w:rsid w:val="006F754A"/>
    <w:rsid w:val="00700F10"/>
    <w:rsid w:val="007022A0"/>
    <w:rsid w:val="0070376C"/>
    <w:rsid w:val="007037FF"/>
    <w:rsid w:val="00704706"/>
    <w:rsid w:val="007064F8"/>
    <w:rsid w:val="0070655A"/>
    <w:rsid w:val="00707210"/>
    <w:rsid w:val="00707A2F"/>
    <w:rsid w:val="00707CA5"/>
    <w:rsid w:val="0071071D"/>
    <w:rsid w:val="007107AA"/>
    <w:rsid w:val="007110C7"/>
    <w:rsid w:val="007114A1"/>
    <w:rsid w:val="00711B0A"/>
    <w:rsid w:val="007120E0"/>
    <w:rsid w:val="007124E5"/>
    <w:rsid w:val="0071305E"/>
    <w:rsid w:val="007131C1"/>
    <w:rsid w:val="00713510"/>
    <w:rsid w:val="00713E2B"/>
    <w:rsid w:val="0071440A"/>
    <w:rsid w:val="007148D9"/>
    <w:rsid w:val="00714F3A"/>
    <w:rsid w:val="007150C1"/>
    <w:rsid w:val="007150CE"/>
    <w:rsid w:val="0071676A"/>
    <w:rsid w:val="00716775"/>
    <w:rsid w:val="00717457"/>
    <w:rsid w:val="00717817"/>
    <w:rsid w:val="007201F2"/>
    <w:rsid w:val="007205F2"/>
    <w:rsid w:val="00720B2F"/>
    <w:rsid w:val="00720D7B"/>
    <w:rsid w:val="007213C1"/>
    <w:rsid w:val="00721499"/>
    <w:rsid w:val="00722B94"/>
    <w:rsid w:val="00723230"/>
    <w:rsid w:val="00723384"/>
    <w:rsid w:val="007234D1"/>
    <w:rsid w:val="00723EE3"/>
    <w:rsid w:val="00725923"/>
    <w:rsid w:val="007262B1"/>
    <w:rsid w:val="0072711F"/>
    <w:rsid w:val="00727911"/>
    <w:rsid w:val="0073037B"/>
    <w:rsid w:val="00730C10"/>
    <w:rsid w:val="00730D95"/>
    <w:rsid w:val="00732311"/>
    <w:rsid w:val="007326BC"/>
    <w:rsid w:val="0073274B"/>
    <w:rsid w:val="0073352A"/>
    <w:rsid w:val="00733DE4"/>
    <w:rsid w:val="0073505E"/>
    <w:rsid w:val="007355D8"/>
    <w:rsid w:val="0073626A"/>
    <w:rsid w:val="007369F8"/>
    <w:rsid w:val="00737679"/>
    <w:rsid w:val="007379A3"/>
    <w:rsid w:val="00737C39"/>
    <w:rsid w:val="00737F7D"/>
    <w:rsid w:val="007411C0"/>
    <w:rsid w:val="00741243"/>
    <w:rsid w:val="00741410"/>
    <w:rsid w:val="007419F4"/>
    <w:rsid w:val="0074288E"/>
    <w:rsid w:val="007436AB"/>
    <w:rsid w:val="00744A3B"/>
    <w:rsid w:val="00745787"/>
    <w:rsid w:val="00745F0A"/>
    <w:rsid w:val="00746126"/>
    <w:rsid w:val="007462AB"/>
    <w:rsid w:val="007464A9"/>
    <w:rsid w:val="00746AD3"/>
    <w:rsid w:val="00747953"/>
    <w:rsid w:val="00747B97"/>
    <w:rsid w:val="007502E6"/>
    <w:rsid w:val="007505E2"/>
    <w:rsid w:val="00750F0B"/>
    <w:rsid w:val="00751CD0"/>
    <w:rsid w:val="00752472"/>
    <w:rsid w:val="007527DF"/>
    <w:rsid w:val="0075305A"/>
    <w:rsid w:val="0075349A"/>
    <w:rsid w:val="00753A94"/>
    <w:rsid w:val="0075445A"/>
    <w:rsid w:val="00755889"/>
    <w:rsid w:val="0075600A"/>
    <w:rsid w:val="00756561"/>
    <w:rsid w:val="0075738E"/>
    <w:rsid w:val="00757766"/>
    <w:rsid w:val="00760122"/>
    <w:rsid w:val="007602CC"/>
    <w:rsid w:val="0076149F"/>
    <w:rsid w:val="00761622"/>
    <w:rsid w:val="00762251"/>
    <w:rsid w:val="007625A8"/>
    <w:rsid w:val="00762B1B"/>
    <w:rsid w:val="00762EE1"/>
    <w:rsid w:val="00763A9F"/>
    <w:rsid w:val="007646A8"/>
    <w:rsid w:val="00764B1E"/>
    <w:rsid w:val="00764CF5"/>
    <w:rsid w:val="007661D9"/>
    <w:rsid w:val="00766EC1"/>
    <w:rsid w:val="007703ED"/>
    <w:rsid w:val="007706C4"/>
    <w:rsid w:val="007709C4"/>
    <w:rsid w:val="007718B5"/>
    <w:rsid w:val="00771FF6"/>
    <w:rsid w:val="00773E64"/>
    <w:rsid w:val="00774C5A"/>
    <w:rsid w:val="00775FFD"/>
    <w:rsid w:val="007760CE"/>
    <w:rsid w:val="00776709"/>
    <w:rsid w:val="00776D30"/>
    <w:rsid w:val="00776E95"/>
    <w:rsid w:val="0077730F"/>
    <w:rsid w:val="007776C3"/>
    <w:rsid w:val="007800FC"/>
    <w:rsid w:val="00781391"/>
    <w:rsid w:val="0078154E"/>
    <w:rsid w:val="007815E2"/>
    <w:rsid w:val="0078177F"/>
    <w:rsid w:val="00781D42"/>
    <w:rsid w:val="007827FA"/>
    <w:rsid w:val="007828A5"/>
    <w:rsid w:val="00782DC7"/>
    <w:rsid w:val="00783308"/>
    <w:rsid w:val="0078556F"/>
    <w:rsid w:val="0078602E"/>
    <w:rsid w:val="0078602F"/>
    <w:rsid w:val="007863E3"/>
    <w:rsid w:val="007867AB"/>
    <w:rsid w:val="00790062"/>
    <w:rsid w:val="00790553"/>
    <w:rsid w:val="007905CD"/>
    <w:rsid w:val="00790C4F"/>
    <w:rsid w:val="00790D18"/>
    <w:rsid w:val="0079151C"/>
    <w:rsid w:val="00791601"/>
    <w:rsid w:val="007926F9"/>
    <w:rsid w:val="00793290"/>
    <w:rsid w:val="007936FA"/>
    <w:rsid w:val="0079421F"/>
    <w:rsid w:val="007945EA"/>
    <w:rsid w:val="007948B6"/>
    <w:rsid w:val="00794A9A"/>
    <w:rsid w:val="00794DBA"/>
    <w:rsid w:val="00795D58"/>
    <w:rsid w:val="007966F2"/>
    <w:rsid w:val="00796FC4"/>
    <w:rsid w:val="00797569"/>
    <w:rsid w:val="00797715"/>
    <w:rsid w:val="007A0A27"/>
    <w:rsid w:val="007A0D2E"/>
    <w:rsid w:val="007A0F2D"/>
    <w:rsid w:val="007A11B3"/>
    <w:rsid w:val="007A183D"/>
    <w:rsid w:val="007A1C6E"/>
    <w:rsid w:val="007A1F6F"/>
    <w:rsid w:val="007A24B6"/>
    <w:rsid w:val="007A2962"/>
    <w:rsid w:val="007A3975"/>
    <w:rsid w:val="007A3E99"/>
    <w:rsid w:val="007A4E26"/>
    <w:rsid w:val="007A5686"/>
    <w:rsid w:val="007A7ED1"/>
    <w:rsid w:val="007B0DE7"/>
    <w:rsid w:val="007B13E1"/>
    <w:rsid w:val="007B153B"/>
    <w:rsid w:val="007B1941"/>
    <w:rsid w:val="007B1C52"/>
    <w:rsid w:val="007B24DE"/>
    <w:rsid w:val="007B2923"/>
    <w:rsid w:val="007B3837"/>
    <w:rsid w:val="007B3B10"/>
    <w:rsid w:val="007B5A25"/>
    <w:rsid w:val="007B5A30"/>
    <w:rsid w:val="007B63A0"/>
    <w:rsid w:val="007B662C"/>
    <w:rsid w:val="007B7A09"/>
    <w:rsid w:val="007B7BCA"/>
    <w:rsid w:val="007C0BB0"/>
    <w:rsid w:val="007C0D21"/>
    <w:rsid w:val="007C12D1"/>
    <w:rsid w:val="007C1B33"/>
    <w:rsid w:val="007C1C62"/>
    <w:rsid w:val="007C1CA7"/>
    <w:rsid w:val="007C1EAE"/>
    <w:rsid w:val="007C1EC3"/>
    <w:rsid w:val="007C3838"/>
    <w:rsid w:val="007C3889"/>
    <w:rsid w:val="007C3A6E"/>
    <w:rsid w:val="007C3B9D"/>
    <w:rsid w:val="007C3C8B"/>
    <w:rsid w:val="007C42BB"/>
    <w:rsid w:val="007C47AD"/>
    <w:rsid w:val="007C5081"/>
    <w:rsid w:val="007C5486"/>
    <w:rsid w:val="007C68BE"/>
    <w:rsid w:val="007C7083"/>
    <w:rsid w:val="007D09F3"/>
    <w:rsid w:val="007D0C22"/>
    <w:rsid w:val="007D0C47"/>
    <w:rsid w:val="007D14D7"/>
    <w:rsid w:val="007D153C"/>
    <w:rsid w:val="007D1661"/>
    <w:rsid w:val="007D19A7"/>
    <w:rsid w:val="007D1D19"/>
    <w:rsid w:val="007D28FE"/>
    <w:rsid w:val="007D34B3"/>
    <w:rsid w:val="007D364C"/>
    <w:rsid w:val="007D3C89"/>
    <w:rsid w:val="007D3E06"/>
    <w:rsid w:val="007D42E0"/>
    <w:rsid w:val="007D5534"/>
    <w:rsid w:val="007D5CD1"/>
    <w:rsid w:val="007D64C6"/>
    <w:rsid w:val="007D6626"/>
    <w:rsid w:val="007D6E69"/>
    <w:rsid w:val="007D7288"/>
    <w:rsid w:val="007D7867"/>
    <w:rsid w:val="007E0078"/>
    <w:rsid w:val="007E010A"/>
    <w:rsid w:val="007E1479"/>
    <w:rsid w:val="007E259D"/>
    <w:rsid w:val="007E26B2"/>
    <w:rsid w:val="007E3007"/>
    <w:rsid w:val="007E4000"/>
    <w:rsid w:val="007E4394"/>
    <w:rsid w:val="007E4A1D"/>
    <w:rsid w:val="007E4A40"/>
    <w:rsid w:val="007E54AD"/>
    <w:rsid w:val="007E6393"/>
    <w:rsid w:val="007E71D7"/>
    <w:rsid w:val="007F08CC"/>
    <w:rsid w:val="007F13D5"/>
    <w:rsid w:val="007F140C"/>
    <w:rsid w:val="007F16D6"/>
    <w:rsid w:val="007F1C54"/>
    <w:rsid w:val="007F4464"/>
    <w:rsid w:val="007F45E6"/>
    <w:rsid w:val="007F4E28"/>
    <w:rsid w:val="007F5B4F"/>
    <w:rsid w:val="007F5CBB"/>
    <w:rsid w:val="007F5DD9"/>
    <w:rsid w:val="007F659B"/>
    <w:rsid w:val="007F663C"/>
    <w:rsid w:val="007F67C2"/>
    <w:rsid w:val="007F692C"/>
    <w:rsid w:val="007F69BD"/>
    <w:rsid w:val="007F6CC8"/>
    <w:rsid w:val="007F7005"/>
    <w:rsid w:val="007F730A"/>
    <w:rsid w:val="007F7DFA"/>
    <w:rsid w:val="00800544"/>
    <w:rsid w:val="00800609"/>
    <w:rsid w:val="00800D85"/>
    <w:rsid w:val="00800FCF"/>
    <w:rsid w:val="0080121A"/>
    <w:rsid w:val="008016E5"/>
    <w:rsid w:val="008019F2"/>
    <w:rsid w:val="008026B1"/>
    <w:rsid w:val="008028B9"/>
    <w:rsid w:val="00802A23"/>
    <w:rsid w:val="00802A41"/>
    <w:rsid w:val="00803B43"/>
    <w:rsid w:val="00803F99"/>
    <w:rsid w:val="00804806"/>
    <w:rsid w:val="00804E82"/>
    <w:rsid w:val="008053F9"/>
    <w:rsid w:val="00805788"/>
    <w:rsid w:val="00805959"/>
    <w:rsid w:val="008071C6"/>
    <w:rsid w:val="008108B4"/>
    <w:rsid w:val="00811844"/>
    <w:rsid w:val="00811FEC"/>
    <w:rsid w:val="008121B9"/>
    <w:rsid w:val="00812333"/>
    <w:rsid w:val="00812932"/>
    <w:rsid w:val="00812E0C"/>
    <w:rsid w:val="0081302C"/>
    <w:rsid w:val="008132CB"/>
    <w:rsid w:val="0081355D"/>
    <w:rsid w:val="00814D68"/>
    <w:rsid w:val="008155BC"/>
    <w:rsid w:val="00815635"/>
    <w:rsid w:val="00816632"/>
    <w:rsid w:val="00817044"/>
    <w:rsid w:val="0081769D"/>
    <w:rsid w:val="00817C49"/>
    <w:rsid w:val="00817D0B"/>
    <w:rsid w:val="00817F17"/>
    <w:rsid w:val="00821265"/>
    <w:rsid w:val="00821323"/>
    <w:rsid w:val="00821BB1"/>
    <w:rsid w:val="0082306C"/>
    <w:rsid w:val="00823D66"/>
    <w:rsid w:val="00823F69"/>
    <w:rsid w:val="00825642"/>
    <w:rsid w:val="0082579E"/>
    <w:rsid w:val="00827932"/>
    <w:rsid w:val="00830179"/>
    <w:rsid w:val="008301D7"/>
    <w:rsid w:val="0083073A"/>
    <w:rsid w:val="0083148D"/>
    <w:rsid w:val="008314EB"/>
    <w:rsid w:val="00831FFC"/>
    <w:rsid w:val="0083228B"/>
    <w:rsid w:val="008323F0"/>
    <w:rsid w:val="00832702"/>
    <w:rsid w:val="00832E58"/>
    <w:rsid w:val="008345FA"/>
    <w:rsid w:val="008350BB"/>
    <w:rsid w:val="00835D37"/>
    <w:rsid w:val="008364DB"/>
    <w:rsid w:val="00836DC0"/>
    <w:rsid w:val="008377CF"/>
    <w:rsid w:val="00837D92"/>
    <w:rsid w:val="0084225C"/>
    <w:rsid w:val="00842F38"/>
    <w:rsid w:val="00842F76"/>
    <w:rsid w:val="0084425C"/>
    <w:rsid w:val="00844387"/>
    <w:rsid w:val="00845430"/>
    <w:rsid w:val="008455C7"/>
    <w:rsid w:val="00846803"/>
    <w:rsid w:val="008469C2"/>
    <w:rsid w:val="008471D9"/>
    <w:rsid w:val="00847A98"/>
    <w:rsid w:val="00847DD7"/>
    <w:rsid w:val="00847EC2"/>
    <w:rsid w:val="00850125"/>
    <w:rsid w:val="0085089F"/>
    <w:rsid w:val="00850B5D"/>
    <w:rsid w:val="00851612"/>
    <w:rsid w:val="00851EE6"/>
    <w:rsid w:val="008527BD"/>
    <w:rsid w:val="00852D10"/>
    <w:rsid w:val="00852D75"/>
    <w:rsid w:val="0085320A"/>
    <w:rsid w:val="00853F1A"/>
    <w:rsid w:val="00854C54"/>
    <w:rsid w:val="0085549B"/>
    <w:rsid w:val="0085570C"/>
    <w:rsid w:val="00855AA4"/>
    <w:rsid w:val="00855D01"/>
    <w:rsid w:val="00855E7D"/>
    <w:rsid w:val="0085730A"/>
    <w:rsid w:val="0085753D"/>
    <w:rsid w:val="008575FD"/>
    <w:rsid w:val="0086010A"/>
    <w:rsid w:val="008607EA"/>
    <w:rsid w:val="00860C8E"/>
    <w:rsid w:val="008620AE"/>
    <w:rsid w:val="00862883"/>
    <w:rsid w:val="00863165"/>
    <w:rsid w:val="00863D5C"/>
    <w:rsid w:val="00864153"/>
    <w:rsid w:val="0086421E"/>
    <w:rsid w:val="00865BA1"/>
    <w:rsid w:val="00865BC3"/>
    <w:rsid w:val="00865CED"/>
    <w:rsid w:val="00866F3D"/>
    <w:rsid w:val="00866F7D"/>
    <w:rsid w:val="008676E3"/>
    <w:rsid w:val="00867987"/>
    <w:rsid w:val="00871878"/>
    <w:rsid w:val="0087318F"/>
    <w:rsid w:val="00873730"/>
    <w:rsid w:val="00873796"/>
    <w:rsid w:val="0087395A"/>
    <w:rsid w:val="008744E2"/>
    <w:rsid w:val="00875E51"/>
    <w:rsid w:val="008761D0"/>
    <w:rsid w:val="00877705"/>
    <w:rsid w:val="00877856"/>
    <w:rsid w:val="00877A1B"/>
    <w:rsid w:val="00881210"/>
    <w:rsid w:val="00881D05"/>
    <w:rsid w:val="00881EB9"/>
    <w:rsid w:val="008829B4"/>
    <w:rsid w:val="008829DA"/>
    <w:rsid w:val="00883066"/>
    <w:rsid w:val="008830AE"/>
    <w:rsid w:val="00883318"/>
    <w:rsid w:val="008834BF"/>
    <w:rsid w:val="008843F1"/>
    <w:rsid w:val="008846D2"/>
    <w:rsid w:val="00885298"/>
    <w:rsid w:val="00885D9F"/>
    <w:rsid w:val="00886758"/>
    <w:rsid w:val="008873C5"/>
    <w:rsid w:val="00890019"/>
    <w:rsid w:val="00890B40"/>
    <w:rsid w:val="00890B6F"/>
    <w:rsid w:val="008928C5"/>
    <w:rsid w:val="00893C94"/>
    <w:rsid w:val="00893CBA"/>
    <w:rsid w:val="00893F7D"/>
    <w:rsid w:val="00894994"/>
    <w:rsid w:val="008960E4"/>
    <w:rsid w:val="00896485"/>
    <w:rsid w:val="008966DA"/>
    <w:rsid w:val="008967E4"/>
    <w:rsid w:val="008A13FF"/>
    <w:rsid w:val="008A1987"/>
    <w:rsid w:val="008A1A96"/>
    <w:rsid w:val="008A1EDD"/>
    <w:rsid w:val="008A25B6"/>
    <w:rsid w:val="008A2A2E"/>
    <w:rsid w:val="008A39CD"/>
    <w:rsid w:val="008A4028"/>
    <w:rsid w:val="008A45FC"/>
    <w:rsid w:val="008A4747"/>
    <w:rsid w:val="008A4965"/>
    <w:rsid w:val="008A4A26"/>
    <w:rsid w:val="008A4DFB"/>
    <w:rsid w:val="008A5BD6"/>
    <w:rsid w:val="008A6366"/>
    <w:rsid w:val="008B0E66"/>
    <w:rsid w:val="008B1CBA"/>
    <w:rsid w:val="008B232A"/>
    <w:rsid w:val="008B379F"/>
    <w:rsid w:val="008B3CE3"/>
    <w:rsid w:val="008B6B03"/>
    <w:rsid w:val="008B7C38"/>
    <w:rsid w:val="008C1772"/>
    <w:rsid w:val="008C1F9B"/>
    <w:rsid w:val="008C1FED"/>
    <w:rsid w:val="008C29CB"/>
    <w:rsid w:val="008C2E68"/>
    <w:rsid w:val="008C2FF8"/>
    <w:rsid w:val="008C52CB"/>
    <w:rsid w:val="008C5776"/>
    <w:rsid w:val="008C5A54"/>
    <w:rsid w:val="008C64B8"/>
    <w:rsid w:val="008C6983"/>
    <w:rsid w:val="008C6A30"/>
    <w:rsid w:val="008C6AA4"/>
    <w:rsid w:val="008D2063"/>
    <w:rsid w:val="008D28FC"/>
    <w:rsid w:val="008D2D6B"/>
    <w:rsid w:val="008D2F61"/>
    <w:rsid w:val="008D33C6"/>
    <w:rsid w:val="008D3AA5"/>
    <w:rsid w:val="008D3BB2"/>
    <w:rsid w:val="008D3EF7"/>
    <w:rsid w:val="008D4A77"/>
    <w:rsid w:val="008D4ADA"/>
    <w:rsid w:val="008D534C"/>
    <w:rsid w:val="008D59A7"/>
    <w:rsid w:val="008D5D08"/>
    <w:rsid w:val="008D60E9"/>
    <w:rsid w:val="008D6125"/>
    <w:rsid w:val="008D67C2"/>
    <w:rsid w:val="008D6911"/>
    <w:rsid w:val="008D6C60"/>
    <w:rsid w:val="008D7E53"/>
    <w:rsid w:val="008E090B"/>
    <w:rsid w:val="008E0A3E"/>
    <w:rsid w:val="008E2E5A"/>
    <w:rsid w:val="008E3327"/>
    <w:rsid w:val="008E3490"/>
    <w:rsid w:val="008E3876"/>
    <w:rsid w:val="008E3891"/>
    <w:rsid w:val="008E4195"/>
    <w:rsid w:val="008E58B8"/>
    <w:rsid w:val="008E607F"/>
    <w:rsid w:val="008E65AA"/>
    <w:rsid w:val="008E6B9A"/>
    <w:rsid w:val="008F063B"/>
    <w:rsid w:val="008F0647"/>
    <w:rsid w:val="008F0CC4"/>
    <w:rsid w:val="008F295B"/>
    <w:rsid w:val="008F2B8C"/>
    <w:rsid w:val="008F353B"/>
    <w:rsid w:val="008F3C38"/>
    <w:rsid w:val="008F4F97"/>
    <w:rsid w:val="008F52C1"/>
    <w:rsid w:val="008F5644"/>
    <w:rsid w:val="008F62CB"/>
    <w:rsid w:val="008F68FF"/>
    <w:rsid w:val="008F72FD"/>
    <w:rsid w:val="008F7CC8"/>
    <w:rsid w:val="00901A98"/>
    <w:rsid w:val="00901C8A"/>
    <w:rsid w:val="0090222C"/>
    <w:rsid w:val="00902248"/>
    <w:rsid w:val="00902888"/>
    <w:rsid w:val="00902F34"/>
    <w:rsid w:val="00903CCD"/>
    <w:rsid w:val="00903E46"/>
    <w:rsid w:val="00903E50"/>
    <w:rsid w:val="00904CA4"/>
    <w:rsid w:val="00904CFE"/>
    <w:rsid w:val="00910074"/>
    <w:rsid w:val="00911311"/>
    <w:rsid w:val="00911AA3"/>
    <w:rsid w:val="0091271E"/>
    <w:rsid w:val="00912A62"/>
    <w:rsid w:val="009138B8"/>
    <w:rsid w:val="009138F3"/>
    <w:rsid w:val="00913F10"/>
    <w:rsid w:val="009140E9"/>
    <w:rsid w:val="00914209"/>
    <w:rsid w:val="009149F6"/>
    <w:rsid w:val="00914B2C"/>
    <w:rsid w:val="00914DFF"/>
    <w:rsid w:val="00915006"/>
    <w:rsid w:val="009150C0"/>
    <w:rsid w:val="00915BA3"/>
    <w:rsid w:val="009163A8"/>
    <w:rsid w:val="00917459"/>
    <w:rsid w:val="0091747A"/>
    <w:rsid w:val="009174CC"/>
    <w:rsid w:val="009177CC"/>
    <w:rsid w:val="00917817"/>
    <w:rsid w:val="00920A02"/>
    <w:rsid w:val="00921263"/>
    <w:rsid w:val="00921773"/>
    <w:rsid w:val="0092221E"/>
    <w:rsid w:val="009239A2"/>
    <w:rsid w:val="00923F8E"/>
    <w:rsid w:val="00924872"/>
    <w:rsid w:val="00925934"/>
    <w:rsid w:val="00925E2E"/>
    <w:rsid w:val="00926175"/>
    <w:rsid w:val="0092626F"/>
    <w:rsid w:val="0092634C"/>
    <w:rsid w:val="00926CF6"/>
    <w:rsid w:val="009271B7"/>
    <w:rsid w:val="0092726E"/>
    <w:rsid w:val="00927FAA"/>
    <w:rsid w:val="009306EA"/>
    <w:rsid w:val="009314B9"/>
    <w:rsid w:val="00931A2C"/>
    <w:rsid w:val="009326DD"/>
    <w:rsid w:val="00933882"/>
    <w:rsid w:val="009338EA"/>
    <w:rsid w:val="00933C11"/>
    <w:rsid w:val="00934AA7"/>
    <w:rsid w:val="00934E25"/>
    <w:rsid w:val="009353B2"/>
    <w:rsid w:val="0093655A"/>
    <w:rsid w:val="009371D6"/>
    <w:rsid w:val="00937221"/>
    <w:rsid w:val="00940530"/>
    <w:rsid w:val="009406EA"/>
    <w:rsid w:val="009420FB"/>
    <w:rsid w:val="00942223"/>
    <w:rsid w:val="009423E1"/>
    <w:rsid w:val="00942E18"/>
    <w:rsid w:val="00942FD8"/>
    <w:rsid w:val="0094387F"/>
    <w:rsid w:val="00944740"/>
    <w:rsid w:val="0094474B"/>
    <w:rsid w:val="00945658"/>
    <w:rsid w:val="00945C5D"/>
    <w:rsid w:val="00946D81"/>
    <w:rsid w:val="00946F87"/>
    <w:rsid w:val="00947381"/>
    <w:rsid w:val="0095007C"/>
    <w:rsid w:val="009504FA"/>
    <w:rsid w:val="00950AC3"/>
    <w:rsid w:val="009519EE"/>
    <w:rsid w:val="00951BCB"/>
    <w:rsid w:val="0095209D"/>
    <w:rsid w:val="0095335B"/>
    <w:rsid w:val="0095352A"/>
    <w:rsid w:val="0095360E"/>
    <w:rsid w:val="00953801"/>
    <w:rsid w:val="00953A25"/>
    <w:rsid w:val="00954232"/>
    <w:rsid w:val="009560D7"/>
    <w:rsid w:val="00956562"/>
    <w:rsid w:val="00957785"/>
    <w:rsid w:val="009605CA"/>
    <w:rsid w:val="00960EF7"/>
    <w:rsid w:val="00962884"/>
    <w:rsid w:val="00964208"/>
    <w:rsid w:val="00964DBB"/>
    <w:rsid w:val="00965E2C"/>
    <w:rsid w:val="00970174"/>
    <w:rsid w:val="00970E0E"/>
    <w:rsid w:val="00970F0D"/>
    <w:rsid w:val="00971140"/>
    <w:rsid w:val="0097256A"/>
    <w:rsid w:val="009726BB"/>
    <w:rsid w:val="00972737"/>
    <w:rsid w:val="0097294C"/>
    <w:rsid w:val="009738D7"/>
    <w:rsid w:val="00973AA0"/>
    <w:rsid w:val="009741A6"/>
    <w:rsid w:val="00974ECF"/>
    <w:rsid w:val="009757ED"/>
    <w:rsid w:val="00975CC5"/>
    <w:rsid w:val="00975F18"/>
    <w:rsid w:val="009762AA"/>
    <w:rsid w:val="009762D2"/>
    <w:rsid w:val="00976F9A"/>
    <w:rsid w:val="009773F2"/>
    <w:rsid w:val="00977F34"/>
    <w:rsid w:val="00980108"/>
    <w:rsid w:val="00980AB1"/>
    <w:rsid w:val="00980CC9"/>
    <w:rsid w:val="00981950"/>
    <w:rsid w:val="00982713"/>
    <w:rsid w:val="00982A77"/>
    <w:rsid w:val="00983254"/>
    <w:rsid w:val="00984118"/>
    <w:rsid w:val="009841A9"/>
    <w:rsid w:val="009845D8"/>
    <w:rsid w:val="00984736"/>
    <w:rsid w:val="00984902"/>
    <w:rsid w:val="00985439"/>
    <w:rsid w:val="00985933"/>
    <w:rsid w:val="009901A1"/>
    <w:rsid w:val="0099064D"/>
    <w:rsid w:val="00990DE4"/>
    <w:rsid w:val="00991E60"/>
    <w:rsid w:val="00991EBD"/>
    <w:rsid w:val="009923FA"/>
    <w:rsid w:val="00992BCA"/>
    <w:rsid w:val="00992F7C"/>
    <w:rsid w:val="00993EB8"/>
    <w:rsid w:val="0099415B"/>
    <w:rsid w:val="009941EF"/>
    <w:rsid w:val="00994232"/>
    <w:rsid w:val="009943BC"/>
    <w:rsid w:val="00994409"/>
    <w:rsid w:val="0099491B"/>
    <w:rsid w:val="00994DDB"/>
    <w:rsid w:val="00995681"/>
    <w:rsid w:val="0099581B"/>
    <w:rsid w:val="00997648"/>
    <w:rsid w:val="00997B00"/>
    <w:rsid w:val="00997D65"/>
    <w:rsid w:val="00997E83"/>
    <w:rsid w:val="009A01CC"/>
    <w:rsid w:val="009A0B0F"/>
    <w:rsid w:val="009A0F8F"/>
    <w:rsid w:val="009A22AA"/>
    <w:rsid w:val="009A49D0"/>
    <w:rsid w:val="009A5A3C"/>
    <w:rsid w:val="009A5AA7"/>
    <w:rsid w:val="009A5CC1"/>
    <w:rsid w:val="009A7155"/>
    <w:rsid w:val="009A7483"/>
    <w:rsid w:val="009B06A7"/>
    <w:rsid w:val="009B0812"/>
    <w:rsid w:val="009B09EE"/>
    <w:rsid w:val="009B0DDE"/>
    <w:rsid w:val="009B1228"/>
    <w:rsid w:val="009B2260"/>
    <w:rsid w:val="009B27FC"/>
    <w:rsid w:val="009B2B53"/>
    <w:rsid w:val="009B305C"/>
    <w:rsid w:val="009B3D40"/>
    <w:rsid w:val="009B466D"/>
    <w:rsid w:val="009B5046"/>
    <w:rsid w:val="009B6C53"/>
    <w:rsid w:val="009B7514"/>
    <w:rsid w:val="009B7604"/>
    <w:rsid w:val="009C07CE"/>
    <w:rsid w:val="009C17A9"/>
    <w:rsid w:val="009C1F5A"/>
    <w:rsid w:val="009C3394"/>
    <w:rsid w:val="009C3453"/>
    <w:rsid w:val="009C3B0D"/>
    <w:rsid w:val="009C3E43"/>
    <w:rsid w:val="009C45FA"/>
    <w:rsid w:val="009C4D2B"/>
    <w:rsid w:val="009C4D8F"/>
    <w:rsid w:val="009C5D2D"/>
    <w:rsid w:val="009C5EF6"/>
    <w:rsid w:val="009C6444"/>
    <w:rsid w:val="009C6B82"/>
    <w:rsid w:val="009C74F0"/>
    <w:rsid w:val="009D18C7"/>
    <w:rsid w:val="009D1BB2"/>
    <w:rsid w:val="009D2993"/>
    <w:rsid w:val="009D2EF6"/>
    <w:rsid w:val="009D377B"/>
    <w:rsid w:val="009D4684"/>
    <w:rsid w:val="009D4FE9"/>
    <w:rsid w:val="009D5017"/>
    <w:rsid w:val="009D55A5"/>
    <w:rsid w:val="009D6523"/>
    <w:rsid w:val="009D66E8"/>
    <w:rsid w:val="009D66FE"/>
    <w:rsid w:val="009D73F7"/>
    <w:rsid w:val="009D7592"/>
    <w:rsid w:val="009E0041"/>
    <w:rsid w:val="009E0165"/>
    <w:rsid w:val="009E05D7"/>
    <w:rsid w:val="009E2548"/>
    <w:rsid w:val="009E28EA"/>
    <w:rsid w:val="009E3AA0"/>
    <w:rsid w:val="009E4351"/>
    <w:rsid w:val="009E448A"/>
    <w:rsid w:val="009E4953"/>
    <w:rsid w:val="009E5356"/>
    <w:rsid w:val="009E537E"/>
    <w:rsid w:val="009E5826"/>
    <w:rsid w:val="009E5B5A"/>
    <w:rsid w:val="009E6095"/>
    <w:rsid w:val="009E6275"/>
    <w:rsid w:val="009E6BD5"/>
    <w:rsid w:val="009E705D"/>
    <w:rsid w:val="009E72CE"/>
    <w:rsid w:val="009F04CB"/>
    <w:rsid w:val="009F081B"/>
    <w:rsid w:val="009F0C37"/>
    <w:rsid w:val="009F0FD7"/>
    <w:rsid w:val="009F28B8"/>
    <w:rsid w:val="009F2AFF"/>
    <w:rsid w:val="009F2F2F"/>
    <w:rsid w:val="009F3870"/>
    <w:rsid w:val="009F5195"/>
    <w:rsid w:val="009F51CD"/>
    <w:rsid w:val="009F5678"/>
    <w:rsid w:val="009F6006"/>
    <w:rsid w:val="009F6250"/>
    <w:rsid w:val="009F6251"/>
    <w:rsid w:val="009F7B8D"/>
    <w:rsid w:val="009F7ED9"/>
    <w:rsid w:val="00A0033B"/>
    <w:rsid w:val="00A00693"/>
    <w:rsid w:val="00A016CB"/>
    <w:rsid w:val="00A034BD"/>
    <w:rsid w:val="00A03932"/>
    <w:rsid w:val="00A039D7"/>
    <w:rsid w:val="00A03F22"/>
    <w:rsid w:val="00A04030"/>
    <w:rsid w:val="00A04421"/>
    <w:rsid w:val="00A04A80"/>
    <w:rsid w:val="00A04E37"/>
    <w:rsid w:val="00A05591"/>
    <w:rsid w:val="00A05BE5"/>
    <w:rsid w:val="00A071C3"/>
    <w:rsid w:val="00A072C6"/>
    <w:rsid w:val="00A07CF9"/>
    <w:rsid w:val="00A07E54"/>
    <w:rsid w:val="00A1008A"/>
    <w:rsid w:val="00A104DE"/>
    <w:rsid w:val="00A12100"/>
    <w:rsid w:val="00A12578"/>
    <w:rsid w:val="00A1261C"/>
    <w:rsid w:val="00A131D1"/>
    <w:rsid w:val="00A14436"/>
    <w:rsid w:val="00A1520B"/>
    <w:rsid w:val="00A15A58"/>
    <w:rsid w:val="00A160D1"/>
    <w:rsid w:val="00A168AA"/>
    <w:rsid w:val="00A2143C"/>
    <w:rsid w:val="00A22226"/>
    <w:rsid w:val="00A223D9"/>
    <w:rsid w:val="00A22920"/>
    <w:rsid w:val="00A22D83"/>
    <w:rsid w:val="00A22F33"/>
    <w:rsid w:val="00A23DA3"/>
    <w:rsid w:val="00A240E5"/>
    <w:rsid w:val="00A2619D"/>
    <w:rsid w:val="00A26679"/>
    <w:rsid w:val="00A30A92"/>
    <w:rsid w:val="00A32003"/>
    <w:rsid w:val="00A3307A"/>
    <w:rsid w:val="00A33E43"/>
    <w:rsid w:val="00A341EB"/>
    <w:rsid w:val="00A349F2"/>
    <w:rsid w:val="00A34BAD"/>
    <w:rsid w:val="00A350C2"/>
    <w:rsid w:val="00A3578A"/>
    <w:rsid w:val="00A36A2F"/>
    <w:rsid w:val="00A37381"/>
    <w:rsid w:val="00A37704"/>
    <w:rsid w:val="00A379A3"/>
    <w:rsid w:val="00A41303"/>
    <w:rsid w:val="00A42BCD"/>
    <w:rsid w:val="00A43E25"/>
    <w:rsid w:val="00A43FFD"/>
    <w:rsid w:val="00A440F7"/>
    <w:rsid w:val="00A46294"/>
    <w:rsid w:val="00A47B8C"/>
    <w:rsid w:val="00A50580"/>
    <w:rsid w:val="00A508FA"/>
    <w:rsid w:val="00A510DD"/>
    <w:rsid w:val="00A51C23"/>
    <w:rsid w:val="00A51D3C"/>
    <w:rsid w:val="00A531EA"/>
    <w:rsid w:val="00A5384A"/>
    <w:rsid w:val="00A5527B"/>
    <w:rsid w:val="00A55968"/>
    <w:rsid w:val="00A55BA9"/>
    <w:rsid w:val="00A563E0"/>
    <w:rsid w:val="00A56897"/>
    <w:rsid w:val="00A568D3"/>
    <w:rsid w:val="00A569D3"/>
    <w:rsid w:val="00A56C00"/>
    <w:rsid w:val="00A56E15"/>
    <w:rsid w:val="00A57391"/>
    <w:rsid w:val="00A57C35"/>
    <w:rsid w:val="00A6041E"/>
    <w:rsid w:val="00A60572"/>
    <w:rsid w:val="00A61037"/>
    <w:rsid w:val="00A613A9"/>
    <w:rsid w:val="00A617D9"/>
    <w:rsid w:val="00A61BF7"/>
    <w:rsid w:val="00A631BE"/>
    <w:rsid w:val="00A63ABF"/>
    <w:rsid w:val="00A6419C"/>
    <w:rsid w:val="00A6464C"/>
    <w:rsid w:val="00A6489D"/>
    <w:rsid w:val="00A65372"/>
    <w:rsid w:val="00A65BE6"/>
    <w:rsid w:val="00A672E8"/>
    <w:rsid w:val="00A67EC8"/>
    <w:rsid w:val="00A700AC"/>
    <w:rsid w:val="00A7097D"/>
    <w:rsid w:val="00A70BED"/>
    <w:rsid w:val="00A717D8"/>
    <w:rsid w:val="00A7236A"/>
    <w:rsid w:val="00A723E7"/>
    <w:rsid w:val="00A725C8"/>
    <w:rsid w:val="00A727AF"/>
    <w:rsid w:val="00A72AAD"/>
    <w:rsid w:val="00A72BD1"/>
    <w:rsid w:val="00A72F41"/>
    <w:rsid w:val="00A73503"/>
    <w:rsid w:val="00A73B7B"/>
    <w:rsid w:val="00A7426D"/>
    <w:rsid w:val="00A74E21"/>
    <w:rsid w:val="00A776FF"/>
    <w:rsid w:val="00A77D69"/>
    <w:rsid w:val="00A8066C"/>
    <w:rsid w:val="00A8143D"/>
    <w:rsid w:val="00A815DC"/>
    <w:rsid w:val="00A81AA8"/>
    <w:rsid w:val="00A82CA7"/>
    <w:rsid w:val="00A83A3C"/>
    <w:rsid w:val="00A845AB"/>
    <w:rsid w:val="00A84954"/>
    <w:rsid w:val="00A85A25"/>
    <w:rsid w:val="00A861CC"/>
    <w:rsid w:val="00A86AA5"/>
    <w:rsid w:val="00A86AC2"/>
    <w:rsid w:val="00A90F02"/>
    <w:rsid w:val="00A91B67"/>
    <w:rsid w:val="00A9250A"/>
    <w:rsid w:val="00A92E21"/>
    <w:rsid w:val="00A935E3"/>
    <w:rsid w:val="00A93901"/>
    <w:rsid w:val="00A94C5E"/>
    <w:rsid w:val="00A953BA"/>
    <w:rsid w:val="00A95BD7"/>
    <w:rsid w:val="00A96998"/>
    <w:rsid w:val="00A9797A"/>
    <w:rsid w:val="00A97C6A"/>
    <w:rsid w:val="00A97CCD"/>
    <w:rsid w:val="00A97E77"/>
    <w:rsid w:val="00AA1284"/>
    <w:rsid w:val="00AA1D8C"/>
    <w:rsid w:val="00AA27CF"/>
    <w:rsid w:val="00AA3D42"/>
    <w:rsid w:val="00AA6386"/>
    <w:rsid w:val="00AA77BD"/>
    <w:rsid w:val="00AA7D65"/>
    <w:rsid w:val="00AA7F82"/>
    <w:rsid w:val="00AB0BEB"/>
    <w:rsid w:val="00AB0F64"/>
    <w:rsid w:val="00AB1B64"/>
    <w:rsid w:val="00AB2B60"/>
    <w:rsid w:val="00AB32EE"/>
    <w:rsid w:val="00AB3A4D"/>
    <w:rsid w:val="00AB3EDF"/>
    <w:rsid w:val="00AB42DD"/>
    <w:rsid w:val="00AB4586"/>
    <w:rsid w:val="00AB4BC0"/>
    <w:rsid w:val="00AB4E6D"/>
    <w:rsid w:val="00AB5421"/>
    <w:rsid w:val="00AB54E0"/>
    <w:rsid w:val="00AB6144"/>
    <w:rsid w:val="00AB62DF"/>
    <w:rsid w:val="00AB66AD"/>
    <w:rsid w:val="00AB7095"/>
    <w:rsid w:val="00AB757A"/>
    <w:rsid w:val="00AC072B"/>
    <w:rsid w:val="00AC07DD"/>
    <w:rsid w:val="00AC08CF"/>
    <w:rsid w:val="00AC0A00"/>
    <w:rsid w:val="00AC1557"/>
    <w:rsid w:val="00AC1615"/>
    <w:rsid w:val="00AC1756"/>
    <w:rsid w:val="00AC1E38"/>
    <w:rsid w:val="00AC2865"/>
    <w:rsid w:val="00AC3C18"/>
    <w:rsid w:val="00AC3F53"/>
    <w:rsid w:val="00AC405B"/>
    <w:rsid w:val="00AC47A5"/>
    <w:rsid w:val="00AC4B47"/>
    <w:rsid w:val="00AC4BA5"/>
    <w:rsid w:val="00AC51DF"/>
    <w:rsid w:val="00AC5610"/>
    <w:rsid w:val="00AC5A17"/>
    <w:rsid w:val="00AC6040"/>
    <w:rsid w:val="00AC64AB"/>
    <w:rsid w:val="00AC6525"/>
    <w:rsid w:val="00AC6B50"/>
    <w:rsid w:val="00AC71EF"/>
    <w:rsid w:val="00AC728C"/>
    <w:rsid w:val="00AD2C2D"/>
    <w:rsid w:val="00AD32B5"/>
    <w:rsid w:val="00AD400D"/>
    <w:rsid w:val="00AD4AA7"/>
    <w:rsid w:val="00AD5115"/>
    <w:rsid w:val="00AD6005"/>
    <w:rsid w:val="00AD6122"/>
    <w:rsid w:val="00AD6BAC"/>
    <w:rsid w:val="00AD7E8E"/>
    <w:rsid w:val="00AD7FA4"/>
    <w:rsid w:val="00AE01D4"/>
    <w:rsid w:val="00AE1189"/>
    <w:rsid w:val="00AE1615"/>
    <w:rsid w:val="00AE181E"/>
    <w:rsid w:val="00AE2574"/>
    <w:rsid w:val="00AE26F4"/>
    <w:rsid w:val="00AE278B"/>
    <w:rsid w:val="00AE3A04"/>
    <w:rsid w:val="00AE3B6A"/>
    <w:rsid w:val="00AE42D3"/>
    <w:rsid w:val="00AE4480"/>
    <w:rsid w:val="00AE4C8C"/>
    <w:rsid w:val="00AE4F3B"/>
    <w:rsid w:val="00AE56FB"/>
    <w:rsid w:val="00AE5A63"/>
    <w:rsid w:val="00AE63D4"/>
    <w:rsid w:val="00AE754D"/>
    <w:rsid w:val="00AF0336"/>
    <w:rsid w:val="00AF06A8"/>
    <w:rsid w:val="00AF0928"/>
    <w:rsid w:val="00AF0EA3"/>
    <w:rsid w:val="00AF1566"/>
    <w:rsid w:val="00AF2BF5"/>
    <w:rsid w:val="00AF3C05"/>
    <w:rsid w:val="00AF48B5"/>
    <w:rsid w:val="00AF5267"/>
    <w:rsid w:val="00AF5CB4"/>
    <w:rsid w:val="00AF6C13"/>
    <w:rsid w:val="00AF6E47"/>
    <w:rsid w:val="00B01B18"/>
    <w:rsid w:val="00B02161"/>
    <w:rsid w:val="00B02465"/>
    <w:rsid w:val="00B028F6"/>
    <w:rsid w:val="00B03EBF"/>
    <w:rsid w:val="00B045D7"/>
    <w:rsid w:val="00B05AAA"/>
    <w:rsid w:val="00B05E44"/>
    <w:rsid w:val="00B05F50"/>
    <w:rsid w:val="00B06355"/>
    <w:rsid w:val="00B0664C"/>
    <w:rsid w:val="00B0793C"/>
    <w:rsid w:val="00B07ADB"/>
    <w:rsid w:val="00B109C5"/>
    <w:rsid w:val="00B114F7"/>
    <w:rsid w:val="00B11E32"/>
    <w:rsid w:val="00B12069"/>
    <w:rsid w:val="00B1316C"/>
    <w:rsid w:val="00B1429D"/>
    <w:rsid w:val="00B16574"/>
    <w:rsid w:val="00B16998"/>
    <w:rsid w:val="00B16C5A"/>
    <w:rsid w:val="00B17384"/>
    <w:rsid w:val="00B174A5"/>
    <w:rsid w:val="00B17AE7"/>
    <w:rsid w:val="00B2006F"/>
    <w:rsid w:val="00B20212"/>
    <w:rsid w:val="00B2037C"/>
    <w:rsid w:val="00B21025"/>
    <w:rsid w:val="00B227FC"/>
    <w:rsid w:val="00B22A96"/>
    <w:rsid w:val="00B237A6"/>
    <w:rsid w:val="00B239E2"/>
    <w:rsid w:val="00B2429C"/>
    <w:rsid w:val="00B24373"/>
    <w:rsid w:val="00B24377"/>
    <w:rsid w:val="00B24E8B"/>
    <w:rsid w:val="00B261C0"/>
    <w:rsid w:val="00B27070"/>
    <w:rsid w:val="00B27B75"/>
    <w:rsid w:val="00B30032"/>
    <w:rsid w:val="00B304B1"/>
    <w:rsid w:val="00B30744"/>
    <w:rsid w:val="00B31427"/>
    <w:rsid w:val="00B3188F"/>
    <w:rsid w:val="00B32196"/>
    <w:rsid w:val="00B32425"/>
    <w:rsid w:val="00B324AD"/>
    <w:rsid w:val="00B3388F"/>
    <w:rsid w:val="00B33DB4"/>
    <w:rsid w:val="00B35894"/>
    <w:rsid w:val="00B35FCD"/>
    <w:rsid w:val="00B36413"/>
    <w:rsid w:val="00B364F4"/>
    <w:rsid w:val="00B40559"/>
    <w:rsid w:val="00B41599"/>
    <w:rsid w:val="00B4213D"/>
    <w:rsid w:val="00B42F85"/>
    <w:rsid w:val="00B4341A"/>
    <w:rsid w:val="00B43814"/>
    <w:rsid w:val="00B44FAD"/>
    <w:rsid w:val="00B450EE"/>
    <w:rsid w:val="00B46F2D"/>
    <w:rsid w:val="00B5008E"/>
    <w:rsid w:val="00B50510"/>
    <w:rsid w:val="00B50C99"/>
    <w:rsid w:val="00B51BDD"/>
    <w:rsid w:val="00B51DB5"/>
    <w:rsid w:val="00B52FCE"/>
    <w:rsid w:val="00B53BE6"/>
    <w:rsid w:val="00B55103"/>
    <w:rsid w:val="00B5663B"/>
    <w:rsid w:val="00B56975"/>
    <w:rsid w:val="00B56CA2"/>
    <w:rsid w:val="00B570E4"/>
    <w:rsid w:val="00B57345"/>
    <w:rsid w:val="00B6030F"/>
    <w:rsid w:val="00B607D8"/>
    <w:rsid w:val="00B60DD0"/>
    <w:rsid w:val="00B60E6E"/>
    <w:rsid w:val="00B61438"/>
    <w:rsid w:val="00B62B5F"/>
    <w:rsid w:val="00B633D2"/>
    <w:rsid w:val="00B639CC"/>
    <w:rsid w:val="00B63B92"/>
    <w:rsid w:val="00B64077"/>
    <w:rsid w:val="00B64C2A"/>
    <w:rsid w:val="00B64CD6"/>
    <w:rsid w:val="00B64D9C"/>
    <w:rsid w:val="00B65CD5"/>
    <w:rsid w:val="00B6636C"/>
    <w:rsid w:val="00B66513"/>
    <w:rsid w:val="00B665A2"/>
    <w:rsid w:val="00B6770D"/>
    <w:rsid w:val="00B714D7"/>
    <w:rsid w:val="00B719D7"/>
    <w:rsid w:val="00B7299A"/>
    <w:rsid w:val="00B74213"/>
    <w:rsid w:val="00B74F2F"/>
    <w:rsid w:val="00B758BE"/>
    <w:rsid w:val="00B75968"/>
    <w:rsid w:val="00B75C71"/>
    <w:rsid w:val="00B80565"/>
    <w:rsid w:val="00B82232"/>
    <w:rsid w:val="00B82260"/>
    <w:rsid w:val="00B824A8"/>
    <w:rsid w:val="00B8285C"/>
    <w:rsid w:val="00B83930"/>
    <w:rsid w:val="00B83E49"/>
    <w:rsid w:val="00B84B18"/>
    <w:rsid w:val="00B85AA1"/>
    <w:rsid w:val="00B85C98"/>
    <w:rsid w:val="00B85E60"/>
    <w:rsid w:val="00B862AE"/>
    <w:rsid w:val="00B8641E"/>
    <w:rsid w:val="00B86813"/>
    <w:rsid w:val="00B903D7"/>
    <w:rsid w:val="00B90409"/>
    <w:rsid w:val="00B90739"/>
    <w:rsid w:val="00B911D8"/>
    <w:rsid w:val="00B9135E"/>
    <w:rsid w:val="00B914AF"/>
    <w:rsid w:val="00B91703"/>
    <w:rsid w:val="00B9194A"/>
    <w:rsid w:val="00B91B1E"/>
    <w:rsid w:val="00B92657"/>
    <w:rsid w:val="00B92A5D"/>
    <w:rsid w:val="00B92F2D"/>
    <w:rsid w:val="00B92FA1"/>
    <w:rsid w:val="00B9311F"/>
    <w:rsid w:val="00B9325B"/>
    <w:rsid w:val="00B94156"/>
    <w:rsid w:val="00B941B0"/>
    <w:rsid w:val="00B94869"/>
    <w:rsid w:val="00B94C1C"/>
    <w:rsid w:val="00B959C0"/>
    <w:rsid w:val="00B966E7"/>
    <w:rsid w:val="00B97281"/>
    <w:rsid w:val="00B9746B"/>
    <w:rsid w:val="00B97531"/>
    <w:rsid w:val="00B9779D"/>
    <w:rsid w:val="00BA01A3"/>
    <w:rsid w:val="00BA1F97"/>
    <w:rsid w:val="00BA2D43"/>
    <w:rsid w:val="00BA2EA0"/>
    <w:rsid w:val="00BA3724"/>
    <w:rsid w:val="00BA398B"/>
    <w:rsid w:val="00BA55B8"/>
    <w:rsid w:val="00BA5E60"/>
    <w:rsid w:val="00BA6314"/>
    <w:rsid w:val="00BA6BAC"/>
    <w:rsid w:val="00BA7009"/>
    <w:rsid w:val="00BA70DD"/>
    <w:rsid w:val="00BA7C25"/>
    <w:rsid w:val="00BA7CDE"/>
    <w:rsid w:val="00BA7E89"/>
    <w:rsid w:val="00BB0119"/>
    <w:rsid w:val="00BB019C"/>
    <w:rsid w:val="00BB0647"/>
    <w:rsid w:val="00BB09E1"/>
    <w:rsid w:val="00BB0D01"/>
    <w:rsid w:val="00BB1B18"/>
    <w:rsid w:val="00BB1F8C"/>
    <w:rsid w:val="00BB2673"/>
    <w:rsid w:val="00BB29B2"/>
    <w:rsid w:val="00BB2B39"/>
    <w:rsid w:val="00BB2F32"/>
    <w:rsid w:val="00BB42F4"/>
    <w:rsid w:val="00BB4FF4"/>
    <w:rsid w:val="00BB5051"/>
    <w:rsid w:val="00BB6134"/>
    <w:rsid w:val="00BB6317"/>
    <w:rsid w:val="00BB6609"/>
    <w:rsid w:val="00BB674C"/>
    <w:rsid w:val="00BB68BA"/>
    <w:rsid w:val="00BB68F6"/>
    <w:rsid w:val="00BB706F"/>
    <w:rsid w:val="00BB70A9"/>
    <w:rsid w:val="00BB7772"/>
    <w:rsid w:val="00BB7934"/>
    <w:rsid w:val="00BB7BD3"/>
    <w:rsid w:val="00BC0593"/>
    <w:rsid w:val="00BC0D18"/>
    <w:rsid w:val="00BC22D3"/>
    <w:rsid w:val="00BC23E1"/>
    <w:rsid w:val="00BC2597"/>
    <w:rsid w:val="00BC378C"/>
    <w:rsid w:val="00BC3CB7"/>
    <w:rsid w:val="00BC5886"/>
    <w:rsid w:val="00BC589D"/>
    <w:rsid w:val="00BC60DE"/>
    <w:rsid w:val="00BC6B6B"/>
    <w:rsid w:val="00BC6C15"/>
    <w:rsid w:val="00BC6DC9"/>
    <w:rsid w:val="00BC7C21"/>
    <w:rsid w:val="00BD02E7"/>
    <w:rsid w:val="00BD0451"/>
    <w:rsid w:val="00BD08A4"/>
    <w:rsid w:val="00BD0C8B"/>
    <w:rsid w:val="00BD1180"/>
    <w:rsid w:val="00BD20B8"/>
    <w:rsid w:val="00BD27B0"/>
    <w:rsid w:val="00BD2DF3"/>
    <w:rsid w:val="00BD2EB1"/>
    <w:rsid w:val="00BD32A9"/>
    <w:rsid w:val="00BD35B9"/>
    <w:rsid w:val="00BD50E4"/>
    <w:rsid w:val="00BD517A"/>
    <w:rsid w:val="00BD5A60"/>
    <w:rsid w:val="00BD5FBE"/>
    <w:rsid w:val="00BD6138"/>
    <w:rsid w:val="00BD6CD8"/>
    <w:rsid w:val="00BD7DFC"/>
    <w:rsid w:val="00BE0140"/>
    <w:rsid w:val="00BE02E3"/>
    <w:rsid w:val="00BE03F4"/>
    <w:rsid w:val="00BE04F6"/>
    <w:rsid w:val="00BE05CC"/>
    <w:rsid w:val="00BE0C6E"/>
    <w:rsid w:val="00BE1AEA"/>
    <w:rsid w:val="00BE1C09"/>
    <w:rsid w:val="00BE2A0A"/>
    <w:rsid w:val="00BE48AA"/>
    <w:rsid w:val="00BE4C28"/>
    <w:rsid w:val="00BE4C66"/>
    <w:rsid w:val="00BE4D2B"/>
    <w:rsid w:val="00BE561B"/>
    <w:rsid w:val="00BE5C71"/>
    <w:rsid w:val="00BE5FC2"/>
    <w:rsid w:val="00BE61E0"/>
    <w:rsid w:val="00BE7AB1"/>
    <w:rsid w:val="00BE7B90"/>
    <w:rsid w:val="00BE7FC3"/>
    <w:rsid w:val="00BF0DDB"/>
    <w:rsid w:val="00BF1854"/>
    <w:rsid w:val="00BF1AFD"/>
    <w:rsid w:val="00BF2154"/>
    <w:rsid w:val="00BF22FE"/>
    <w:rsid w:val="00BF4FC9"/>
    <w:rsid w:val="00BF533C"/>
    <w:rsid w:val="00BF57B6"/>
    <w:rsid w:val="00BF5DEC"/>
    <w:rsid w:val="00BF612F"/>
    <w:rsid w:val="00BF68C9"/>
    <w:rsid w:val="00BF6A9F"/>
    <w:rsid w:val="00BF6E86"/>
    <w:rsid w:val="00C00534"/>
    <w:rsid w:val="00C0157D"/>
    <w:rsid w:val="00C018AA"/>
    <w:rsid w:val="00C01A63"/>
    <w:rsid w:val="00C0215C"/>
    <w:rsid w:val="00C02E74"/>
    <w:rsid w:val="00C04A91"/>
    <w:rsid w:val="00C05143"/>
    <w:rsid w:val="00C0597F"/>
    <w:rsid w:val="00C05DE0"/>
    <w:rsid w:val="00C0633A"/>
    <w:rsid w:val="00C06926"/>
    <w:rsid w:val="00C06A98"/>
    <w:rsid w:val="00C06FA3"/>
    <w:rsid w:val="00C116BF"/>
    <w:rsid w:val="00C11BC4"/>
    <w:rsid w:val="00C1230A"/>
    <w:rsid w:val="00C12E37"/>
    <w:rsid w:val="00C1350C"/>
    <w:rsid w:val="00C14510"/>
    <w:rsid w:val="00C14522"/>
    <w:rsid w:val="00C1651A"/>
    <w:rsid w:val="00C166BF"/>
    <w:rsid w:val="00C17B49"/>
    <w:rsid w:val="00C20633"/>
    <w:rsid w:val="00C20D30"/>
    <w:rsid w:val="00C20F91"/>
    <w:rsid w:val="00C21327"/>
    <w:rsid w:val="00C21355"/>
    <w:rsid w:val="00C2148F"/>
    <w:rsid w:val="00C21A1C"/>
    <w:rsid w:val="00C21BD0"/>
    <w:rsid w:val="00C21BF3"/>
    <w:rsid w:val="00C229A9"/>
    <w:rsid w:val="00C22A45"/>
    <w:rsid w:val="00C23120"/>
    <w:rsid w:val="00C24F6F"/>
    <w:rsid w:val="00C2536F"/>
    <w:rsid w:val="00C253F1"/>
    <w:rsid w:val="00C25E67"/>
    <w:rsid w:val="00C2600F"/>
    <w:rsid w:val="00C2642B"/>
    <w:rsid w:val="00C267F9"/>
    <w:rsid w:val="00C26E90"/>
    <w:rsid w:val="00C2726B"/>
    <w:rsid w:val="00C27550"/>
    <w:rsid w:val="00C275E7"/>
    <w:rsid w:val="00C27C6A"/>
    <w:rsid w:val="00C30636"/>
    <w:rsid w:val="00C329F5"/>
    <w:rsid w:val="00C3379C"/>
    <w:rsid w:val="00C33F7F"/>
    <w:rsid w:val="00C342F6"/>
    <w:rsid w:val="00C34AAB"/>
    <w:rsid w:val="00C3519D"/>
    <w:rsid w:val="00C35DB6"/>
    <w:rsid w:val="00C3611C"/>
    <w:rsid w:val="00C363D3"/>
    <w:rsid w:val="00C36B2E"/>
    <w:rsid w:val="00C36B5E"/>
    <w:rsid w:val="00C37940"/>
    <w:rsid w:val="00C37EB1"/>
    <w:rsid w:val="00C429BB"/>
    <w:rsid w:val="00C43B1A"/>
    <w:rsid w:val="00C43F46"/>
    <w:rsid w:val="00C448ED"/>
    <w:rsid w:val="00C456A7"/>
    <w:rsid w:val="00C466C9"/>
    <w:rsid w:val="00C46832"/>
    <w:rsid w:val="00C470DF"/>
    <w:rsid w:val="00C47484"/>
    <w:rsid w:val="00C47D59"/>
    <w:rsid w:val="00C50B47"/>
    <w:rsid w:val="00C53F15"/>
    <w:rsid w:val="00C5472E"/>
    <w:rsid w:val="00C54BCC"/>
    <w:rsid w:val="00C56A21"/>
    <w:rsid w:val="00C56B96"/>
    <w:rsid w:val="00C57DCD"/>
    <w:rsid w:val="00C60295"/>
    <w:rsid w:val="00C60EBB"/>
    <w:rsid w:val="00C61301"/>
    <w:rsid w:val="00C61734"/>
    <w:rsid w:val="00C61830"/>
    <w:rsid w:val="00C632C3"/>
    <w:rsid w:val="00C6368A"/>
    <w:rsid w:val="00C638E9"/>
    <w:rsid w:val="00C641DC"/>
    <w:rsid w:val="00C64432"/>
    <w:rsid w:val="00C6534E"/>
    <w:rsid w:val="00C659F8"/>
    <w:rsid w:val="00C6660B"/>
    <w:rsid w:val="00C66CB2"/>
    <w:rsid w:val="00C66D32"/>
    <w:rsid w:val="00C66F94"/>
    <w:rsid w:val="00C67F18"/>
    <w:rsid w:val="00C67F1A"/>
    <w:rsid w:val="00C7006B"/>
    <w:rsid w:val="00C70211"/>
    <w:rsid w:val="00C7292C"/>
    <w:rsid w:val="00C7435A"/>
    <w:rsid w:val="00C753E2"/>
    <w:rsid w:val="00C75C0A"/>
    <w:rsid w:val="00C76198"/>
    <w:rsid w:val="00C761AE"/>
    <w:rsid w:val="00C76C72"/>
    <w:rsid w:val="00C801F9"/>
    <w:rsid w:val="00C81E47"/>
    <w:rsid w:val="00C82D5D"/>
    <w:rsid w:val="00C8376B"/>
    <w:rsid w:val="00C840C9"/>
    <w:rsid w:val="00C84ABE"/>
    <w:rsid w:val="00C84B2C"/>
    <w:rsid w:val="00C84DA4"/>
    <w:rsid w:val="00C84F21"/>
    <w:rsid w:val="00C859FC"/>
    <w:rsid w:val="00C85C83"/>
    <w:rsid w:val="00C86371"/>
    <w:rsid w:val="00C86A95"/>
    <w:rsid w:val="00C86AAD"/>
    <w:rsid w:val="00C879D7"/>
    <w:rsid w:val="00C879E4"/>
    <w:rsid w:val="00C910F6"/>
    <w:rsid w:val="00C91257"/>
    <w:rsid w:val="00C9188F"/>
    <w:rsid w:val="00C91D1C"/>
    <w:rsid w:val="00C92258"/>
    <w:rsid w:val="00C92A65"/>
    <w:rsid w:val="00C935AF"/>
    <w:rsid w:val="00C94657"/>
    <w:rsid w:val="00C94BEE"/>
    <w:rsid w:val="00C94CCD"/>
    <w:rsid w:val="00C95B77"/>
    <w:rsid w:val="00C95D96"/>
    <w:rsid w:val="00C963C8"/>
    <w:rsid w:val="00CA0A4C"/>
    <w:rsid w:val="00CA13E0"/>
    <w:rsid w:val="00CA1570"/>
    <w:rsid w:val="00CA1B71"/>
    <w:rsid w:val="00CA1C0A"/>
    <w:rsid w:val="00CA1F68"/>
    <w:rsid w:val="00CA21B8"/>
    <w:rsid w:val="00CA3107"/>
    <w:rsid w:val="00CA3253"/>
    <w:rsid w:val="00CA3B72"/>
    <w:rsid w:val="00CA42B3"/>
    <w:rsid w:val="00CA44C8"/>
    <w:rsid w:val="00CA5883"/>
    <w:rsid w:val="00CA62A9"/>
    <w:rsid w:val="00CA6B30"/>
    <w:rsid w:val="00CA6E1A"/>
    <w:rsid w:val="00CA712B"/>
    <w:rsid w:val="00CA7882"/>
    <w:rsid w:val="00CA78E2"/>
    <w:rsid w:val="00CA7EF1"/>
    <w:rsid w:val="00CB0159"/>
    <w:rsid w:val="00CB0A46"/>
    <w:rsid w:val="00CB0AE0"/>
    <w:rsid w:val="00CB0E91"/>
    <w:rsid w:val="00CB234E"/>
    <w:rsid w:val="00CB2BA0"/>
    <w:rsid w:val="00CB317E"/>
    <w:rsid w:val="00CB37CE"/>
    <w:rsid w:val="00CB3E04"/>
    <w:rsid w:val="00CB422B"/>
    <w:rsid w:val="00CB440C"/>
    <w:rsid w:val="00CB479F"/>
    <w:rsid w:val="00CB5E6B"/>
    <w:rsid w:val="00CB70E7"/>
    <w:rsid w:val="00CB77A4"/>
    <w:rsid w:val="00CB7AA1"/>
    <w:rsid w:val="00CC0580"/>
    <w:rsid w:val="00CC177A"/>
    <w:rsid w:val="00CC17F7"/>
    <w:rsid w:val="00CC2795"/>
    <w:rsid w:val="00CC27BA"/>
    <w:rsid w:val="00CC3CD6"/>
    <w:rsid w:val="00CC3FF8"/>
    <w:rsid w:val="00CC40FD"/>
    <w:rsid w:val="00CC41C5"/>
    <w:rsid w:val="00CC4249"/>
    <w:rsid w:val="00CC5042"/>
    <w:rsid w:val="00CC534B"/>
    <w:rsid w:val="00CC5923"/>
    <w:rsid w:val="00CC61D8"/>
    <w:rsid w:val="00CC74DC"/>
    <w:rsid w:val="00CC7A52"/>
    <w:rsid w:val="00CD05E8"/>
    <w:rsid w:val="00CD156E"/>
    <w:rsid w:val="00CD2AB2"/>
    <w:rsid w:val="00CD2F85"/>
    <w:rsid w:val="00CD3595"/>
    <w:rsid w:val="00CD3A4F"/>
    <w:rsid w:val="00CD44DB"/>
    <w:rsid w:val="00CD44EC"/>
    <w:rsid w:val="00CD5FFF"/>
    <w:rsid w:val="00CD6817"/>
    <w:rsid w:val="00CD7056"/>
    <w:rsid w:val="00CD71CF"/>
    <w:rsid w:val="00CD7563"/>
    <w:rsid w:val="00CD79D4"/>
    <w:rsid w:val="00CD7B02"/>
    <w:rsid w:val="00CD7D91"/>
    <w:rsid w:val="00CE0591"/>
    <w:rsid w:val="00CE0C43"/>
    <w:rsid w:val="00CE17F4"/>
    <w:rsid w:val="00CE1853"/>
    <w:rsid w:val="00CE1CDB"/>
    <w:rsid w:val="00CE3273"/>
    <w:rsid w:val="00CE33F2"/>
    <w:rsid w:val="00CE3580"/>
    <w:rsid w:val="00CE458B"/>
    <w:rsid w:val="00CE4625"/>
    <w:rsid w:val="00CE5043"/>
    <w:rsid w:val="00CE53E8"/>
    <w:rsid w:val="00CE54D3"/>
    <w:rsid w:val="00CE5C10"/>
    <w:rsid w:val="00CE686F"/>
    <w:rsid w:val="00CE6F64"/>
    <w:rsid w:val="00CE7185"/>
    <w:rsid w:val="00CE7197"/>
    <w:rsid w:val="00CE71EE"/>
    <w:rsid w:val="00CF0F83"/>
    <w:rsid w:val="00CF18A3"/>
    <w:rsid w:val="00CF1A33"/>
    <w:rsid w:val="00CF1A57"/>
    <w:rsid w:val="00CF1CB9"/>
    <w:rsid w:val="00CF25FE"/>
    <w:rsid w:val="00CF2FB5"/>
    <w:rsid w:val="00CF32FF"/>
    <w:rsid w:val="00CF33FD"/>
    <w:rsid w:val="00CF478D"/>
    <w:rsid w:val="00CF599B"/>
    <w:rsid w:val="00CF6C70"/>
    <w:rsid w:val="00CF7FBD"/>
    <w:rsid w:val="00D01BB5"/>
    <w:rsid w:val="00D01D3D"/>
    <w:rsid w:val="00D022B6"/>
    <w:rsid w:val="00D02506"/>
    <w:rsid w:val="00D026C7"/>
    <w:rsid w:val="00D02779"/>
    <w:rsid w:val="00D03EB4"/>
    <w:rsid w:val="00D0431D"/>
    <w:rsid w:val="00D04358"/>
    <w:rsid w:val="00D0699D"/>
    <w:rsid w:val="00D06FAA"/>
    <w:rsid w:val="00D071ED"/>
    <w:rsid w:val="00D07CEE"/>
    <w:rsid w:val="00D1094F"/>
    <w:rsid w:val="00D113AD"/>
    <w:rsid w:val="00D125AB"/>
    <w:rsid w:val="00D12ECC"/>
    <w:rsid w:val="00D13517"/>
    <w:rsid w:val="00D13F3E"/>
    <w:rsid w:val="00D13FA1"/>
    <w:rsid w:val="00D1430E"/>
    <w:rsid w:val="00D145A1"/>
    <w:rsid w:val="00D147DA"/>
    <w:rsid w:val="00D14CEC"/>
    <w:rsid w:val="00D154FE"/>
    <w:rsid w:val="00D15537"/>
    <w:rsid w:val="00D159DC"/>
    <w:rsid w:val="00D16CA1"/>
    <w:rsid w:val="00D17198"/>
    <w:rsid w:val="00D17F17"/>
    <w:rsid w:val="00D2033A"/>
    <w:rsid w:val="00D20F51"/>
    <w:rsid w:val="00D219B0"/>
    <w:rsid w:val="00D22407"/>
    <w:rsid w:val="00D2291C"/>
    <w:rsid w:val="00D22B0D"/>
    <w:rsid w:val="00D22D0A"/>
    <w:rsid w:val="00D22F0E"/>
    <w:rsid w:val="00D241F7"/>
    <w:rsid w:val="00D24701"/>
    <w:rsid w:val="00D24A8A"/>
    <w:rsid w:val="00D24F26"/>
    <w:rsid w:val="00D24FEC"/>
    <w:rsid w:val="00D254DC"/>
    <w:rsid w:val="00D25F75"/>
    <w:rsid w:val="00D2621F"/>
    <w:rsid w:val="00D268B7"/>
    <w:rsid w:val="00D275B7"/>
    <w:rsid w:val="00D27BCA"/>
    <w:rsid w:val="00D27BD8"/>
    <w:rsid w:val="00D27FF7"/>
    <w:rsid w:val="00D30952"/>
    <w:rsid w:val="00D31592"/>
    <w:rsid w:val="00D31781"/>
    <w:rsid w:val="00D320B4"/>
    <w:rsid w:val="00D32823"/>
    <w:rsid w:val="00D328AC"/>
    <w:rsid w:val="00D33637"/>
    <w:rsid w:val="00D337B4"/>
    <w:rsid w:val="00D33812"/>
    <w:rsid w:val="00D339A7"/>
    <w:rsid w:val="00D33D17"/>
    <w:rsid w:val="00D33DA8"/>
    <w:rsid w:val="00D3476A"/>
    <w:rsid w:val="00D358AD"/>
    <w:rsid w:val="00D35F22"/>
    <w:rsid w:val="00D36181"/>
    <w:rsid w:val="00D3622A"/>
    <w:rsid w:val="00D36261"/>
    <w:rsid w:val="00D3668D"/>
    <w:rsid w:val="00D40231"/>
    <w:rsid w:val="00D4094B"/>
    <w:rsid w:val="00D40DEA"/>
    <w:rsid w:val="00D41560"/>
    <w:rsid w:val="00D41F1D"/>
    <w:rsid w:val="00D42116"/>
    <w:rsid w:val="00D4271B"/>
    <w:rsid w:val="00D42947"/>
    <w:rsid w:val="00D42989"/>
    <w:rsid w:val="00D42F0C"/>
    <w:rsid w:val="00D4311C"/>
    <w:rsid w:val="00D431B8"/>
    <w:rsid w:val="00D43ACB"/>
    <w:rsid w:val="00D4480F"/>
    <w:rsid w:val="00D44CA2"/>
    <w:rsid w:val="00D450D3"/>
    <w:rsid w:val="00D45E66"/>
    <w:rsid w:val="00D467DC"/>
    <w:rsid w:val="00D50E7D"/>
    <w:rsid w:val="00D50F9D"/>
    <w:rsid w:val="00D510A8"/>
    <w:rsid w:val="00D513D4"/>
    <w:rsid w:val="00D51825"/>
    <w:rsid w:val="00D51C00"/>
    <w:rsid w:val="00D51C1D"/>
    <w:rsid w:val="00D52AD8"/>
    <w:rsid w:val="00D53071"/>
    <w:rsid w:val="00D53335"/>
    <w:rsid w:val="00D54057"/>
    <w:rsid w:val="00D5431F"/>
    <w:rsid w:val="00D54A29"/>
    <w:rsid w:val="00D54C69"/>
    <w:rsid w:val="00D54E1A"/>
    <w:rsid w:val="00D54FC0"/>
    <w:rsid w:val="00D55EFC"/>
    <w:rsid w:val="00D55F96"/>
    <w:rsid w:val="00D564C1"/>
    <w:rsid w:val="00D56784"/>
    <w:rsid w:val="00D57627"/>
    <w:rsid w:val="00D57A98"/>
    <w:rsid w:val="00D615A9"/>
    <w:rsid w:val="00D6197D"/>
    <w:rsid w:val="00D629F9"/>
    <w:rsid w:val="00D62C98"/>
    <w:rsid w:val="00D62EC7"/>
    <w:rsid w:val="00D64237"/>
    <w:rsid w:val="00D64428"/>
    <w:rsid w:val="00D64674"/>
    <w:rsid w:val="00D65797"/>
    <w:rsid w:val="00D65F94"/>
    <w:rsid w:val="00D662DD"/>
    <w:rsid w:val="00D702F3"/>
    <w:rsid w:val="00D71799"/>
    <w:rsid w:val="00D71A08"/>
    <w:rsid w:val="00D71FE9"/>
    <w:rsid w:val="00D726BF"/>
    <w:rsid w:val="00D72C3A"/>
    <w:rsid w:val="00D7349C"/>
    <w:rsid w:val="00D7353A"/>
    <w:rsid w:val="00D73657"/>
    <w:rsid w:val="00D73852"/>
    <w:rsid w:val="00D744D6"/>
    <w:rsid w:val="00D74A0B"/>
    <w:rsid w:val="00D75B14"/>
    <w:rsid w:val="00D75FF0"/>
    <w:rsid w:val="00D771F9"/>
    <w:rsid w:val="00D77EF9"/>
    <w:rsid w:val="00D80793"/>
    <w:rsid w:val="00D808F9"/>
    <w:rsid w:val="00D809A3"/>
    <w:rsid w:val="00D81173"/>
    <w:rsid w:val="00D83013"/>
    <w:rsid w:val="00D83E42"/>
    <w:rsid w:val="00D84810"/>
    <w:rsid w:val="00D85649"/>
    <w:rsid w:val="00D85D1F"/>
    <w:rsid w:val="00D85E0A"/>
    <w:rsid w:val="00D85F30"/>
    <w:rsid w:val="00D860DF"/>
    <w:rsid w:val="00D863F4"/>
    <w:rsid w:val="00D8691B"/>
    <w:rsid w:val="00D86F5B"/>
    <w:rsid w:val="00D87B19"/>
    <w:rsid w:val="00D90119"/>
    <w:rsid w:val="00D908E7"/>
    <w:rsid w:val="00D90EBA"/>
    <w:rsid w:val="00D91A5A"/>
    <w:rsid w:val="00D91C74"/>
    <w:rsid w:val="00D92D50"/>
    <w:rsid w:val="00D932AF"/>
    <w:rsid w:val="00D9389C"/>
    <w:rsid w:val="00D93C82"/>
    <w:rsid w:val="00D94C9D"/>
    <w:rsid w:val="00D94E99"/>
    <w:rsid w:val="00D953F9"/>
    <w:rsid w:val="00D95F74"/>
    <w:rsid w:val="00D964C4"/>
    <w:rsid w:val="00D96A20"/>
    <w:rsid w:val="00D970C3"/>
    <w:rsid w:val="00D979CE"/>
    <w:rsid w:val="00DA01F8"/>
    <w:rsid w:val="00DA0E10"/>
    <w:rsid w:val="00DA117B"/>
    <w:rsid w:val="00DA225E"/>
    <w:rsid w:val="00DA2467"/>
    <w:rsid w:val="00DA2E8E"/>
    <w:rsid w:val="00DA54AD"/>
    <w:rsid w:val="00DA63BB"/>
    <w:rsid w:val="00DA722B"/>
    <w:rsid w:val="00DA75AB"/>
    <w:rsid w:val="00DA7C3A"/>
    <w:rsid w:val="00DA7E99"/>
    <w:rsid w:val="00DB14D2"/>
    <w:rsid w:val="00DB18AB"/>
    <w:rsid w:val="00DB254E"/>
    <w:rsid w:val="00DB2F56"/>
    <w:rsid w:val="00DB478E"/>
    <w:rsid w:val="00DB4B00"/>
    <w:rsid w:val="00DB5120"/>
    <w:rsid w:val="00DB5154"/>
    <w:rsid w:val="00DB51A0"/>
    <w:rsid w:val="00DB561A"/>
    <w:rsid w:val="00DB650C"/>
    <w:rsid w:val="00DC00A7"/>
    <w:rsid w:val="00DC264F"/>
    <w:rsid w:val="00DC3158"/>
    <w:rsid w:val="00DC3A21"/>
    <w:rsid w:val="00DC4334"/>
    <w:rsid w:val="00DC48DB"/>
    <w:rsid w:val="00DC5408"/>
    <w:rsid w:val="00DD2866"/>
    <w:rsid w:val="00DD3255"/>
    <w:rsid w:val="00DD448C"/>
    <w:rsid w:val="00DD4CE1"/>
    <w:rsid w:val="00DD4D9A"/>
    <w:rsid w:val="00DD5BEB"/>
    <w:rsid w:val="00DD6332"/>
    <w:rsid w:val="00DD63CF"/>
    <w:rsid w:val="00DD6842"/>
    <w:rsid w:val="00DD7316"/>
    <w:rsid w:val="00DD7459"/>
    <w:rsid w:val="00DD7876"/>
    <w:rsid w:val="00DE0A8B"/>
    <w:rsid w:val="00DE301C"/>
    <w:rsid w:val="00DE381D"/>
    <w:rsid w:val="00DE3E94"/>
    <w:rsid w:val="00DE41A1"/>
    <w:rsid w:val="00DE4EB2"/>
    <w:rsid w:val="00DE5AD0"/>
    <w:rsid w:val="00DE5ECC"/>
    <w:rsid w:val="00DE7601"/>
    <w:rsid w:val="00DF07F1"/>
    <w:rsid w:val="00DF0D41"/>
    <w:rsid w:val="00DF0D70"/>
    <w:rsid w:val="00DF1397"/>
    <w:rsid w:val="00DF1F7A"/>
    <w:rsid w:val="00DF212C"/>
    <w:rsid w:val="00DF2800"/>
    <w:rsid w:val="00DF294E"/>
    <w:rsid w:val="00DF36D8"/>
    <w:rsid w:val="00DF42A4"/>
    <w:rsid w:val="00DF4480"/>
    <w:rsid w:val="00DF51EC"/>
    <w:rsid w:val="00DF584C"/>
    <w:rsid w:val="00DF590D"/>
    <w:rsid w:val="00DF607F"/>
    <w:rsid w:val="00DF7304"/>
    <w:rsid w:val="00E0015A"/>
    <w:rsid w:val="00E00921"/>
    <w:rsid w:val="00E01756"/>
    <w:rsid w:val="00E02396"/>
    <w:rsid w:val="00E0278B"/>
    <w:rsid w:val="00E04290"/>
    <w:rsid w:val="00E04392"/>
    <w:rsid w:val="00E0441A"/>
    <w:rsid w:val="00E04549"/>
    <w:rsid w:val="00E045D0"/>
    <w:rsid w:val="00E0488B"/>
    <w:rsid w:val="00E06C56"/>
    <w:rsid w:val="00E06E83"/>
    <w:rsid w:val="00E07063"/>
    <w:rsid w:val="00E07342"/>
    <w:rsid w:val="00E07B62"/>
    <w:rsid w:val="00E07BD3"/>
    <w:rsid w:val="00E104CB"/>
    <w:rsid w:val="00E111C2"/>
    <w:rsid w:val="00E1120C"/>
    <w:rsid w:val="00E11350"/>
    <w:rsid w:val="00E12248"/>
    <w:rsid w:val="00E12339"/>
    <w:rsid w:val="00E12B17"/>
    <w:rsid w:val="00E12B50"/>
    <w:rsid w:val="00E134ED"/>
    <w:rsid w:val="00E13AD1"/>
    <w:rsid w:val="00E13E6A"/>
    <w:rsid w:val="00E14138"/>
    <w:rsid w:val="00E14F75"/>
    <w:rsid w:val="00E150BE"/>
    <w:rsid w:val="00E16AC1"/>
    <w:rsid w:val="00E17D79"/>
    <w:rsid w:val="00E2068F"/>
    <w:rsid w:val="00E20E1B"/>
    <w:rsid w:val="00E223C8"/>
    <w:rsid w:val="00E2256E"/>
    <w:rsid w:val="00E22E33"/>
    <w:rsid w:val="00E237A6"/>
    <w:rsid w:val="00E257E5"/>
    <w:rsid w:val="00E25F23"/>
    <w:rsid w:val="00E264FA"/>
    <w:rsid w:val="00E2692B"/>
    <w:rsid w:val="00E26FE1"/>
    <w:rsid w:val="00E271C4"/>
    <w:rsid w:val="00E2720E"/>
    <w:rsid w:val="00E30471"/>
    <w:rsid w:val="00E30616"/>
    <w:rsid w:val="00E30EA3"/>
    <w:rsid w:val="00E3178A"/>
    <w:rsid w:val="00E318AD"/>
    <w:rsid w:val="00E320A6"/>
    <w:rsid w:val="00E32DB9"/>
    <w:rsid w:val="00E33EC8"/>
    <w:rsid w:val="00E34238"/>
    <w:rsid w:val="00E346E5"/>
    <w:rsid w:val="00E34DE7"/>
    <w:rsid w:val="00E35412"/>
    <w:rsid w:val="00E35D02"/>
    <w:rsid w:val="00E36012"/>
    <w:rsid w:val="00E367C2"/>
    <w:rsid w:val="00E36D30"/>
    <w:rsid w:val="00E37DF1"/>
    <w:rsid w:val="00E37E03"/>
    <w:rsid w:val="00E40549"/>
    <w:rsid w:val="00E4277C"/>
    <w:rsid w:val="00E42867"/>
    <w:rsid w:val="00E42878"/>
    <w:rsid w:val="00E4499B"/>
    <w:rsid w:val="00E44E07"/>
    <w:rsid w:val="00E458F8"/>
    <w:rsid w:val="00E459E1"/>
    <w:rsid w:val="00E45A08"/>
    <w:rsid w:val="00E46ADF"/>
    <w:rsid w:val="00E51A96"/>
    <w:rsid w:val="00E51D3F"/>
    <w:rsid w:val="00E521C2"/>
    <w:rsid w:val="00E52676"/>
    <w:rsid w:val="00E52682"/>
    <w:rsid w:val="00E531F4"/>
    <w:rsid w:val="00E537DE"/>
    <w:rsid w:val="00E5380B"/>
    <w:rsid w:val="00E5452E"/>
    <w:rsid w:val="00E55135"/>
    <w:rsid w:val="00E554B8"/>
    <w:rsid w:val="00E56AB5"/>
    <w:rsid w:val="00E57376"/>
    <w:rsid w:val="00E61009"/>
    <w:rsid w:val="00E61168"/>
    <w:rsid w:val="00E614C2"/>
    <w:rsid w:val="00E61654"/>
    <w:rsid w:val="00E6243D"/>
    <w:rsid w:val="00E62701"/>
    <w:rsid w:val="00E629D5"/>
    <w:rsid w:val="00E63337"/>
    <w:rsid w:val="00E654EC"/>
    <w:rsid w:val="00E67324"/>
    <w:rsid w:val="00E6742F"/>
    <w:rsid w:val="00E70917"/>
    <w:rsid w:val="00E709C6"/>
    <w:rsid w:val="00E715B1"/>
    <w:rsid w:val="00E71886"/>
    <w:rsid w:val="00E7202E"/>
    <w:rsid w:val="00E7234B"/>
    <w:rsid w:val="00E72861"/>
    <w:rsid w:val="00E72B5C"/>
    <w:rsid w:val="00E731EC"/>
    <w:rsid w:val="00E73B09"/>
    <w:rsid w:val="00E73C29"/>
    <w:rsid w:val="00E73E9C"/>
    <w:rsid w:val="00E74052"/>
    <w:rsid w:val="00E74876"/>
    <w:rsid w:val="00E7494D"/>
    <w:rsid w:val="00E74ED9"/>
    <w:rsid w:val="00E7594D"/>
    <w:rsid w:val="00E775E1"/>
    <w:rsid w:val="00E801D3"/>
    <w:rsid w:val="00E809AA"/>
    <w:rsid w:val="00E80FFF"/>
    <w:rsid w:val="00E82217"/>
    <w:rsid w:val="00E823BD"/>
    <w:rsid w:val="00E827D8"/>
    <w:rsid w:val="00E82CFF"/>
    <w:rsid w:val="00E843AA"/>
    <w:rsid w:val="00E8473D"/>
    <w:rsid w:val="00E8477C"/>
    <w:rsid w:val="00E848AB"/>
    <w:rsid w:val="00E859BA"/>
    <w:rsid w:val="00E867B3"/>
    <w:rsid w:val="00E9041C"/>
    <w:rsid w:val="00E90A55"/>
    <w:rsid w:val="00E91611"/>
    <w:rsid w:val="00E91984"/>
    <w:rsid w:val="00E9286D"/>
    <w:rsid w:val="00E928C0"/>
    <w:rsid w:val="00E928C6"/>
    <w:rsid w:val="00E92A80"/>
    <w:rsid w:val="00E94AB2"/>
    <w:rsid w:val="00E95120"/>
    <w:rsid w:val="00E95950"/>
    <w:rsid w:val="00E968BE"/>
    <w:rsid w:val="00E96B8F"/>
    <w:rsid w:val="00E970AD"/>
    <w:rsid w:val="00E975F8"/>
    <w:rsid w:val="00EA0B1E"/>
    <w:rsid w:val="00EA15A3"/>
    <w:rsid w:val="00EA211D"/>
    <w:rsid w:val="00EA2B1B"/>
    <w:rsid w:val="00EA3F89"/>
    <w:rsid w:val="00EA59BE"/>
    <w:rsid w:val="00EA5EEF"/>
    <w:rsid w:val="00EA7B71"/>
    <w:rsid w:val="00EA7EC4"/>
    <w:rsid w:val="00EB035D"/>
    <w:rsid w:val="00EB080B"/>
    <w:rsid w:val="00EB08EF"/>
    <w:rsid w:val="00EB094C"/>
    <w:rsid w:val="00EB0BC2"/>
    <w:rsid w:val="00EB1899"/>
    <w:rsid w:val="00EB25BC"/>
    <w:rsid w:val="00EB28C6"/>
    <w:rsid w:val="00EB2BD6"/>
    <w:rsid w:val="00EB2F58"/>
    <w:rsid w:val="00EB3226"/>
    <w:rsid w:val="00EB3966"/>
    <w:rsid w:val="00EB4317"/>
    <w:rsid w:val="00EB4373"/>
    <w:rsid w:val="00EB4FDF"/>
    <w:rsid w:val="00EB53FB"/>
    <w:rsid w:val="00EB5DDC"/>
    <w:rsid w:val="00EB7993"/>
    <w:rsid w:val="00EB7C3A"/>
    <w:rsid w:val="00EB7E71"/>
    <w:rsid w:val="00EB7F86"/>
    <w:rsid w:val="00EC054B"/>
    <w:rsid w:val="00EC19AF"/>
    <w:rsid w:val="00EC1B14"/>
    <w:rsid w:val="00EC1DDC"/>
    <w:rsid w:val="00EC1F92"/>
    <w:rsid w:val="00EC20BF"/>
    <w:rsid w:val="00EC269F"/>
    <w:rsid w:val="00EC2B03"/>
    <w:rsid w:val="00EC3812"/>
    <w:rsid w:val="00EC41ED"/>
    <w:rsid w:val="00EC42BF"/>
    <w:rsid w:val="00EC4CCC"/>
    <w:rsid w:val="00EC510B"/>
    <w:rsid w:val="00EC6DE9"/>
    <w:rsid w:val="00EC7A3C"/>
    <w:rsid w:val="00EC7DB0"/>
    <w:rsid w:val="00ED025B"/>
    <w:rsid w:val="00ED0577"/>
    <w:rsid w:val="00ED0A1A"/>
    <w:rsid w:val="00ED0D1B"/>
    <w:rsid w:val="00ED31E3"/>
    <w:rsid w:val="00ED3379"/>
    <w:rsid w:val="00ED3D09"/>
    <w:rsid w:val="00ED4561"/>
    <w:rsid w:val="00ED4C09"/>
    <w:rsid w:val="00ED5958"/>
    <w:rsid w:val="00ED6226"/>
    <w:rsid w:val="00ED68D0"/>
    <w:rsid w:val="00ED7304"/>
    <w:rsid w:val="00ED7B5A"/>
    <w:rsid w:val="00EE0441"/>
    <w:rsid w:val="00EE14E5"/>
    <w:rsid w:val="00EE1C6F"/>
    <w:rsid w:val="00EE215C"/>
    <w:rsid w:val="00EE22CD"/>
    <w:rsid w:val="00EE3053"/>
    <w:rsid w:val="00EE39EB"/>
    <w:rsid w:val="00EE4664"/>
    <w:rsid w:val="00EE4688"/>
    <w:rsid w:val="00EE4BC5"/>
    <w:rsid w:val="00EE5103"/>
    <w:rsid w:val="00EE569D"/>
    <w:rsid w:val="00EE5732"/>
    <w:rsid w:val="00EE6BA5"/>
    <w:rsid w:val="00EE7322"/>
    <w:rsid w:val="00EF0BB7"/>
    <w:rsid w:val="00EF1244"/>
    <w:rsid w:val="00EF1A47"/>
    <w:rsid w:val="00EF207B"/>
    <w:rsid w:val="00EF2E30"/>
    <w:rsid w:val="00EF3801"/>
    <w:rsid w:val="00EF63CC"/>
    <w:rsid w:val="00EF683A"/>
    <w:rsid w:val="00EF6B46"/>
    <w:rsid w:val="00EF7FAA"/>
    <w:rsid w:val="00F00EE6"/>
    <w:rsid w:val="00F015C9"/>
    <w:rsid w:val="00F01819"/>
    <w:rsid w:val="00F02407"/>
    <w:rsid w:val="00F037A2"/>
    <w:rsid w:val="00F03ABC"/>
    <w:rsid w:val="00F03EC3"/>
    <w:rsid w:val="00F04849"/>
    <w:rsid w:val="00F04BAF"/>
    <w:rsid w:val="00F060F3"/>
    <w:rsid w:val="00F06C3E"/>
    <w:rsid w:val="00F07E79"/>
    <w:rsid w:val="00F10C4A"/>
    <w:rsid w:val="00F110EE"/>
    <w:rsid w:val="00F11177"/>
    <w:rsid w:val="00F12386"/>
    <w:rsid w:val="00F13D61"/>
    <w:rsid w:val="00F14AAD"/>
    <w:rsid w:val="00F14B86"/>
    <w:rsid w:val="00F14C8E"/>
    <w:rsid w:val="00F1692B"/>
    <w:rsid w:val="00F16C05"/>
    <w:rsid w:val="00F16EB6"/>
    <w:rsid w:val="00F16F2F"/>
    <w:rsid w:val="00F174B7"/>
    <w:rsid w:val="00F17898"/>
    <w:rsid w:val="00F17B0E"/>
    <w:rsid w:val="00F20351"/>
    <w:rsid w:val="00F21EBB"/>
    <w:rsid w:val="00F22B2B"/>
    <w:rsid w:val="00F23204"/>
    <w:rsid w:val="00F23643"/>
    <w:rsid w:val="00F2364F"/>
    <w:rsid w:val="00F23AFA"/>
    <w:rsid w:val="00F23C99"/>
    <w:rsid w:val="00F23EF0"/>
    <w:rsid w:val="00F24617"/>
    <w:rsid w:val="00F248C7"/>
    <w:rsid w:val="00F25E81"/>
    <w:rsid w:val="00F26C6E"/>
    <w:rsid w:val="00F30398"/>
    <w:rsid w:val="00F30743"/>
    <w:rsid w:val="00F311C1"/>
    <w:rsid w:val="00F31363"/>
    <w:rsid w:val="00F3186A"/>
    <w:rsid w:val="00F31EA6"/>
    <w:rsid w:val="00F32685"/>
    <w:rsid w:val="00F32820"/>
    <w:rsid w:val="00F333F2"/>
    <w:rsid w:val="00F334A3"/>
    <w:rsid w:val="00F33A85"/>
    <w:rsid w:val="00F33A94"/>
    <w:rsid w:val="00F34640"/>
    <w:rsid w:val="00F348FE"/>
    <w:rsid w:val="00F34F34"/>
    <w:rsid w:val="00F3516E"/>
    <w:rsid w:val="00F3645B"/>
    <w:rsid w:val="00F36550"/>
    <w:rsid w:val="00F367DF"/>
    <w:rsid w:val="00F36AC9"/>
    <w:rsid w:val="00F36DF9"/>
    <w:rsid w:val="00F37105"/>
    <w:rsid w:val="00F407BB"/>
    <w:rsid w:val="00F41895"/>
    <w:rsid w:val="00F41AA2"/>
    <w:rsid w:val="00F425F1"/>
    <w:rsid w:val="00F42D2B"/>
    <w:rsid w:val="00F43190"/>
    <w:rsid w:val="00F43520"/>
    <w:rsid w:val="00F44245"/>
    <w:rsid w:val="00F4494E"/>
    <w:rsid w:val="00F450B5"/>
    <w:rsid w:val="00F456CC"/>
    <w:rsid w:val="00F459CF"/>
    <w:rsid w:val="00F45BF6"/>
    <w:rsid w:val="00F460E3"/>
    <w:rsid w:val="00F47306"/>
    <w:rsid w:val="00F4741F"/>
    <w:rsid w:val="00F50590"/>
    <w:rsid w:val="00F5107D"/>
    <w:rsid w:val="00F510BB"/>
    <w:rsid w:val="00F515E4"/>
    <w:rsid w:val="00F528A9"/>
    <w:rsid w:val="00F52C1B"/>
    <w:rsid w:val="00F52C8E"/>
    <w:rsid w:val="00F530EE"/>
    <w:rsid w:val="00F531A7"/>
    <w:rsid w:val="00F5454C"/>
    <w:rsid w:val="00F55771"/>
    <w:rsid w:val="00F56B43"/>
    <w:rsid w:val="00F56D43"/>
    <w:rsid w:val="00F56F8E"/>
    <w:rsid w:val="00F571ED"/>
    <w:rsid w:val="00F575DF"/>
    <w:rsid w:val="00F575E2"/>
    <w:rsid w:val="00F575EE"/>
    <w:rsid w:val="00F618A9"/>
    <w:rsid w:val="00F61BB5"/>
    <w:rsid w:val="00F62B14"/>
    <w:rsid w:val="00F6346C"/>
    <w:rsid w:val="00F640AA"/>
    <w:rsid w:val="00F64C4C"/>
    <w:rsid w:val="00F656B3"/>
    <w:rsid w:val="00F6622D"/>
    <w:rsid w:val="00F706A9"/>
    <w:rsid w:val="00F708B2"/>
    <w:rsid w:val="00F70C2F"/>
    <w:rsid w:val="00F70E8A"/>
    <w:rsid w:val="00F71B48"/>
    <w:rsid w:val="00F71BE0"/>
    <w:rsid w:val="00F72229"/>
    <w:rsid w:val="00F725F3"/>
    <w:rsid w:val="00F72B6C"/>
    <w:rsid w:val="00F74275"/>
    <w:rsid w:val="00F74939"/>
    <w:rsid w:val="00F74AD6"/>
    <w:rsid w:val="00F75379"/>
    <w:rsid w:val="00F764C0"/>
    <w:rsid w:val="00F7665C"/>
    <w:rsid w:val="00F773C6"/>
    <w:rsid w:val="00F77A07"/>
    <w:rsid w:val="00F77AA0"/>
    <w:rsid w:val="00F801A9"/>
    <w:rsid w:val="00F805F2"/>
    <w:rsid w:val="00F80BEC"/>
    <w:rsid w:val="00F8112A"/>
    <w:rsid w:val="00F81272"/>
    <w:rsid w:val="00F81504"/>
    <w:rsid w:val="00F81A21"/>
    <w:rsid w:val="00F81D61"/>
    <w:rsid w:val="00F820F0"/>
    <w:rsid w:val="00F821C3"/>
    <w:rsid w:val="00F82C2A"/>
    <w:rsid w:val="00F8389D"/>
    <w:rsid w:val="00F8542D"/>
    <w:rsid w:val="00F85A20"/>
    <w:rsid w:val="00F86259"/>
    <w:rsid w:val="00F86918"/>
    <w:rsid w:val="00F86BC4"/>
    <w:rsid w:val="00F86C94"/>
    <w:rsid w:val="00F86E95"/>
    <w:rsid w:val="00F878CE"/>
    <w:rsid w:val="00F87A6F"/>
    <w:rsid w:val="00F87FB4"/>
    <w:rsid w:val="00F905A2"/>
    <w:rsid w:val="00F909A3"/>
    <w:rsid w:val="00F91F31"/>
    <w:rsid w:val="00F93CE1"/>
    <w:rsid w:val="00F94E70"/>
    <w:rsid w:val="00F957DF"/>
    <w:rsid w:val="00F95AAA"/>
    <w:rsid w:val="00F95B9B"/>
    <w:rsid w:val="00F95ECA"/>
    <w:rsid w:val="00F963DD"/>
    <w:rsid w:val="00F963F7"/>
    <w:rsid w:val="00F96671"/>
    <w:rsid w:val="00F96744"/>
    <w:rsid w:val="00F96DFB"/>
    <w:rsid w:val="00FA021E"/>
    <w:rsid w:val="00FA0EC0"/>
    <w:rsid w:val="00FA123B"/>
    <w:rsid w:val="00FA1304"/>
    <w:rsid w:val="00FA261C"/>
    <w:rsid w:val="00FA2B55"/>
    <w:rsid w:val="00FA3589"/>
    <w:rsid w:val="00FA387A"/>
    <w:rsid w:val="00FA3AE4"/>
    <w:rsid w:val="00FA3E9D"/>
    <w:rsid w:val="00FA40EE"/>
    <w:rsid w:val="00FA4128"/>
    <w:rsid w:val="00FA4421"/>
    <w:rsid w:val="00FA48D4"/>
    <w:rsid w:val="00FA5741"/>
    <w:rsid w:val="00FA59D5"/>
    <w:rsid w:val="00FA5F3E"/>
    <w:rsid w:val="00FA6263"/>
    <w:rsid w:val="00FA64E7"/>
    <w:rsid w:val="00FA68A9"/>
    <w:rsid w:val="00FA699C"/>
    <w:rsid w:val="00FA790B"/>
    <w:rsid w:val="00FB069F"/>
    <w:rsid w:val="00FB12A3"/>
    <w:rsid w:val="00FB232D"/>
    <w:rsid w:val="00FB2A4A"/>
    <w:rsid w:val="00FB309A"/>
    <w:rsid w:val="00FB42C5"/>
    <w:rsid w:val="00FB4698"/>
    <w:rsid w:val="00FB4A07"/>
    <w:rsid w:val="00FB4B30"/>
    <w:rsid w:val="00FB4F58"/>
    <w:rsid w:val="00FB55EC"/>
    <w:rsid w:val="00FB7540"/>
    <w:rsid w:val="00FB7E22"/>
    <w:rsid w:val="00FC0BD8"/>
    <w:rsid w:val="00FC1466"/>
    <w:rsid w:val="00FC2245"/>
    <w:rsid w:val="00FC2650"/>
    <w:rsid w:val="00FC323F"/>
    <w:rsid w:val="00FC3358"/>
    <w:rsid w:val="00FC3384"/>
    <w:rsid w:val="00FC385F"/>
    <w:rsid w:val="00FC5AA2"/>
    <w:rsid w:val="00FC6508"/>
    <w:rsid w:val="00FC6682"/>
    <w:rsid w:val="00FC6B2E"/>
    <w:rsid w:val="00FC6D61"/>
    <w:rsid w:val="00FC7147"/>
    <w:rsid w:val="00FC7232"/>
    <w:rsid w:val="00FC7885"/>
    <w:rsid w:val="00FC791B"/>
    <w:rsid w:val="00FD1838"/>
    <w:rsid w:val="00FD1A9E"/>
    <w:rsid w:val="00FD1B8E"/>
    <w:rsid w:val="00FD2603"/>
    <w:rsid w:val="00FD28A2"/>
    <w:rsid w:val="00FD65D8"/>
    <w:rsid w:val="00FD6E72"/>
    <w:rsid w:val="00FD72FD"/>
    <w:rsid w:val="00FD7CF2"/>
    <w:rsid w:val="00FD7FE0"/>
    <w:rsid w:val="00FE0936"/>
    <w:rsid w:val="00FE0B95"/>
    <w:rsid w:val="00FE1604"/>
    <w:rsid w:val="00FE1FA8"/>
    <w:rsid w:val="00FE28CC"/>
    <w:rsid w:val="00FE2D1C"/>
    <w:rsid w:val="00FE301D"/>
    <w:rsid w:val="00FE33C2"/>
    <w:rsid w:val="00FE3DB1"/>
    <w:rsid w:val="00FE408D"/>
    <w:rsid w:val="00FE56C6"/>
    <w:rsid w:val="00FE5DBD"/>
    <w:rsid w:val="00FE5F00"/>
    <w:rsid w:val="00FE608B"/>
    <w:rsid w:val="00FE620A"/>
    <w:rsid w:val="00FE6D59"/>
    <w:rsid w:val="00FE6DC0"/>
    <w:rsid w:val="00FE7CAF"/>
    <w:rsid w:val="00FE7E49"/>
    <w:rsid w:val="00FF21A0"/>
    <w:rsid w:val="00FF2432"/>
    <w:rsid w:val="00FF2BB9"/>
    <w:rsid w:val="00FF35E0"/>
    <w:rsid w:val="00FF4194"/>
    <w:rsid w:val="00FF4907"/>
    <w:rsid w:val="00FF4B7F"/>
    <w:rsid w:val="00FF5979"/>
    <w:rsid w:val="00FF63CD"/>
    <w:rsid w:val="00FF6455"/>
    <w:rsid w:val="00FF650B"/>
    <w:rsid w:val="00FF6832"/>
    <w:rsid w:val="00FF6D35"/>
    <w:rsid w:val="00FF6FC8"/>
    <w:rsid w:val="00FF7525"/>
    <w:rsid w:val="00FF7C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A36"/>
    <w:rPr>
      <w:lang w:val="es-ES_tradnl"/>
    </w:rPr>
  </w:style>
  <w:style w:type="paragraph" w:styleId="Ttulo1">
    <w:name w:val="heading 1"/>
    <w:basedOn w:val="Normal"/>
    <w:next w:val="Normal"/>
    <w:qFormat/>
    <w:pPr>
      <w:keepNext/>
      <w:framePr w:w="3870" w:h="348" w:hSpace="141" w:wrap="around" w:vAnchor="text" w:hAnchor="page" w:x="6784" w:y="128"/>
      <w:outlineLvl w:val="0"/>
    </w:pPr>
    <w:rPr>
      <w:rFonts w:ascii="Lucida Sans" w:hAnsi="Lucida Sans"/>
      <w:b/>
      <w:color w:val="808080"/>
      <w:sz w:val="28"/>
      <w:szCs w:val="28"/>
    </w:rPr>
  </w:style>
  <w:style w:type="paragraph" w:styleId="Ttulo2">
    <w:name w:val="heading 2"/>
    <w:basedOn w:val="Normal"/>
    <w:next w:val="Normal"/>
    <w:qFormat/>
    <w:pPr>
      <w:keepNext/>
      <w:tabs>
        <w:tab w:val="right" w:pos="8222"/>
      </w:tabs>
      <w:ind w:left="3402" w:right="992"/>
      <w:jc w:val="both"/>
      <w:outlineLvl w:val="1"/>
    </w:pPr>
    <w:rPr>
      <w:b/>
      <w:sz w:val="24"/>
    </w:rPr>
  </w:style>
  <w:style w:type="paragraph" w:styleId="Ttulo3">
    <w:name w:val="heading 3"/>
    <w:basedOn w:val="Normal"/>
    <w:next w:val="Normal"/>
    <w:qFormat/>
    <w:pPr>
      <w:keepNext/>
      <w:tabs>
        <w:tab w:val="center" w:pos="1843"/>
        <w:tab w:val="center" w:pos="5387"/>
        <w:tab w:val="center" w:pos="5812"/>
        <w:tab w:val="left" w:pos="7655"/>
      </w:tabs>
      <w:ind w:left="426"/>
      <w:jc w:val="both"/>
      <w:outlineLvl w:val="2"/>
    </w:pPr>
    <w:rPr>
      <w:sz w:val="24"/>
    </w:rPr>
  </w:style>
  <w:style w:type="paragraph" w:styleId="Ttulo4">
    <w:name w:val="heading 4"/>
    <w:basedOn w:val="Normal"/>
    <w:next w:val="Normal"/>
    <w:qFormat/>
    <w:pPr>
      <w:keepNext/>
      <w:outlineLvl w:val="3"/>
    </w:pPr>
    <w:rPr>
      <w:sz w:val="24"/>
    </w:rPr>
  </w:style>
  <w:style w:type="paragraph" w:styleId="Ttulo5">
    <w:name w:val="heading 5"/>
    <w:basedOn w:val="Normal"/>
    <w:next w:val="Normal"/>
    <w:qFormat/>
    <w:pPr>
      <w:keepNext/>
      <w:tabs>
        <w:tab w:val="center" w:pos="1843"/>
        <w:tab w:val="center" w:pos="5671"/>
        <w:tab w:val="center" w:pos="7797"/>
      </w:tabs>
      <w:overflowPunct w:val="0"/>
      <w:autoSpaceDE w:val="0"/>
      <w:autoSpaceDN w:val="0"/>
      <w:adjustRightInd w:val="0"/>
      <w:ind w:firstLine="567"/>
      <w:jc w:val="both"/>
      <w:textAlignment w:val="baseline"/>
      <w:outlineLvl w:val="4"/>
    </w:pPr>
    <w:rPr>
      <w:bCs/>
      <w:sz w:val="28"/>
    </w:rPr>
  </w:style>
  <w:style w:type="paragraph" w:styleId="Ttulo6">
    <w:name w:val="heading 6"/>
    <w:basedOn w:val="Normal"/>
    <w:next w:val="Normal"/>
    <w:qFormat/>
    <w:pPr>
      <w:keepNext/>
      <w:tabs>
        <w:tab w:val="right" w:pos="8364"/>
      </w:tabs>
      <w:overflowPunct w:val="0"/>
      <w:autoSpaceDE w:val="0"/>
      <w:autoSpaceDN w:val="0"/>
      <w:adjustRightInd w:val="0"/>
      <w:spacing w:before="240"/>
      <w:ind w:left="567" w:right="992"/>
      <w:jc w:val="both"/>
      <w:textAlignment w:val="baseline"/>
      <w:outlineLvl w:val="5"/>
    </w:pPr>
    <w:rPr>
      <w:sz w:val="24"/>
    </w:rPr>
  </w:style>
  <w:style w:type="paragraph" w:styleId="Ttulo7">
    <w:name w:val="heading 7"/>
    <w:basedOn w:val="Normal"/>
    <w:next w:val="Normal"/>
    <w:qFormat/>
    <w:pPr>
      <w:keepNext/>
      <w:tabs>
        <w:tab w:val="left" w:pos="1985"/>
        <w:tab w:val="right" w:pos="8364"/>
      </w:tabs>
      <w:overflowPunct w:val="0"/>
      <w:autoSpaceDE w:val="0"/>
      <w:autoSpaceDN w:val="0"/>
      <w:adjustRightInd w:val="0"/>
      <w:spacing w:before="360"/>
      <w:ind w:left="851"/>
      <w:jc w:val="both"/>
      <w:textAlignment w:val="baseline"/>
      <w:outlineLvl w:val="6"/>
    </w:pPr>
    <w:rPr>
      <w:sz w:val="24"/>
    </w:rPr>
  </w:style>
  <w:style w:type="paragraph" w:styleId="Ttulo8">
    <w:name w:val="heading 8"/>
    <w:basedOn w:val="Normal"/>
    <w:next w:val="Normal"/>
    <w:qFormat/>
    <w:pPr>
      <w:keepNext/>
      <w:tabs>
        <w:tab w:val="right" w:pos="8364"/>
      </w:tabs>
      <w:spacing w:before="120"/>
      <w:ind w:left="567" w:right="426"/>
      <w:jc w:val="both"/>
      <w:outlineLvl w:val="7"/>
    </w:pPr>
    <w:rPr>
      <w:bCs/>
      <w:sz w:val="24"/>
    </w:rPr>
  </w:style>
  <w:style w:type="paragraph" w:styleId="Ttulo9">
    <w:name w:val="heading 9"/>
    <w:basedOn w:val="Normal"/>
    <w:next w:val="Normal"/>
    <w:qFormat/>
    <w:pPr>
      <w:keepNext/>
      <w:tabs>
        <w:tab w:val="right" w:pos="8222"/>
      </w:tabs>
      <w:overflowPunct w:val="0"/>
      <w:autoSpaceDE w:val="0"/>
      <w:autoSpaceDN w:val="0"/>
      <w:adjustRightInd w:val="0"/>
      <w:spacing w:before="240"/>
      <w:ind w:left="568" w:right="850"/>
      <w:jc w:val="both"/>
      <w:textAlignment w:val="baseline"/>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paragraph" w:styleId="Encabezado">
    <w:name w:val="header"/>
    <w:basedOn w:val="Normal"/>
    <w:semiHidden/>
    <w:pPr>
      <w:tabs>
        <w:tab w:val="center" w:pos="4819"/>
        <w:tab w:val="right" w:pos="9071"/>
      </w:tabs>
    </w:pPr>
  </w:style>
  <w:style w:type="character" w:styleId="Hipervnculo">
    <w:name w:val="Hyperlink"/>
    <w:uiPriority w:val="99"/>
    <w:semiHidden/>
    <w:rPr>
      <w:color w:val="FF0000"/>
      <w:u w:val="single"/>
    </w:rPr>
  </w:style>
  <w:style w:type="paragraph" w:styleId="Encabezadodemensaje">
    <w:name w:val="Message Header"/>
    <w:basedOn w:val="Textoindependiente"/>
    <w:semiHidden/>
    <w:pPr>
      <w:keepLines/>
      <w:tabs>
        <w:tab w:val="left" w:pos="720"/>
        <w:tab w:val="left" w:pos="4320"/>
        <w:tab w:val="left" w:pos="5040"/>
        <w:tab w:val="right" w:pos="8640"/>
      </w:tabs>
      <w:spacing w:after="40" w:line="440" w:lineRule="atLeast"/>
      <w:ind w:left="720" w:hanging="720"/>
    </w:pPr>
    <w:rPr>
      <w:rFonts w:ascii="Arial" w:hAnsi="Arial"/>
      <w:spacing w:val="-5"/>
      <w:lang w:val="es-ES" w:eastAsia="en-US"/>
    </w:rPr>
  </w:style>
  <w:style w:type="paragraph" w:styleId="Textoindependiente">
    <w:name w:val="Body Text"/>
    <w:basedOn w:val="Normal"/>
    <w:semiHidden/>
    <w:pPr>
      <w:spacing w:after="120"/>
    </w:pPr>
  </w:style>
  <w:style w:type="paragraph" w:customStyle="1" w:styleId="Encabezadodemensaje-primera">
    <w:name w:val="Encabezado de mensaje - primera"/>
    <w:basedOn w:val="Encabezadodemensaje"/>
    <w:next w:val="Encabezadodemensaje"/>
  </w:style>
  <w:style w:type="character" w:styleId="Textoennegrita">
    <w:name w:val="Strong"/>
    <w:qFormat/>
    <w:rPr>
      <w:b/>
      <w:bCs/>
      <w:lang w:val="es-ES" w:bidi="ar-SA"/>
    </w:rPr>
  </w:style>
  <w:style w:type="character" w:styleId="Nmerodepgina">
    <w:name w:val="page number"/>
    <w:basedOn w:val="Fuentedeprrafopredeter"/>
    <w:semiHidden/>
  </w:style>
  <w:style w:type="paragraph" w:styleId="Sangradetextonormal">
    <w:name w:val="Body Text Indent"/>
    <w:basedOn w:val="Normal"/>
    <w:semiHidden/>
    <w:pPr>
      <w:tabs>
        <w:tab w:val="right" w:pos="8364"/>
      </w:tabs>
      <w:overflowPunct w:val="0"/>
      <w:autoSpaceDE w:val="0"/>
      <w:autoSpaceDN w:val="0"/>
      <w:adjustRightInd w:val="0"/>
      <w:ind w:firstLine="567"/>
      <w:jc w:val="both"/>
      <w:textAlignment w:val="baseline"/>
    </w:pPr>
    <w:rPr>
      <w:sz w:val="24"/>
    </w:rPr>
  </w:style>
  <w:style w:type="paragraph" w:styleId="Sangra3detindependiente">
    <w:name w:val="Body Text Indent 3"/>
    <w:basedOn w:val="Normal"/>
    <w:link w:val="Sangra3detindependienteCar"/>
    <w:semiHidden/>
    <w:pPr>
      <w:tabs>
        <w:tab w:val="center" w:pos="5671"/>
        <w:tab w:val="center" w:pos="7797"/>
      </w:tabs>
      <w:ind w:firstLine="540"/>
      <w:jc w:val="both"/>
    </w:pPr>
    <w:rPr>
      <w:sz w:val="24"/>
      <w:szCs w:val="24"/>
    </w:rPr>
  </w:style>
  <w:style w:type="paragraph" w:styleId="Sangra2detindependiente">
    <w:name w:val="Body Text Indent 2"/>
    <w:basedOn w:val="Normal"/>
    <w:link w:val="Sangra2detindependienteCar"/>
    <w:semiHidden/>
    <w:pPr>
      <w:tabs>
        <w:tab w:val="center" w:pos="1843"/>
        <w:tab w:val="center" w:pos="5671"/>
        <w:tab w:val="center" w:pos="7797"/>
      </w:tabs>
      <w:ind w:firstLine="568"/>
      <w:jc w:val="both"/>
    </w:pPr>
    <w:rPr>
      <w:sz w:val="24"/>
    </w:rPr>
  </w:style>
  <w:style w:type="paragraph" w:customStyle="1" w:styleId="xl28">
    <w:name w:val="xl28"/>
    <w:basedOn w:val="Normal"/>
    <w:pPr>
      <w:spacing w:before="100" w:beforeAutospacing="1" w:after="100" w:afterAutospacing="1"/>
    </w:pPr>
    <w:rPr>
      <w:rFonts w:ascii="Arial" w:eastAsia="Arial Unicode MS" w:hAnsi="Arial" w:cs="Arial"/>
      <w:sz w:val="14"/>
      <w:szCs w:val="14"/>
      <w:lang w:val="es-ES"/>
    </w:rPr>
  </w:style>
  <w:style w:type="paragraph" w:styleId="Epgrafe">
    <w:name w:val="caption"/>
    <w:basedOn w:val="Normal"/>
    <w:next w:val="Normal"/>
    <w:qFormat/>
    <w:rPr>
      <w:b/>
      <w:bCs/>
      <w:sz w:val="28"/>
      <w:u w:val="single"/>
    </w:rPr>
  </w:style>
  <w:style w:type="paragraph" w:styleId="Textoindependiente2">
    <w:name w:val="Body Text 2"/>
    <w:basedOn w:val="Normal"/>
    <w:semiHidden/>
    <w:pPr>
      <w:tabs>
        <w:tab w:val="right" w:pos="8364"/>
      </w:tabs>
      <w:jc w:val="both"/>
    </w:pPr>
    <w:rPr>
      <w:bCs/>
      <w:sz w:val="24"/>
      <w:szCs w:val="24"/>
    </w:rPr>
  </w:style>
  <w:style w:type="paragraph" w:styleId="NormalWeb">
    <w:name w:val="Normal (Web)"/>
    <w:basedOn w:val="Normal"/>
    <w:uiPriority w:val="99"/>
    <w:semiHidden/>
    <w:pPr>
      <w:suppressAutoHyphens/>
      <w:spacing w:before="280" w:after="280"/>
    </w:pPr>
    <w:rPr>
      <w:sz w:val="24"/>
      <w:szCs w:val="24"/>
      <w:lang w:eastAsia="ar-SA"/>
    </w:rPr>
  </w:style>
  <w:style w:type="paragraph" w:customStyle="1" w:styleId="ListParagraph1">
    <w:name w:val="List Paragraph1"/>
    <w:basedOn w:val="Normal"/>
    <w:qFormat/>
    <w:pPr>
      <w:ind w:left="720"/>
    </w:p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s-ES_tradnl"/>
    </w:rPr>
  </w:style>
  <w:style w:type="paragraph" w:customStyle="1" w:styleId="BSFigures">
    <w:name w:val="BS Figures"/>
    <w:pPr>
      <w:widowControl w:val="0"/>
      <w:autoSpaceDE w:val="0"/>
      <w:autoSpaceDN w:val="0"/>
      <w:adjustRightInd w:val="0"/>
      <w:ind w:left="113" w:right="113"/>
      <w:jc w:val="right"/>
    </w:pPr>
    <w:rPr>
      <w:color w:val="000000"/>
      <w:sz w:val="18"/>
      <w:szCs w:val="18"/>
    </w:rPr>
  </w:style>
  <w:style w:type="paragraph" w:customStyle="1" w:styleId="Body2">
    <w:name w:val="Body2"/>
    <w:pPr>
      <w:keepLines/>
      <w:widowControl w:val="0"/>
      <w:autoSpaceDE w:val="0"/>
      <w:autoSpaceDN w:val="0"/>
      <w:adjustRightInd w:val="0"/>
      <w:spacing w:before="238"/>
      <w:ind w:left="1417" w:hanging="226"/>
      <w:jc w:val="both"/>
    </w:pPr>
    <w:rPr>
      <w:color w:val="000000"/>
      <w:sz w:val="22"/>
      <w:szCs w:val="22"/>
    </w:rPr>
  </w:style>
  <w:style w:type="paragraph" w:customStyle="1" w:styleId="Body3">
    <w:name w:val="Body3"/>
    <w:pPr>
      <w:keepLines/>
      <w:widowControl w:val="0"/>
      <w:autoSpaceDE w:val="0"/>
      <w:autoSpaceDN w:val="0"/>
      <w:adjustRightInd w:val="0"/>
      <w:spacing w:before="238"/>
      <w:ind w:left="1559" w:hanging="226"/>
      <w:jc w:val="both"/>
    </w:pPr>
    <w:rPr>
      <w:color w:val="000000"/>
      <w:sz w:val="22"/>
      <w:szCs w:val="22"/>
    </w:rPr>
  </w:style>
  <w:style w:type="paragraph" w:customStyle="1" w:styleId="Footer2">
    <w:name w:val="Footer2"/>
    <w:pPr>
      <w:widowControl w:val="0"/>
      <w:autoSpaceDE w:val="0"/>
      <w:autoSpaceDN w:val="0"/>
      <w:adjustRightInd w:val="0"/>
      <w:jc w:val="right"/>
    </w:pPr>
    <w:rPr>
      <w:color w:val="000000"/>
      <w:sz w:val="22"/>
      <w:szCs w:val="22"/>
    </w:rPr>
  </w:style>
  <w:style w:type="paragraph" w:customStyle="1" w:styleId="Memhead">
    <w:name w:val="Mem head"/>
    <w:pPr>
      <w:widowControl w:val="0"/>
      <w:autoSpaceDE w:val="0"/>
      <w:autoSpaceDN w:val="0"/>
      <w:adjustRightInd w:val="0"/>
      <w:jc w:val="center"/>
    </w:pPr>
    <w:rPr>
      <w:color w:val="000000"/>
      <w:sz w:val="22"/>
      <w:szCs w:val="22"/>
    </w:rPr>
  </w:style>
  <w:style w:type="paragraph" w:customStyle="1" w:styleId="Memheadspace">
    <w:name w:val="Mem head space"/>
    <w:pPr>
      <w:widowControl w:val="0"/>
      <w:autoSpaceDE w:val="0"/>
      <w:autoSpaceDN w:val="0"/>
      <w:adjustRightInd w:val="0"/>
      <w:spacing w:before="119"/>
      <w:jc w:val="center"/>
    </w:pPr>
    <w:rPr>
      <w:color w:val="000000"/>
      <w:sz w:val="22"/>
      <w:szCs w:val="22"/>
    </w:rPr>
  </w:style>
  <w:style w:type="character" w:customStyle="1" w:styleId="BodyTextChar">
    <w:name w:val="Body Text Char"/>
    <w:semiHidden/>
    <w:rPr>
      <w:lang w:val="es-ES_tradnl" w:eastAsia="es-ES"/>
    </w:rPr>
  </w:style>
  <w:style w:type="paragraph" w:styleId="Textodeglobo">
    <w:name w:val="Balloon Text"/>
    <w:basedOn w:val="Normal"/>
    <w:link w:val="TextodegloboCar"/>
    <w:uiPriority w:val="99"/>
    <w:semiHidden/>
    <w:unhideWhenUsed/>
    <w:rsid w:val="00490E9C"/>
    <w:rPr>
      <w:rFonts w:ascii="Tahoma" w:hAnsi="Tahoma"/>
      <w:sz w:val="16"/>
      <w:szCs w:val="16"/>
      <w:lang w:val="x-none"/>
    </w:rPr>
  </w:style>
  <w:style w:type="character" w:customStyle="1" w:styleId="TextodegloboCar">
    <w:name w:val="Texto de globo Car"/>
    <w:link w:val="Textodeglobo"/>
    <w:uiPriority w:val="99"/>
    <w:semiHidden/>
    <w:rsid w:val="00490E9C"/>
    <w:rPr>
      <w:rFonts w:ascii="Tahoma" w:hAnsi="Tahoma" w:cs="Tahoma"/>
      <w:sz w:val="16"/>
      <w:szCs w:val="16"/>
      <w:lang w:eastAsia="es-ES"/>
    </w:rPr>
  </w:style>
  <w:style w:type="table" w:styleId="Tablaconcuadrcula">
    <w:name w:val="Table Grid"/>
    <w:basedOn w:val="Tablanormal"/>
    <w:uiPriority w:val="59"/>
    <w:rsid w:val="007F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4432"/>
    <w:pPr>
      <w:ind w:left="708"/>
    </w:pPr>
  </w:style>
  <w:style w:type="character" w:customStyle="1" w:styleId="Sangra2detindependienteCar">
    <w:name w:val="Sangría 2 de t. independiente Car"/>
    <w:link w:val="Sangra2detindependiente"/>
    <w:semiHidden/>
    <w:rsid w:val="00E90A55"/>
    <w:rPr>
      <w:sz w:val="24"/>
      <w:lang w:val="es-ES_tradnl"/>
    </w:rPr>
  </w:style>
  <w:style w:type="paragraph" w:styleId="Revisin">
    <w:name w:val="Revision"/>
    <w:hidden/>
    <w:uiPriority w:val="99"/>
    <w:semiHidden/>
    <w:rsid w:val="0020324A"/>
    <w:rPr>
      <w:lang w:val="es-ES_tradnl"/>
    </w:rPr>
  </w:style>
  <w:style w:type="character" w:customStyle="1" w:styleId="Sangra3detindependienteCar">
    <w:name w:val="Sangría 3 de t. independiente Car"/>
    <w:basedOn w:val="Fuentedeprrafopredeter"/>
    <w:link w:val="Sangra3detindependiente"/>
    <w:semiHidden/>
    <w:rsid w:val="00357986"/>
    <w:rPr>
      <w:sz w:val="24"/>
      <w:szCs w:val="24"/>
      <w:lang w:val="es-ES_tradnl"/>
    </w:rPr>
  </w:style>
  <w:style w:type="paragraph" w:styleId="TtulodeTDC">
    <w:name w:val="TOC Heading"/>
    <w:basedOn w:val="Ttulo1"/>
    <w:next w:val="Normal"/>
    <w:uiPriority w:val="39"/>
    <w:semiHidden/>
    <w:unhideWhenUsed/>
    <w:qFormat/>
    <w:rsid w:val="007411C0"/>
    <w:pPr>
      <w:keepLines/>
      <w:framePr w:w="0" w:hRule="auto" w:hSpace="0" w:wrap="auto" w:vAnchor="margin" w:hAnchor="text" w:xAlign="left" w:yAlign="inline"/>
      <w:spacing w:before="480" w:line="276" w:lineRule="auto"/>
      <w:outlineLvl w:val="9"/>
    </w:pPr>
    <w:rPr>
      <w:rFonts w:asciiTheme="majorHAnsi" w:eastAsiaTheme="majorEastAsia" w:hAnsiTheme="majorHAnsi" w:cstheme="majorBidi"/>
      <w:bCs/>
      <w:color w:val="365F91" w:themeColor="accent1" w:themeShade="BF"/>
      <w:lang w:val="es-ES"/>
    </w:rPr>
  </w:style>
  <w:style w:type="paragraph" w:customStyle="1" w:styleId="Default">
    <w:name w:val="Default"/>
    <w:rsid w:val="00E775E1"/>
    <w:pPr>
      <w:autoSpaceDE w:val="0"/>
      <w:autoSpaceDN w:val="0"/>
      <w:adjustRightInd w:val="0"/>
    </w:pPr>
    <w:rPr>
      <w:color w:val="000000"/>
      <w:sz w:val="24"/>
      <w:szCs w:val="24"/>
    </w:rPr>
  </w:style>
  <w:style w:type="character" w:styleId="Hipervnculovisitado">
    <w:name w:val="FollowedHyperlink"/>
    <w:basedOn w:val="Fuentedeprrafopredeter"/>
    <w:uiPriority w:val="99"/>
    <w:semiHidden/>
    <w:unhideWhenUsed/>
    <w:rsid w:val="00507DEF"/>
    <w:rPr>
      <w:color w:val="800080"/>
      <w:u w:val="single"/>
    </w:rPr>
  </w:style>
  <w:style w:type="paragraph" w:customStyle="1" w:styleId="xl65">
    <w:name w:val="xl65"/>
    <w:basedOn w:val="Normal"/>
    <w:rsid w:val="00507DEF"/>
    <w:pPr>
      <w:spacing w:before="100" w:beforeAutospacing="1" w:after="100" w:afterAutospacing="1"/>
    </w:pPr>
    <w:rPr>
      <w:rFonts w:ascii="Lucida Bright" w:hAnsi="Lucida Bright"/>
      <w:sz w:val="16"/>
      <w:szCs w:val="16"/>
      <w:lang w:val="es-ES"/>
    </w:rPr>
  </w:style>
  <w:style w:type="paragraph" w:customStyle="1" w:styleId="xl66">
    <w:name w:val="xl66"/>
    <w:basedOn w:val="Normal"/>
    <w:rsid w:val="00507DEF"/>
    <w:pPr>
      <w:spacing w:before="100" w:beforeAutospacing="1" w:after="100" w:afterAutospacing="1"/>
    </w:pPr>
    <w:rPr>
      <w:rFonts w:ascii="Lucida Bright" w:hAnsi="Lucida Bright"/>
      <w:b/>
      <w:bCs/>
      <w:sz w:val="16"/>
      <w:szCs w:val="16"/>
      <w:lang w:val="es-ES"/>
    </w:rPr>
  </w:style>
  <w:style w:type="paragraph" w:customStyle="1" w:styleId="xl67">
    <w:name w:val="xl67"/>
    <w:basedOn w:val="Normal"/>
    <w:rsid w:val="00507DEF"/>
    <w:pPr>
      <w:pBdr>
        <w:left w:val="single" w:sz="8" w:space="0" w:color="auto"/>
      </w:pBdr>
      <w:spacing w:before="100" w:beforeAutospacing="1" w:after="100" w:afterAutospacing="1"/>
    </w:pPr>
    <w:rPr>
      <w:rFonts w:ascii="Lucida Bright" w:hAnsi="Lucida Bright"/>
      <w:sz w:val="14"/>
      <w:szCs w:val="14"/>
      <w:lang w:val="es-ES"/>
    </w:rPr>
  </w:style>
  <w:style w:type="paragraph" w:customStyle="1" w:styleId="xl68">
    <w:name w:val="xl68"/>
    <w:basedOn w:val="Normal"/>
    <w:rsid w:val="00507DEF"/>
    <w:pPr>
      <w:pBdr>
        <w:top w:val="single" w:sz="8" w:space="0" w:color="auto"/>
        <w:left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69">
    <w:name w:val="xl69"/>
    <w:basedOn w:val="Normal"/>
    <w:rsid w:val="00507DEF"/>
    <w:pPr>
      <w:pBdr>
        <w:top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0">
    <w:name w:val="xl70"/>
    <w:basedOn w:val="Normal"/>
    <w:rsid w:val="00507DEF"/>
    <w:pPr>
      <w:pBdr>
        <w:top w:val="single" w:sz="8" w:space="0" w:color="auto"/>
        <w:right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1">
    <w:name w:val="xl71"/>
    <w:basedOn w:val="Normal"/>
    <w:rsid w:val="00507DEF"/>
    <w:pPr>
      <w:pBdr>
        <w:left w:val="single" w:sz="8" w:space="0" w:color="auto"/>
        <w:bottom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2">
    <w:name w:val="xl72"/>
    <w:basedOn w:val="Normal"/>
    <w:rsid w:val="00507DEF"/>
    <w:pPr>
      <w:pBdr>
        <w:bottom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3">
    <w:name w:val="xl73"/>
    <w:basedOn w:val="Normal"/>
    <w:rsid w:val="00507DEF"/>
    <w:pPr>
      <w:pBdr>
        <w:bottom w:val="single" w:sz="8" w:space="0" w:color="auto"/>
        <w:right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4">
    <w:name w:val="xl74"/>
    <w:basedOn w:val="Normal"/>
    <w:rsid w:val="00507DEF"/>
    <w:pPr>
      <w:pBdr>
        <w:top w:val="single" w:sz="8" w:space="0" w:color="auto"/>
        <w:left w:val="single" w:sz="8" w:space="0" w:color="auto"/>
        <w:right w:val="single" w:sz="8" w:space="0" w:color="auto"/>
      </w:pBdr>
      <w:spacing w:before="100" w:beforeAutospacing="1" w:after="100" w:afterAutospacing="1"/>
    </w:pPr>
    <w:rPr>
      <w:rFonts w:ascii="Lucida Bright" w:hAnsi="Lucida Bright"/>
      <w:sz w:val="14"/>
      <w:szCs w:val="14"/>
      <w:lang w:val="es-ES"/>
    </w:rPr>
  </w:style>
  <w:style w:type="paragraph" w:customStyle="1" w:styleId="xl75">
    <w:name w:val="xl75"/>
    <w:basedOn w:val="Normal"/>
    <w:rsid w:val="00507DEF"/>
    <w:pPr>
      <w:pBdr>
        <w:top w:val="single" w:sz="8" w:space="0" w:color="auto"/>
        <w:right w:val="single" w:sz="8" w:space="0" w:color="auto"/>
      </w:pBdr>
      <w:spacing w:before="100" w:beforeAutospacing="1" w:after="100" w:afterAutospacing="1"/>
    </w:pPr>
    <w:rPr>
      <w:rFonts w:ascii="Lucida Bright" w:hAnsi="Lucida Bright"/>
      <w:sz w:val="14"/>
      <w:szCs w:val="14"/>
      <w:lang w:val="es-ES"/>
    </w:rPr>
  </w:style>
  <w:style w:type="paragraph" w:customStyle="1" w:styleId="xl76">
    <w:name w:val="xl76"/>
    <w:basedOn w:val="Normal"/>
    <w:rsid w:val="00507DEF"/>
    <w:pPr>
      <w:pBdr>
        <w:top w:val="single" w:sz="8" w:space="0" w:color="auto"/>
        <w:left w:val="single" w:sz="8" w:space="0" w:color="auto"/>
        <w:bottom w:val="single" w:sz="8" w:space="0" w:color="auto"/>
        <w:right w:val="single" w:sz="8" w:space="0" w:color="auto"/>
      </w:pBdr>
      <w:spacing w:before="100" w:beforeAutospacing="1" w:after="100" w:afterAutospacing="1"/>
    </w:pPr>
    <w:rPr>
      <w:rFonts w:ascii="Lucida Bright" w:hAnsi="Lucida Bright"/>
      <w:sz w:val="14"/>
      <w:szCs w:val="14"/>
      <w:lang w:val="es-ES"/>
    </w:rPr>
  </w:style>
  <w:style w:type="paragraph" w:customStyle="1" w:styleId="xl77">
    <w:name w:val="xl77"/>
    <w:basedOn w:val="Normal"/>
    <w:rsid w:val="00507DEF"/>
    <w:pPr>
      <w:pBdr>
        <w:left w:val="single" w:sz="8" w:space="0" w:color="auto"/>
      </w:pBdr>
      <w:spacing w:before="100" w:beforeAutospacing="1" w:after="100" w:afterAutospacing="1"/>
    </w:pPr>
    <w:rPr>
      <w:rFonts w:ascii="Lucida Bright" w:hAnsi="Lucida Bright"/>
      <w:sz w:val="14"/>
      <w:szCs w:val="14"/>
      <w:lang w:val="es-ES"/>
    </w:rPr>
  </w:style>
  <w:style w:type="paragraph" w:customStyle="1" w:styleId="xl78">
    <w:name w:val="xl78"/>
    <w:basedOn w:val="Normal"/>
    <w:rsid w:val="00507DEF"/>
    <w:pPr>
      <w:spacing w:before="100" w:beforeAutospacing="1" w:after="100" w:afterAutospacing="1"/>
    </w:pPr>
    <w:rPr>
      <w:rFonts w:ascii="Lucida Bright" w:hAnsi="Lucida Bright"/>
      <w:b/>
      <w:bCs/>
      <w:sz w:val="14"/>
      <w:szCs w:val="14"/>
      <w:lang w:val="es-ES"/>
    </w:rPr>
  </w:style>
  <w:style w:type="paragraph" w:customStyle="1" w:styleId="xl79">
    <w:name w:val="xl79"/>
    <w:basedOn w:val="Normal"/>
    <w:rsid w:val="00507DEF"/>
    <w:pPr>
      <w:spacing w:before="100" w:beforeAutospacing="1" w:after="100" w:afterAutospacing="1"/>
    </w:pPr>
    <w:rPr>
      <w:rFonts w:ascii="Lucida Bright" w:hAnsi="Lucida Bright"/>
      <w:sz w:val="14"/>
      <w:szCs w:val="14"/>
      <w:lang w:val="es-ES"/>
    </w:rPr>
  </w:style>
  <w:style w:type="paragraph" w:customStyle="1" w:styleId="xl80">
    <w:name w:val="xl80"/>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81">
    <w:name w:val="xl81"/>
    <w:basedOn w:val="Normal"/>
    <w:rsid w:val="00507DEF"/>
    <w:pPr>
      <w:pBdr>
        <w:left w:val="single" w:sz="8" w:space="0" w:color="auto"/>
        <w:right w:val="single" w:sz="4" w:space="0" w:color="auto"/>
      </w:pBdr>
      <w:spacing w:before="100" w:beforeAutospacing="1" w:after="100" w:afterAutospacing="1"/>
      <w:textAlignment w:val="center"/>
    </w:pPr>
    <w:rPr>
      <w:rFonts w:ascii="Lucida Bright" w:hAnsi="Lucida Bright"/>
      <w:sz w:val="14"/>
      <w:szCs w:val="14"/>
      <w:lang w:val="es-ES"/>
    </w:rPr>
  </w:style>
  <w:style w:type="paragraph" w:customStyle="1" w:styleId="xl82">
    <w:name w:val="xl82"/>
    <w:basedOn w:val="Normal"/>
    <w:rsid w:val="00507DEF"/>
    <w:pPr>
      <w:pBdr>
        <w:left w:val="single" w:sz="4" w:space="0" w:color="auto"/>
        <w:right w:val="single" w:sz="8" w:space="0" w:color="auto"/>
      </w:pBdr>
      <w:spacing w:before="100" w:beforeAutospacing="1" w:after="100" w:afterAutospacing="1"/>
      <w:jc w:val="center"/>
      <w:textAlignment w:val="center"/>
    </w:pPr>
    <w:rPr>
      <w:rFonts w:ascii="Lucida Bright" w:hAnsi="Lucida Bright"/>
      <w:sz w:val="14"/>
      <w:szCs w:val="14"/>
      <w:lang w:val="es-ES"/>
    </w:rPr>
  </w:style>
  <w:style w:type="paragraph" w:customStyle="1" w:styleId="xl83">
    <w:name w:val="xl83"/>
    <w:basedOn w:val="Normal"/>
    <w:rsid w:val="00507DEF"/>
    <w:pPr>
      <w:pBdr>
        <w:lef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84">
    <w:name w:val="xl84"/>
    <w:basedOn w:val="Normal"/>
    <w:rsid w:val="00507DEF"/>
    <w:pPr>
      <w:pBdr>
        <w:left w:val="single" w:sz="8" w:space="0" w:color="auto"/>
      </w:pBdr>
      <w:spacing w:before="100" w:beforeAutospacing="1" w:after="100" w:afterAutospacing="1"/>
      <w:jc w:val="right"/>
      <w:textAlignment w:val="center"/>
    </w:pPr>
    <w:rPr>
      <w:rFonts w:ascii="Lucida Bright" w:hAnsi="Lucida Bright"/>
      <w:sz w:val="14"/>
      <w:szCs w:val="14"/>
      <w:lang w:val="es-ES"/>
    </w:rPr>
  </w:style>
  <w:style w:type="paragraph" w:customStyle="1" w:styleId="xl85">
    <w:name w:val="xl85"/>
    <w:basedOn w:val="Normal"/>
    <w:rsid w:val="00507DEF"/>
    <w:pPr>
      <w:pBdr>
        <w:left w:val="single" w:sz="8" w:space="0" w:color="auto"/>
      </w:pBdr>
      <w:spacing w:before="100" w:beforeAutospacing="1" w:after="100" w:afterAutospacing="1"/>
      <w:jc w:val="right"/>
      <w:textAlignment w:val="center"/>
    </w:pPr>
    <w:rPr>
      <w:rFonts w:ascii="Lucida Bright" w:hAnsi="Lucida Bright"/>
      <w:sz w:val="14"/>
      <w:szCs w:val="14"/>
      <w:lang w:val="es-ES"/>
    </w:rPr>
  </w:style>
  <w:style w:type="paragraph" w:customStyle="1" w:styleId="xl86">
    <w:name w:val="xl86"/>
    <w:basedOn w:val="Normal"/>
    <w:rsid w:val="00507DEF"/>
    <w:pPr>
      <w:pBdr>
        <w:lef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87">
    <w:name w:val="xl87"/>
    <w:basedOn w:val="Normal"/>
    <w:rsid w:val="00507DEF"/>
    <w:pPr>
      <w:pBdr>
        <w:left w:val="single" w:sz="8" w:space="0" w:color="auto"/>
        <w:bottom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88">
    <w:name w:val="xl88"/>
    <w:basedOn w:val="Normal"/>
    <w:rsid w:val="00507DEF"/>
    <w:pPr>
      <w:pBdr>
        <w:left w:val="single" w:sz="8" w:space="0" w:color="auto"/>
        <w:right w:val="single" w:sz="8" w:space="0" w:color="auto"/>
      </w:pBdr>
      <w:spacing w:before="100" w:beforeAutospacing="1" w:after="100" w:afterAutospacing="1"/>
    </w:pPr>
    <w:rPr>
      <w:rFonts w:ascii="Lucida Bright" w:hAnsi="Lucida Bright"/>
      <w:sz w:val="14"/>
      <w:szCs w:val="14"/>
      <w:lang w:val="es-ES"/>
    </w:rPr>
  </w:style>
  <w:style w:type="paragraph" w:customStyle="1" w:styleId="xl89">
    <w:name w:val="xl89"/>
    <w:basedOn w:val="Normal"/>
    <w:rsid w:val="00507DEF"/>
    <w:pPr>
      <w:pBdr>
        <w:left w:val="single" w:sz="8" w:space="0" w:color="auto"/>
        <w:right w:val="single" w:sz="8" w:space="0" w:color="auto"/>
      </w:pBdr>
      <w:spacing w:before="100" w:beforeAutospacing="1" w:after="100" w:afterAutospacing="1"/>
      <w:jc w:val="center"/>
      <w:textAlignment w:val="center"/>
    </w:pPr>
    <w:rPr>
      <w:rFonts w:ascii="Lucida Bright" w:hAnsi="Lucida Bright"/>
      <w:sz w:val="14"/>
      <w:szCs w:val="14"/>
      <w:lang w:val="es-ES"/>
    </w:rPr>
  </w:style>
  <w:style w:type="paragraph" w:customStyle="1" w:styleId="xl90">
    <w:name w:val="xl90"/>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1">
    <w:name w:val="xl91"/>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2">
    <w:name w:val="xl92"/>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3">
    <w:name w:val="xl93"/>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4">
    <w:name w:val="xl94"/>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5">
    <w:name w:val="xl95"/>
    <w:basedOn w:val="Normal"/>
    <w:rsid w:val="00507DEF"/>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pPr>
    <w:rPr>
      <w:rFonts w:ascii="Lucida Bright" w:hAnsi="Lucida Bright"/>
      <w:b/>
      <w:bCs/>
      <w:sz w:val="14"/>
      <w:szCs w:val="14"/>
      <w:lang w:val="es-ES"/>
    </w:rPr>
  </w:style>
  <w:style w:type="paragraph" w:customStyle="1" w:styleId="xl96">
    <w:name w:val="xl96"/>
    <w:basedOn w:val="Normal"/>
    <w:rsid w:val="00507DEF"/>
    <w:pPr>
      <w:pBdr>
        <w:top w:val="single" w:sz="8" w:space="0" w:color="auto"/>
        <w:bottom w:val="single" w:sz="8" w:space="0" w:color="auto"/>
        <w:right w:val="single" w:sz="8" w:space="0" w:color="auto"/>
      </w:pBdr>
      <w:shd w:val="clear" w:color="000000" w:fill="CCFFCC"/>
      <w:spacing w:before="100" w:beforeAutospacing="1" w:after="100" w:afterAutospacing="1"/>
      <w:jc w:val="center"/>
    </w:pPr>
    <w:rPr>
      <w:rFonts w:ascii="Lucida Bright" w:hAnsi="Lucida Bright"/>
      <w:b/>
      <w:bCs/>
      <w:sz w:val="14"/>
      <w:szCs w:val="14"/>
      <w:lang w:val="es-ES"/>
    </w:rPr>
  </w:style>
  <w:style w:type="paragraph" w:customStyle="1" w:styleId="xl97">
    <w:name w:val="xl97"/>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98">
    <w:name w:val="xl98"/>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9">
    <w:name w:val="xl99"/>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0">
    <w:name w:val="xl100"/>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1">
    <w:name w:val="xl101"/>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02">
    <w:name w:val="xl102"/>
    <w:basedOn w:val="Normal"/>
    <w:rsid w:val="00507DEF"/>
    <w:pPr>
      <w:pBdr>
        <w:top w:val="single" w:sz="8" w:space="0" w:color="auto"/>
        <w:left w:val="single" w:sz="8" w:space="0" w:color="auto"/>
        <w:bottom w:val="single" w:sz="8" w:space="0" w:color="auto"/>
      </w:pBdr>
      <w:shd w:val="clear" w:color="000000" w:fill="CCFFCC"/>
      <w:spacing w:before="100" w:beforeAutospacing="1" w:after="100" w:afterAutospacing="1"/>
      <w:jc w:val="center"/>
    </w:pPr>
    <w:rPr>
      <w:rFonts w:ascii="Lucida Bright" w:hAnsi="Lucida Bright"/>
      <w:b/>
      <w:bCs/>
      <w:sz w:val="14"/>
      <w:szCs w:val="14"/>
      <w:lang w:val="es-ES"/>
    </w:rPr>
  </w:style>
  <w:style w:type="paragraph" w:customStyle="1" w:styleId="xl103">
    <w:name w:val="xl103"/>
    <w:basedOn w:val="Normal"/>
    <w:rsid w:val="00507DEF"/>
    <w:pPr>
      <w:pBdr>
        <w:top w:val="single" w:sz="8" w:space="0" w:color="auto"/>
        <w:bottom w:val="single" w:sz="8" w:space="0" w:color="auto"/>
        <w:right w:val="single" w:sz="8" w:space="0" w:color="auto"/>
      </w:pBdr>
      <w:shd w:val="clear" w:color="000000" w:fill="CCFFCC"/>
      <w:spacing w:before="100" w:beforeAutospacing="1" w:after="100" w:afterAutospacing="1"/>
      <w:jc w:val="center"/>
    </w:pPr>
    <w:rPr>
      <w:rFonts w:ascii="Lucida Bright" w:hAnsi="Lucida Bright"/>
      <w:b/>
      <w:bCs/>
      <w:sz w:val="14"/>
      <w:szCs w:val="14"/>
      <w:lang w:val="es-ES"/>
    </w:rPr>
  </w:style>
  <w:style w:type="paragraph" w:customStyle="1" w:styleId="xl104">
    <w:name w:val="xl104"/>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5">
    <w:name w:val="xl105"/>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06">
    <w:name w:val="xl106"/>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7">
    <w:name w:val="xl107"/>
    <w:basedOn w:val="Normal"/>
    <w:rsid w:val="00507DEF"/>
    <w:pPr>
      <w:pBdr>
        <w:lef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08">
    <w:name w:val="xl108"/>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9">
    <w:name w:val="xl109"/>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10">
    <w:name w:val="xl110"/>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11">
    <w:name w:val="xl111"/>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12">
    <w:name w:val="xl112"/>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13">
    <w:name w:val="xl113"/>
    <w:basedOn w:val="Normal"/>
    <w:rsid w:val="007131C1"/>
    <w:pPr>
      <w:pBdr>
        <w:lef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14">
    <w:name w:val="xl114"/>
    <w:basedOn w:val="Normal"/>
    <w:rsid w:val="003E1013"/>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15">
    <w:name w:val="xl115"/>
    <w:basedOn w:val="Normal"/>
    <w:rsid w:val="003E1013"/>
    <w:pPr>
      <w:spacing w:before="100" w:beforeAutospacing="1" w:after="100" w:afterAutospacing="1"/>
      <w:textAlignment w:val="center"/>
    </w:pPr>
    <w:rPr>
      <w:rFonts w:ascii="Lucida Bright" w:hAnsi="Lucida Bright"/>
      <w:sz w:val="14"/>
      <w:szCs w:val="14"/>
      <w:lang w:val="es-ES"/>
    </w:rPr>
  </w:style>
  <w:style w:type="paragraph" w:customStyle="1" w:styleId="xl116">
    <w:name w:val="xl116"/>
    <w:basedOn w:val="Normal"/>
    <w:rsid w:val="003E1013"/>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17">
    <w:name w:val="xl117"/>
    <w:basedOn w:val="Normal"/>
    <w:rsid w:val="003E1013"/>
    <w:pPr>
      <w:pBdr>
        <w:left w:val="single" w:sz="8" w:space="0" w:color="auto"/>
        <w:bottom w:val="single" w:sz="8" w:space="0" w:color="auto"/>
        <w:right w:val="single" w:sz="8" w:space="0" w:color="auto"/>
      </w:pBdr>
      <w:spacing w:before="100" w:beforeAutospacing="1" w:after="100" w:afterAutospacing="1"/>
    </w:pPr>
    <w:rPr>
      <w:rFonts w:ascii="Lucida Bright" w:hAnsi="Lucida Bright"/>
      <w:b/>
      <w:bCs/>
      <w:sz w:val="14"/>
      <w:szCs w:val="14"/>
      <w:lang w:val="es-ES"/>
    </w:rPr>
  </w:style>
  <w:style w:type="paragraph" w:customStyle="1" w:styleId="xl118">
    <w:name w:val="xl118"/>
    <w:basedOn w:val="Normal"/>
    <w:rsid w:val="003E1013"/>
    <w:pPr>
      <w:spacing w:before="100" w:beforeAutospacing="1" w:after="100" w:afterAutospacing="1"/>
      <w:textAlignment w:val="center"/>
    </w:pPr>
    <w:rPr>
      <w:rFonts w:ascii="Lucida Bright" w:hAnsi="Lucida Bright"/>
      <w:sz w:val="14"/>
      <w:szCs w:val="14"/>
      <w:lang w:val="es-ES"/>
    </w:rPr>
  </w:style>
  <w:style w:type="paragraph" w:customStyle="1" w:styleId="xl119">
    <w:name w:val="xl119"/>
    <w:basedOn w:val="Normal"/>
    <w:rsid w:val="003E1013"/>
    <w:pPr>
      <w:spacing w:before="100" w:beforeAutospacing="1" w:after="100" w:afterAutospacing="1"/>
      <w:textAlignment w:val="center"/>
    </w:pPr>
    <w:rPr>
      <w:rFonts w:ascii="Lucida Bright" w:hAnsi="Lucida Bright"/>
      <w:sz w:val="14"/>
      <w:szCs w:val="14"/>
      <w:lang w:val="es-ES"/>
    </w:rPr>
  </w:style>
  <w:style w:type="paragraph" w:customStyle="1" w:styleId="xl120">
    <w:name w:val="xl120"/>
    <w:basedOn w:val="Normal"/>
    <w:rsid w:val="003E1013"/>
    <w:pPr>
      <w:spacing w:before="100" w:beforeAutospacing="1" w:after="100" w:afterAutospacing="1"/>
      <w:textAlignment w:val="center"/>
    </w:pPr>
    <w:rPr>
      <w:rFonts w:ascii="Lucida Bright" w:hAnsi="Lucida Bright"/>
      <w:sz w:val="14"/>
      <w:szCs w:val="14"/>
      <w:lang w:val="es-ES"/>
    </w:rPr>
  </w:style>
  <w:style w:type="paragraph" w:customStyle="1" w:styleId="xl121">
    <w:name w:val="xl121"/>
    <w:basedOn w:val="Normal"/>
    <w:rsid w:val="003E1013"/>
    <w:pPr>
      <w:pBdr>
        <w:left w:val="single" w:sz="8" w:space="0" w:color="auto"/>
        <w:bottom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22">
    <w:name w:val="xl122"/>
    <w:basedOn w:val="Normal"/>
    <w:rsid w:val="003E1013"/>
    <w:pPr>
      <w:pBdr>
        <w:left w:val="single" w:sz="4" w:space="0" w:color="auto"/>
        <w:bottom w:val="single" w:sz="8" w:space="0" w:color="auto"/>
        <w:right w:val="single" w:sz="8" w:space="0" w:color="auto"/>
      </w:pBdr>
      <w:spacing w:before="100" w:beforeAutospacing="1" w:after="100" w:afterAutospacing="1"/>
      <w:jc w:val="center"/>
      <w:textAlignment w:val="center"/>
    </w:pPr>
    <w:rPr>
      <w:rFonts w:ascii="Lucida Bright" w:hAnsi="Lucida Bright"/>
      <w:sz w:val="14"/>
      <w:szCs w:val="1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A36"/>
    <w:rPr>
      <w:lang w:val="es-ES_tradnl"/>
    </w:rPr>
  </w:style>
  <w:style w:type="paragraph" w:styleId="Ttulo1">
    <w:name w:val="heading 1"/>
    <w:basedOn w:val="Normal"/>
    <w:next w:val="Normal"/>
    <w:qFormat/>
    <w:pPr>
      <w:keepNext/>
      <w:framePr w:w="3870" w:h="348" w:hSpace="141" w:wrap="around" w:vAnchor="text" w:hAnchor="page" w:x="6784" w:y="128"/>
      <w:outlineLvl w:val="0"/>
    </w:pPr>
    <w:rPr>
      <w:rFonts w:ascii="Lucida Sans" w:hAnsi="Lucida Sans"/>
      <w:b/>
      <w:color w:val="808080"/>
      <w:sz w:val="28"/>
      <w:szCs w:val="28"/>
    </w:rPr>
  </w:style>
  <w:style w:type="paragraph" w:styleId="Ttulo2">
    <w:name w:val="heading 2"/>
    <w:basedOn w:val="Normal"/>
    <w:next w:val="Normal"/>
    <w:qFormat/>
    <w:pPr>
      <w:keepNext/>
      <w:tabs>
        <w:tab w:val="right" w:pos="8222"/>
      </w:tabs>
      <w:ind w:left="3402" w:right="992"/>
      <w:jc w:val="both"/>
      <w:outlineLvl w:val="1"/>
    </w:pPr>
    <w:rPr>
      <w:b/>
      <w:sz w:val="24"/>
    </w:rPr>
  </w:style>
  <w:style w:type="paragraph" w:styleId="Ttulo3">
    <w:name w:val="heading 3"/>
    <w:basedOn w:val="Normal"/>
    <w:next w:val="Normal"/>
    <w:qFormat/>
    <w:pPr>
      <w:keepNext/>
      <w:tabs>
        <w:tab w:val="center" w:pos="1843"/>
        <w:tab w:val="center" w:pos="5387"/>
        <w:tab w:val="center" w:pos="5812"/>
        <w:tab w:val="left" w:pos="7655"/>
      </w:tabs>
      <w:ind w:left="426"/>
      <w:jc w:val="both"/>
      <w:outlineLvl w:val="2"/>
    </w:pPr>
    <w:rPr>
      <w:sz w:val="24"/>
    </w:rPr>
  </w:style>
  <w:style w:type="paragraph" w:styleId="Ttulo4">
    <w:name w:val="heading 4"/>
    <w:basedOn w:val="Normal"/>
    <w:next w:val="Normal"/>
    <w:qFormat/>
    <w:pPr>
      <w:keepNext/>
      <w:outlineLvl w:val="3"/>
    </w:pPr>
    <w:rPr>
      <w:sz w:val="24"/>
    </w:rPr>
  </w:style>
  <w:style w:type="paragraph" w:styleId="Ttulo5">
    <w:name w:val="heading 5"/>
    <w:basedOn w:val="Normal"/>
    <w:next w:val="Normal"/>
    <w:qFormat/>
    <w:pPr>
      <w:keepNext/>
      <w:tabs>
        <w:tab w:val="center" w:pos="1843"/>
        <w:tab w:val="center" w:pos="5671"/>
        <w:tab w:val="center" w:pos="7797"/>
      </w:tabs>
      <w:overflowPunct w:val="0"/>
      <w:autoSpaceDE w:val="0"/>
      <w:autoSpaceDN w:val="0"/>
      <w:adjustRightInd w:val="0"/>
      <w:ind w:firstLine="567"/>
      <w:jc w:val="both"/>
      <w:textAlignment w:val="baseline"/>
      <w:outlineLvl w:val="4"/>
    </w:pPr>
    <w:rPr>
      <w:bCs/>
      <w:sz w:val="28"/>
    </w:rPr>
  </w:style>
  <w:style w:type="paragraph" w:styleId="Ttulo6">
    <w:name w:val="heading 6"/>
    <w:basedOn w:val="Normal"/>
    <w:next w:val="Normal"/>
    <w:qFormat/>
    <w:pPr>
      <w:keepNext/>
      <w:tabs>
        <w:tab w:val="right" w:pos="8364"/>
      </w:tabs>
      <w:overflowPunct w:val="0"/>
      <w:autoSpaceDE w:val="0"/>
      <w:autoSpaceDN w:val="0"/>
      <w:adjustRightInd w:val="0"/>
      <w:spacing w:before="240"/>
      <w:ind w:left="567" w:right="992"/>
      <w:jc w:val="both"/>
      <w:textAlignment w:val="baseline"/>
      <w:outlineLvl w:val="5"/>
    </w:pPr>
    <w:rPr>
      <w:sz w:val="24"/>
    </w:rPr>
  </w:style>
  <w:style w:type="paragraph" w:styleId="Ttulo7">
    <w:name w:val="heading 7"/>
    <w:basedOn w:val="Normal"/>
    <w:next w:val="Normal"/>
    <w:qFormat/>
    <w:pPr>
      <w:keepNext/>
      <w:tabs>
        <w:tab w:val="left" w:pos="1985"/>
        <w:tab w:val="right" w:pos="8364"/>
      </w:tabs>
      <w:overflowPunct w:val="0"/>
      <w:autoSpaceDE w:val="0"/>
      <w:autoSpaceDN w:val="0"/>
      <w:adjustRightInd w:val="0"/>
      <w:spacing w:before="360"/>
      <w:ind w:left="851"/>
      <w:jc w:val="both"/>
      <w:textAlignment w:val="baseline"/>
      <w:outlineLvl w:val="6"/>
    </w:pPr>
    <w:rPr>
      <w:sz w:val="24"/>
    </w:rPr>
  </w:style>
  <w:style w:type="paragraph" w:styleId="Ttulo8">
    <w:name w:val="heading 8"/>
    <w:basedOn w:val="Normal"/>
    <w:next w:val="Normal"/>
    <w:qFormat/>
    <w:pPr>
      <w:keepNext/>
      <w:tabs>
        <w:tab w:val="right" w:pos="8364"/>
      </w:tabs>
      <w:spacing w:before="120"/>
      <w:ind w:left="567" w:right="426"/>
      <w:jc w:val="both"/>
      <w:outlineLvl w:val="7"/>
    </w:pPr>
    <w:rPr>
      <w:bCs/>
      <w:sz w:val="24"/>
    </w:rPr>
  </w:style>
  <w:style w:type="paragraph" w:styleId="Ttulo9">
    <w:name w:val="heading 9"/>
    <w:basedOn w:val="Normal"/>
    <w:next w:val="Normal"/>
    <w:qFormat/>
    <w:pPr>
      <w:keepNext/>
      <w:tabs>
        <w:tab w:val="right" w:pos="8222"/>
      </w:tabs>
      <w:overflowPunct w:val="0"/>
      <w:autoSpaceDE w:val="0"/>
      <w:autoSpaceDN w:val="0"/>
      <w:adjustRightInd w:val="0"/>
      <w:spacing w:before="240"/>
      <w:ind w:left="568" w:right="850"/>
      <w:jc w:val="both"/>
      <w:textAlignment w:val="baseline"/>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paragraph" w:styleId="Encabezado">
    <w:name w:val="header"/>
    <w:basedOn w:val="Normal"/>
    <w:semiHidden/>
    <w:pPr>
      <w:tabs>
        <w:tab w:val="center" w:pos="4819"/>
        <w:tab w:val="right" w:pos="9071"/>
      </w:tabs>
    </w:pPr>
  </w:style>
  <w:style w:type="character" w:styleId="Hipervnculo">
    <w:name w:val="Hyperlink"/>
    <w:uiPriority w:val="99"/>
    <w:semiHidden/>
    <w:rPr>
      <w:color w:val="FF0000"/>
      <w:u w:val="single"/>
    </w:rPr>
  </w:style>
  <w:style w:type="paragraph" w:styleId="Encabezadodemensaje">
    <w:name w:val="Message Header"/>
    <w:basedOn w:val="Textoindependiente"/>
    <w:semiHidden/>
    <w:pPr>
      <w:keepLines/>
      <w:tabs>
        <w:tab w:val="left" w:pos="720"/>
        <w:tab w:val="left" w:pos="4320"/>
        <w:tab w:val="left" w:pos="5040"/>
        <w:tab w:val="right" w:pos="8640"/>
      </w:tabs>
      <w:spacing w:after="40" w:line="440" w:lineRule="atLeast"/>
      <w:ind w:left="720" w:hanging="720"/>
    </w:pPr>
    <w:rPr>
      <w:rFonts w:ascii="Arial" w:hAnsi="Arial"/>
      <w:spacing w:val="-5"/>
      <w:lang w:val="es-ES" w:eastAsia="en-US"/>
    </w:rPr>
  </w:style>
  <w:style w:type="paragraph" w:styleId="Textoindependiente">
    <w:name w:val="Body Text"/>
    <w:basedOn w:val="Normal"/>
    <w:semiHidden/>
    <w:pPr>
      <w:spacing w:after="120"/>
    </w:pPr>
  </w:style>
  <w:style w:type="paragraph" w:customStyle="1" w:styleId="Encabezadodemensaje-primera">
    <w:name w:val="Encabezado de mensaje - primera"/>
    <w:basedOn w:val="Encabezadodemensaje"/>
    <w:next w:val="Encabezadodemensaje"/>
  </w:style>
  <w:style w:type="character" w:styleId="Textoennegrita">
    <w:name w:val="Strong"/>
    <w:qFormat/>
    <w:rPr>
      <w:b/>
      <w:bCs/>
      <w:lang w:val="es-ES" w:bidi="ar-SA"/>
    </w:rPr>
  </w:style>
  <w:style w:type="character" w:styleId="Nmerodepgina">
    <w:name w:val="page number"/>
    <w:basedOn w:val="Fuentedeprrafopredeter"/>
    <w:semiHidden/>
  </w:style>
  <w:style w:type="paragraph" w:styleId="Sangradetextonormal">
    <w:name w:val="Body Text Indent"/>
    <w:basedOn w:val="Normal"/>
    <w:semiHidden/>
    <w:pPr>
      <w:tabs>
        <w:tab w:val="right" w:pos="8364"/>
      </w:tabs>
      <w:overflowPunct w:val="0"/>
      <w:autoSpaceDE w:val="0"/>
      <w:autoSpaceDN w:val="0"/>
      <w:adjustRightInd w:val="0"/>
      <w:ind w:firstLine="567"/>
      <w:jc w:val="both"/>
      <w:textAlignment w:val="baseline"/>
    </w:pPr>
    <w:rPr>
      <w:sz w:val="24"/>
    </w:rPr>
  </w:style>
  <w:style w:type="paragraph" w:styleId="Sangra3detindependiente">
    <w:name w:val="Body Text Indent 3"/>
    <w:basedOn w:val="Normal"/>
    <w:link w:val="Sangra3detindependienteCar"/>
    <w:semiHidden/>
    <w:pPr>
      <w:tabs>
        <w:tab w:val="center" w:pos="5671"/>
        <w:tab w:val="center" w:pos="7797"/>
      </w:tabs>
      <w:ind w:firstLine="540"/>
      <w:jc w:val="both"/>
    </w:pPr>
    <w:rPr>
      <w:sz w:val="24"/>
      <w:szCs w:val="24"/>
    </w:rPr>
  </w:style>
  <w:style w:type="paragraph" w:styleId="Sangra2detindependiente">
    <w:name w:val="Body Text Indent 2"/>
    <w:basedOn w:val="Normal"/>
    <w:link w:val="Sangra2detindependienteCar"/>
    <w:semiHidden/>
    <w:pPr>
      <w:tabs>
        <w:tab w:val="center" w:pos="1843"/>
        <w:tab w:val="center" w:pos="5671"/>
        <w:tab w:val="center" w:pos="7797"/>
      </w:tabs>
      <w:ind w:firstLine="568"/>
      <w:jc w:val="both"/>
    </w:pPr>
    <w:rPr>
      <w:sz w:val="24"/>
    </w:rPr>
  </w:style>
  <w:style w:type="paragraph" w:customStyle="1" w:styleId="xl28">
    <w:name w:val="xl28"/>
    <w:basedOn w:val="Normal"/>
    <w:pPr>
      <w:spacing w:before="100" w:beforeAutospacing="1" w:after="100" w:afterAutospacing="1"/>
    </w:pPr>
    <w:rPr>
      <w:rFonts w:ascii="Arial" w:eastAsia="Arial Unicode MS" w:hAnsi="Arial" w:cs="Arial"/>
      <w:sz w:val="14"/>
      <w:szCs w:val="14"/>
      <w:lang w:val="es-ES"/>
    </w:rPr>
  </w:style>
  <w:style w:type="paragraph" w:styleId="Epgrafe">
    <w:name w:val="caption"/>
    <w:basedOn w:val="Normal"/>
    <w:next w:val="Normal"/>
    <w:qFormat/>
    <w:rPr>
      <w:b/>
      <w:bCs/>
      <w:sz w:val="28"/>
      <w:u w:val="single"/>
    </w:rPr>
  </w:style>
  <w:style w:type="paragraph" w:styleId="Textoindependiente2">
    <w:name w:val="Body Text 2"/>
    <w:basedOn w:val="Normal"/>
    <w:semiHidden/>
    <w:pPr>
      <w:tabs>
        <w:tab w:val="right" w:pos="8364"/>
      </w:tabs>
      <w:jc w:val="both"/>
    </w:pPr>
    <w:rPr>
      <w:bCs/>
      <w:sz w:val="24"/>
      <w:szCs w:val="24"/>
    </w:rPr>
  </w:style>
  <w:style w:type="paragraph" w:styleId="NormalWeb">
    <w:name w:val="Normal (Web)"/>
    <w:basedOn w:val="Normal"/>
    <w:uiPriority w:val="99"/>
    <w:semiHidden/>
    <w:pPr>
      <w:suppressAutoHyphens/>
      <w:spacing w:before="280" w:after="280"/>
    </w:pPr>
    <w:rPr>
      <w:sz w:val="24"/>
      <w:szCs w:val="24"/>
      <w:lang w:eastAsia="ar-SA"/>
    </w:rPr>
  </w:style>
  <w:style w:type="paragraph" w:customStyle="1" w:styleId="ListParagraph1">
    <w:name w:val="List Paragraph1"/>
    <w:basedOn w:val="Normal"/>
    <w:qFormat/>
    <w:pPr>
      <w:ind w:left="720"/>
    </w:p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s-ES_tradnl"/>
    </w:rPr>
  </w:style>
  <w:style w:type="paragraph" w:customStyle="1" w:styleId="BSFigures">
    <w:name w:val="BS Figures"/>
    <w:pPr>
      <w:widowControl w:val="0"/>
      <w:autoSpaceDE w:val="0"/>
      <w:autoSpaceDN w:val="0"/>
      <w:adjustRightInd w:val="0"/>
      <w:ind w:left="113" w:right="113"/>
      <w:jc w:val="right"/>
    </w:pPr>
    <w:rPr>
      <w:color w:val="000000"/>
      <w:sz w:val="18"/>
      <w:szCs w:val="18"/>
    </w:rPr>
  </w:style>
  <w:style w:type="paragraph" w:customStyle="1" w:styleId="Body2">
    <w:name w:val="Body2"/>
    <w:pPr>
      <w:keepLines/>
      <w:widowControl w:val="0"/>
      <w:autoSpaceDE w:val="0"/>
      <w:autoSpaceDN w:val="0"/>
      <w:adjustRightInd w:val="0"/>
      <w:spacing w:before="238"/>
      <w:ind w:left="1417" w:hanging="226"/>
      <w:jc w:val="both"/>
    </w:pPr>
    <w:rPr>
      <w:color w:val="000000"/>
      <w:sz w:val="22"/>
      <w:szCs w:val="22"/>
    </w:rPr>
  </w:style>
  <w:style w:type="paragraph" w:customStyle="1" w:styleId="Body3">
    <w:name w:val="Body3"/>
    <w:pPr>
      <w:keepLines/>
      <w:widowControl w:val="0"/>
      <w:autoSpaceDE w:val="0"/>
      <w:autoSpaceDN w:val="0"/>
      <w:adjustRightInd w:val="0"/>
      <w:spacing w:before="238"/>
      <w:ind w:left="1559" w:hanging="226"/>
      <w:jc w:val="both"/>
    </w:pPr>
    <w:rPr>
      <w:color w:val="000000"/>
      <w:sz w:val="22"/>
      <w:szCs w:val="22"/>
    </w:rPr>
  </w:style>
  <w:style w:type="paragraph" w:customStyle="1" w:styleId="Footer2">
    <w:name w:val="Footer2"/>
    <w:pPr>
      <w:widowControl w:val="0"/>
      <w:autoSpaceDE w:val="0"/>
      <w:autoSpaceDN w:val="0"/>
      <w:adjustRightInd w:val="0"/>
      <w:jc w:val="right"/>
    </w:pPr>
    <w:rPr>
      <w:color w:val="000000"/>
      <w:sz w:val="22"/>
      <w:szCs w:val="22"/>
    </w:rPr>
  </w:style>
  <w:style w:type="paragraph" w:customStyle="1" w:styleId="Memhead">
    <w:name w:val="Mem head"/>
    <w:pPr>
      <w:widowControl w:val="0"/>
      <w:autoSpaceDE w:val="0"/>
      <w:autoSpaceDN w:val="0"/>
      <w:adjustRightInd w:val="0"/>
      <w:jc w:val="center"/>
    </w:pPr>
    <w:rPr>
      <w:color w:val="000000"/>
      <w:sz w:val="22"/>
      <w:szCs w:val="22"/>
    </w:rPr>
  </w:style>
  <w:style w:type="paragraph" w:customStyle="1" w:styleId="Memheadspace">
    <w:name w:val="Mem head space"/>
    <w:pPr>
      <w:widowControl w:val="0"/>
      <w:autoSpaceDE w:val="0"/>
      <w:autoSpaceDN w:val="0"/>
      <w:adjustRightInd w:val="0"/>
      <w:spacing w:before="119"/>
      <w:jc w:val="center"/>
    </w:pPr>
    <w:rPr>
      <w:color w:val="000000"/>
      <w:sz w:val="22"/>
      <w:szCs w:val="22"/>
    </w:rPr>
  </w:style>
  <w:style w:type="character" w:customStyle="1" w:styleId="BodyTextChar">
    <w:name w:val="Body Text Char"/>
    <w:semiHidden/>
    <w:rPr>
      <w:lang w:val="es-ES_tradnl" w:eastAsia="es-ES"/>
    </w:rPr>
  </w:style>
  <w:style w:type="paragraph" w:styleId="Textodeglobo">
    <w:name w:val="Balloon Text"/>
    <w:basedOn w:val="Normal"/>
    <w:link w:val="TextodegloboCar"/>
    <w:uiPriority w:val="99"/>
    <w:semiHidden/>
    <w:unhideWhenUsed/>
    <w:rsid w:val="00490E9C"/>
    <w:rPr>
      <w:rFonts w:ascii="Tahoma" w:hAnsi="Tahoma"/>
      <w:sz w:val="16"/>
      <w:szCs w:val="16"/>
      <w:lang w:val="x-none"/>
    </w:rPr>
  </w:style>
  <w:style w:type="character" w:customStyle="1" w:styleId="TextodegloboCar">
    <w:name w:val="Texto de globo Car"/>
    <w:link w:val="Textodeglobo"/>
    <w:uiPriority w:val="99"/>
    <w:semiHidden/>
    <w:rsid w:val="00490E9C"/>
    <w:rPr>
      <w:rFonts w:ascii="Tahoma" w:hAnsi="Tahoma" w:cs="Tahoma"/>
      <w:sz w:val="16"/>
      <w:szCs w:val="16"/>
      <w:lang w:eastAsia="es-ES"/>
    </w:rPr>
  </w:style>
  <w:style w:type="table" w:styleId="Tablaconcuadrcula">
    <w:name w:val="Table Grid"/>
    <w:basedOn w:val="Tablanormal"/>
    <w:uiPriority w:val="59"/>
    <w:rsid w:val="007F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4432"/>
    <w:pPr>
      <w:ind w:left="708"/>
    </w:pPr>
  </w:style>
  <w:style w:type="character" w:customStyle="1" w:styleId="Sangra2detindependienteCar">
    <w:name w:val="Sangría 2 de t. independiente Car"/>
    <w:link w:val="Sangra2detindependiente"/>
    <w:semiHidden/>
    <w:rsid w:val="00E90A55"/>
    <w:rPr>
      <w:sz w:val="24"/>
      <w:lang w:val="es-ES_tradnl"/>
    </w:rPr>
  </w:style>
  <w:style w:type="paragraph" w:styleId="Revisin">
    <w:name w:val="Revision"/>
    <w:hidden/>
    <w:uiPriority w:val="99"/>
    <w:semiHidden/>
    <w:rsid w:val="0020324A"/>
    <w:rPr>
      <w:lang w:val="es-ES_tradnl"/>
    </w:rPr>
  </w:style>
  <w:style w:type="character" w:customStyle="1" w:styleId="Sangra3detindependienteCar">
    <w:name w:val="Sangría 3 de t. independiente Car"/>
    <w:basedOn w:val="Fuentedeprrafopredeter"/>
    <w:link w:val="Sangra3detindependiente"/>
    <w:semiHidden/>
    <w:rsid w:val="00357986"/>
    <w:rPr>
      <w:sz w:val="24"/>
      <w:szCs w:val="24"/>
      <w:lang w:val="es-ES_tradnl"/>
    </w:rPr>
  </w:style>
  <w:style w:type="paragraph" w:styleId="TtulodeTDC">
    <w:name w:val="TOC Heading"/>
    <w:basedOn w:val="Ttulo1"/>
    <w:next w:val="Normal"/>
    <w:uiPriority w:val="39"/>
    <w:semiHidden/>
    <w:unhideWhenUsed/>
    <w:qFormat/>
    <w:rsid w:val="007411C0"/>
    <w:pPr>
      <w:keepLines/>
      <w:framePr w:w="0" w:hRule="auto" w:hSpace="0" w:wrap="auto" w:vAnchor="margin" w:hAnchor="text" w:xAlign="left" w:yAlign="inline"/>
      <w:spacing w:before="480" w:line="276" w:lineRule="auto"/>
      <w:outlineLvl w:val="9"/>
    </w:pPr>
    <w:rPr>
      <w:rFonts w:asciiTheme="majorHAnsi" w:eastAsiaTheme="majorEastAsia" w:hAnsiTheme="majorHAnsi" w:cstheme="majorBidi"/>
      <w:bCs/>
      <w:color w:val="365F91" w:themeColor="accent1" w:themeShade="BF"/>
      <w:lang w:val="es-ES"/>
    </w:rPr>
  </w:style>
  <w:style w:type="paragraph" w:customStyle="1" w:styleId="Default">
    <w:name w:val="Default"/>
    <w:rsid w:val="00E775E1"/>
    <w:pPr>
      <w:autoSpaceDE w:val="0"/>
      <w:autoSpaceDN w:val="0"/>
      <w:adjustRightInd w:val="0"/>
    </w:pPr>
    <w:rPr>
      <w:color w:val="000000"/>
      <w:sz w:val="24"/>
      <w:szCs w:val="24"/>
    </w:rPr>
  </w:style>
  <w:style w:type="character" w:styleId="Hipervnculovisitado">
    <w:name w:val="FollowedHyperlink"/>
    <w:basedOn w:val="Fuentedeprrafopredeter"/>
    <w:uiPriority w:val="99"/>
    <w:semiHidden/>
    <w:unhideWhenUsed/>
    <w:rsid w:val="00507DEF"/>
    <w:rPr>
      <w:color w:val="800080"/>
      <w:u w:val="single"/>
    </w:rPr>
  </w:style>
  <w:style w:type="paragraph" w:customStyle="1" w:styleId="xl65">
    <w:name w:val="xl65"/>
    <w:basedOn w:val="Normal"/>
    <w:rsid w:val="00507DEF"/>
    <w:pPr>
      <w:spacing w:before="100" w:beforeAutospacing="1" w:after="100" w:afterAutospacing="1"/>
    </w:pPr>
    <w:rPr>
      <w:rFonts w:ascii="Lucida Bright" w:hAnsi="Lucida Bright"/>
      <w:sz w:val="16"/>
      <w:szCs w:val="16"/>
      <w:lang w:val="es-ES"/>
    </w:rPr>
  </w:style>
  <w:style w:type="paragraph" w:customStyle="1" w:styleId="xl66">
    <w:name w:val="xl66"/>
    <w:basedOn w:val="Normal"/>
    <w:rsid w:val="00507DEF"/>
    <w:pPr>
      <w:spacing w:before="100" w:beforeAutospacing="1" w:after="100" w:afterAutospacing="1"/>
    </w:pPr>
    <w:rPr>
      <w:rFonts w:ascii="Lucida Bright" w:hAnsi="Lucida Bright"/>
      <w:b/>
      <w:bCs/>
      <w:sz w:val="16"/>
      <w:szCs w:val="16"/>
      <w:lang w:val="es-ES"/>
    </w:rPr>
  </w:style>
  <w:style w:type="paragraph" w:customStyle="1" w:styleId="xl67">
    <w:name w:val="xl67"/>
    <w:basedOn w:val="Normal"/>
    <w:rsid w:val="00507DEF"/>
    <w:pPr>
      <w:pBdr>
        <w:left w:val="single" w:sz="8" w:space="0" w:color="auto"/>
      </w:pBdr>
      <w:spacing w:before="100" w:beforeAutospacing="1" w:after="100" w:afterAutospacing="1"/>
    </w:pPr>
    <w:rPr>
      <w:rFonts w:ascii="Lucida Bright" w:hAnsi="Lucida Bright"/>
      <w:sz w:val="14"/>
      <w:szCs w:val="14"/>
      <w:lang w:val="es-ES"/>
    </w:rPr>
  </w:style>
  <w:style w:type="paragraph" w:customStyle="1" w:styleId="xl68">
    <w:name w:val="xl68"/>
    <w:basedOn w:val="Normal"/>
    <w:rsid w:val="00507DEF"/>
    <w:pPr>
      <w:pBdr>
        <w:top w:val="single" w:sz="8" w:space="0" w:color="auto"/>
        <w:left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69">
    <w:name w:val="xl69"/>
    <w:basedOn w:val="Normal"/>
    <w:rsid w:val="00507DEF"/>
    <w:pPr>
      <w:pBdr>
        <w:top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0">
    <w:name w:val="xl70"/>
    <w:basedOn w:val="Normal"/>
    <w:rsid w:val="00507DEF"/>
    <w:pPr>
      <w:pBdr>
        <w:top w:val="single" w:sz="8" w:space="0" w:color="auto"/>
        <w:right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1">
    <w:name w:val="xl71"/>
    <w:basedOn w:val="Normal"/>
    <w:rsid w:val="00507DEF"/>
    <w:pPr>
      <w:pBdr>
        <w:left w:val="single" w:sz="8" w:space="0" w:color="auto"/>
        <w:bottom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2">
    <w:name w:val="xl72"/>
    <w:basedOn w:val="Normal"/>
    <w:rsid w:val="00507DEF"/>
    <w:pPr>
      <w:pBdr>
        <w:bottom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3">
    <w:name w:val="xl73"/>
    <w:basedOn w:val="Normal"/>
    <w:rsid w:val="00507DEF"/>
    <w:pPr>
      <w:pBdr>
        <w:bottom w:val="single" w:sz="8" w:space="0" w:color="auto"/>
        <w:right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4">
    <w:name w:val="xl74"/>
    <w:basedOn w:val="Normal"/>
    <w:rsid w:val="00507DEF"/>
    <w:pPr>
      <w:pBdr>
        <w:top w:val="single" w:sz="8" w:space="0" w:color="auto"/>
        <w:left w:val="single" w:sz="8" w:space="0" w:color="auto"/>
        <w:right w:val="single" w:sz="8" w:space="0" w:color="auto"/>
      </w:pBdr>
      <w:spacing w:before="100" w:beforeAutospacing="1" w:after="100" w:afterAutospacing="1"/>
    </w:pPr>
    <w:rPr>
      <w:rFonts w:ascii="Lucida Bright" w:hAnsi="Lucida Bright"/>
      <w:sz w:val="14"/>
      <w:szCs w:val="14"/>
      <w:lang w:val="es-ES"/>
    </w:rPr>
  </w:style>
  <w:style w:type="paragraph" w:customStyle="1" w:styleId="xl75">
    <w:name w:val="xl75"/>
    <w:basedOn w:val="Normal"/>
    <w:rsid w:val="00507DEF"/>
    <w:pPr>
      <w:pBdr>
        <w:top w:val="single" w:sz="8" w:space="0" w:color="auto"/>
        <w:right w:val="single" w:sz="8" w:space="0" w:color="auto"/>
      </w:pBdr>
      <w:spacing w:before="100" w:beforeAutospacing="1" w:after="100" w:afterAutospacing="1"/>
    </w:pPr>
    <w:rPr>
      <w:rFonts w:ascii="Lucida Bright" w:hAnsi="Lucida Bright"/>
      <w:sz w:val="14"/>
      <w:szCs w:val="14"/>
      <w:lang w:val="es-ES"/>
    </w:rPr>
  </w:style>
  <w:style w:type="paragraph" w:customStyle="1" w:styleId="xl76">
    <w:name w:val="xl76"/>
    <w:basedOn w:val="Normal"/>
    <w:rsid w:val="00507DEF"/>
    <w:pPr>
      <w:pBdr>
        <w:top w:val="single" w:sz="8" w:space="0" w:color="auto"/>
        <w:left w:val="single" w:sz="8" w:space="0" w:color="auto"/>
        <w:bottom w:val="single" w:sz="8" w:space="0" w:color="auto"/>
        <w:right w:val="single" w:sz="8" w:space="0" w:color="auto"/>
      </w:pBdr>
      <w:spacing w:before="100" w:beforeAutospacing="1" w:after="100" w:afterAutospacing="1"/>
    </w:pPr>
    <w:rPr>
      <w:rFonts w:ascii="Lucida Bright" w:hAnsi="Lucida Bright"/>
      <w:sz w:val="14"/>
      <w:szCs w:val="14"/>
      <w:lang w:val="es-ES"/>
    </w:rPr>
  </w:style>
  <w:style w:type="paragraph" w:customStyle="1" w:styleId="xl77">
    <w:name w:val="xl77"/>
    <w:basedOn w:val="Normal"/>
    <w:rsid w:val="00507DEF"/>
    <w:pPr>
      <w:pBdr>
        <w:left w:val="single" w:sz="8" w:space="0" w:color="auto"/>
      </w:pBdr>
      <w:spacing w:before="100" w:beforeAutospacing="1" w:after="100" w:afterAutospacing="1"/>
    </w:pPr>
    <w:rPr>
      <w:rFonts w:ascii="Lucida Bright" w:hAnsi="Lucida Bright"/>
      <w:sz w:val="14"/>
      <w:szCs w:val="14"/>
      <w:lang w:val="es-ES"/>
    </w:rPr>
  </w:style>
  <w:style w:type="paragraph" w:customStyle="1" w:styleId="xl78">
    <w:name w:val="xl78"/>
    <w:basedOn w:val="Normal"/>
    <w:rsid w:val="00507DEF"/>
    <w:pPr>
      <w:spacing w:before="100" w:beforeAutospacing="1" w:after="100" w:afterAutospacing="1"/>
    </w:pPr>
    <w:rPr>
      <w:rFonts w:ascii="Lucida Bright" w:hAnsi="Lucida Bright"/>
      <w:b/>
      <w:bCs/>
      <w:sz w:val="14"/>
      <w:szCs w:val="14"/>
      <w:lang w:val="es-ES"/>
    </w:rPr>
  </w:style>
  <w:style w:type="paragraph" w:customStyle="1" w:styleId="xl79">
    <w:name w:val="xl79"/>
    <w:basedOn w:val="Normal"/>
    <w:rsid w:val="00507DEF"/>
    <w:pPr>
      <w:spacing w:before="100" w:beforeAutospacing="1" w:after="100" w:afterAutospacing="1"/>
    </w:pPr>
    <w:rPr>
      <w:rFonts w:ascii="Lucida Bright" w:hAnsi="Lucida Bright"/>
      <w:sz w:val="14"/>
      <w:szCs w:val="14"/>
      <w:lang w:val="es-ES"/>
    </w:rPr>
  </w:style>
  <w:style w:type="paragraph" w:customStyle="1" w:styleId="xl80">
    <w:name w:val="xl80"/>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81">
    <w:name w:val="xl81"/>
    <w:basedOn w:val="Normal"/>
    <w:rsid w:val="00507DEF"/>
    <w:pPr>
      <w:pBdr>
        <w:left w:val="single" w:sz="8" w:space="0" w:color="auto"/>
        <w:right w:val="single" w:sz="4" w:space="0" w:color="auto"/>
      </w:pBdr>
      <w:spacing w:before="100" w:beforeAutospacing="1" w:after="100" w:afterAutospacing="1"/>
      <w:textAlignment w:val="center"/>
    </w:pPr>
    <w:rPr>
      <w:rFonts w:ascii="Lucida Bright" w:hAnsi="Lucida Bright"/>
      <w:sz w:val="14"/>
      <w:szCs w:val="14"/>
      <w:lang w:val="es-ES"/>
    </w:rPr>
  </w:style>
  <w:style w:type="paragraph" w:customStyle="1" w:styleId="xl82">
    <w:name w:val="xl82"/>
    <w:basedOn w:val="Normal"/>
    <w:rsid w:val="00507DEF"/>
    <w:pPr>
      <w:pBdr>
        <w:left w:val="single" w:sz="4" w:space="0" w:color="auto"/>
        <w:right w:val="single" w:sz="8" w:space="0" w:color="auto"/>
      </w:pBdr>
      <w:spacing w:before="100" w:beforeAutospacing="1" w:after="100" w:afterAutospacing="1"/>
      <w:jc w:val="center"/>
      <w:textAlignment w:val="center"/>
    </w:pPr>
    <w:rPr>
      <w:rFonts w:ascii="Lucida Bright" w:hAnsi="Lucida Bright"/>
      <w:sz w:val="14"/>
      <w:szCs w:val="14"/>
      <w:lang w:val="es-ES"/>
    </w:rPr>
  </w:style>
  <w:style w:type="paragraph" w:customStyle="1" w:styleId="xl83">
    <w:name w:val="xl83"/>
    <w:basedOn w:val="Normal"/>
    <w:rsid w:val="00507DEF"/>
    <w:pPr>
      <w:pBdr>
        <w:lef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84">
    <w:name w:val="xl84"/>
    <w:basedOn w:val="Normal"/>
    <w:rsid w:val="00507DEF"/>
    <w:pPr>
      <w:pBdr>
        <w:left w:val="single" w:sz="8" w:space="0" w:color="auto"/>
      </w:pBdr>
      <w:spacing w:before="100" w:beforeAutospacing="1" w:after="100" w:afterAutospacing="1"/>
      <w:jc w:val="right"/>
      <w:textAlignment w:val="center"/>
    </w:pPr>
    <w:rPr>
      <w:rFonts w:ascii="Lucida Bright" w:hAnsi="Lucida Bright"/>
      <w:sz w:val="14"/>
      <w:szCs w:val="14"/>
      <w:lang w:val="es-ES"/>
    </w:rPr>
  </w:style>
  <w:style w:type="paragraph" w:customStyle="1" w:styleId="xl85">
    <w:name w:val="xl85"/>
    <w:basedOn w:val="Normal"/>
    <w:rsid w:val="00507DEF"/>
    <w:pPr>
      <w:pBdr>
        <w:left w:val="single" w:sz="8" w:space="0" w:color="auto"/>
      </w:pBdr>
      <w:spacing w:before="100" w:beforeAutospacing="1" w:after="100" w:afterAutospacing="1"/>
      <w:jc w:val="right"/>
      <w:textAlignment w:val="center"/>
    </w:pPr>
    <w:rPr>
      <w:rFonts w:ascii="Lucida Bright" w:hAnsi="Lucida Bright"/>
      <w:sz w:val="14"/>
      <w:szCs w:val="14"/>
      <w:lang w:val="es-ES"/>
    </w:rPr>
  </w:style>
  <w:style w:type="paragraph" w:customStyle="1" w:styleId="xl86">
    <w:name w:val="xl86"/>
    <w:basedOn w:val="Normal"/>
    <w:rsid w:val="00507DEF"/>
    <w:pPr>
      <w:pBdr>
        <w:lef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87">
    <w:name w:val="xl87"/>
    <w:basedOn w:val="Normal"/>
    <w:rsid w:val="00507DEF"/>
    <w:pPr>
      <w:pBdr>
        <w:left w:val="single" w:sz="8" w:space="0" w:color="auto"/>
        <w:bottom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88">
    <w:name w:val="xl88"/>
    <w:basedOn w:val="Normal"/>
    <w:rsid w:val="00507DEF"/>
    <w:pPr>
      <w:pBdr>
        <w:left w:val="single" w:sz="8" w:space="0" w:color="auto"/>
        <w:right w:val="single" w:sz="8" w:space="0" w:color="auto"/>
      </w:pBdr>
      <w:spacing w:before="100" w:beforeAutospacing="1" w:after="100" w:afterAutospacing="1"/>
    </w:pPr>
    <w:rPr>
      <w:rFonts w:ascii="Lucida Bright" w:hAnsi="Lucida Bright"/>
      <w:sz w:val="14"/>
      <w:szCs w:val="14"/>
      <w:lang w:val="es-ES"/>
    </w:rPr>
  </w:style>
  <w:style w:type="paragraph" w:customStyle="1" w:styleId="xl89">
    <w:name w:val="xl89"/>
    <w:basedOn w:val="Normal"/>
    <w:rsid w:val="00507DEF"/>
    <w:pPr>
      <w:pBdr>
        <w:left w:val="single" w:sz="8" w:space="0" w:color="auto"/>
        <w:right w:val="single" w:sz="8" w:space="0" w:color="auto"/>
      </w:pBdr>
      <w:spacing w:before="100" w:beforeAutospacing="1" w:after="100" w:afterAutospacing="1"/>
      <w:jc w:val="center"/>
      <w:textAlignment w:val="center"/>
    </w:pPr>
    <w:rPr>
      <w:rFonts w:ascii="Lucida Bright" w:hAnsi="Lucida Bright"/>
      <w:sz w:val="14"/>
      <w:szCs w:val="14"/>
      <w:lang w:val="es-ES"/>
    </w:rPr>
  </w:style>
  <w:style w:type="paragraph" w:customStyle="1" w:styleId="xl90">
    <w:name w:val="xl90"/>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1">
    <w:name w:val="xl91"/>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2">
    <w:name w:val="xl92"/>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3">
    <w:name w:val="xl93"/>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4">
    <w:name w:val="xl94"/>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5">
    <w:name w:val="xl95"/>
    <w:basedOn w:val="Normal"/>
    <w:rsid w:val="00507DEF"/>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pPr>
    <w:rPr>
      <w:rFonts w:ascii="Lucida Bright" w:hAnsi="Lucida Bright"/>
      <w:b/>
      <w:bCs/>
      <w:sz w:val="14"/>
      <w:szCs w:val="14"/>
      <w:lang w:val="es-ES"/>
    </w:rPr>
  </w:style>
  <w:style w:type="paragraph" w:customStyle="1" w:styleId="xl96">
    <w:name w:val="xl96"/>
    <w:basedOn w:val="Normal"/>
    <w:rsid w:val="00507DEF"/>
    <w:pPr>
      <w:pBdr>
        <w:top w:val="single" w:sz="8" w:space="0" w:color="auto"/>
        <w:bottom w:val="single" w:sz="8" w:space="0" w:color="auto"/>
        <w:right w:val="single" w:sz="8" w:space="0" w:color="auto"/>
      </w:pBdr>
      <w:shd w:val="clear" w:color="000000" w:fill="CCFFCC"/>
      <w:spacing w:before="100" w:beforeAutospacing="1" w:after="100" w:afterAutospacing="1"/>
      <w:jc w:val="center"/>
    </w:pPr>
    <w:rPr>
      <w:rFonts w:ascii="Lucida Bright" w:hAnsi="Lucida Bright"/>
      <w:b/>
      <w:bCs/>
      <w:sz w:val="14"/>
      <w:szCs w:val="14"/>
      <w:lang w:val="es-ES"/>
    </w:rPr>
  </w:style>
  <w:style w:type="paragraph" w:customStyle="1" w:styleId="xl97">
    <w:name w:val="xl97"/>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98">
    <w:name w:val="xl98"/>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9">
    <w:name w:val="xl99"/>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0">
    <w:name w:val="xl100"/>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1">
    <w:name w:val="xl101"/>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02">
    <w:name w:val="xl102"/>
    <w:basedOn w:val="Normal"/>
    <w:rsid w:val="00507DEF"/>
    <w:pPr>
      <w:pBdr>
        <w:top w:val="single" w:sz="8" w:space="0" w:color="auto"/>
        <w:left w:val="single" w:sz="8" w:space="0" w:color="auto"/>
        <w:bottom w:val="single" w:sz="8" w:space="0" w:color="auto"/>
      </w:pBdr>
      <w:shd w:val="clear" w:color="000000" w:fill="CCFFCC"/>
      <w:spacing w:before="100" w:beforeAutospacing="1" w:after="100" w:afterAutospacing="1"/>
      <w:jc w:val="center"/>
    </w:pPr>
    <w:rPr>
      <w:rFonts w:ascii="Lucida Bright" w:hAnsi="Lucida Bright"/>
      <w:b/>
      <w:bCs/>
      <w:sz w:val="14"/>
      <w:szCs w:val="14"/>
      <w:lang w:val="es-ES"/>
    </w:rPr>
  </w:style>
  <w:style w:type="paragraph" w:customStyle="1" w:styleId="xl103">
    <w:name w:val="xl103"/>
    <w:basedOn w:val="Normal"/>
    <w:rsid w:val="00507DEF"/>
    <w:pPr>
      <w:pBdr>
        <w:top w:val="single" w:sz="8" w:space="0" w:color="auto"/>
        <w:bottom w:val="single" w:sz="8" w:space="0" w:color="auto"/>
        <w:right w:val="single" w:sz="8" w:space="0" w:color="auto"/>
      </w:pBdr>
      <w:shd w:val="clear" w:color="000000" w:fill="CCFFCC"/>
      <w:spacing w:before="100" w:beforeAutospacing="1" w:after="100" w:afterAutospacing="1"/>
      <w:jc w:val="center"/>
    </w:pPr>
    <w:rPr>
      <w:rFonts w:ascii="Lucida Bright" w:hAnsi="Lucida Bright"/>
      <w:b/>
      <w:bCs/>
      <w:sz w:val="14"/>
      <w:szCs w:val="14"/>
      <w:lang w:val="es-ES"/>
    </w:rPr>
  </w:style>
  <w:style w:type="paragraph" w:customStyle="1" w:styleId="xl104">
    <w:name w:val="xl104"/>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5">
    <w:name w:val="xl105"/>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06">
    <w:name w:val="xl106"/>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7">
    <w:name w:val="xl107"/>
    <w:basedOn w:val="Normal"/>
    <w:rsid w:val="00507DEF"/>
    <w:pPr>
      <w:pBdr>
        <w:lef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08">
    <w:name w:val="xl108"/>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9">
    <w:name w:val="xl109"/>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10">
    <w:name w:val="xl110"/>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11">
    <w:name w:val="xl111"/>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12">
    <w:name w:val="xl112"/>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13">
    <w:name w:val="xl113"/>
    <w:basedOn w:val="Normal"/>
    <w:rsid w:val="007131C1"/>
    <w:pPr>
      <w:pBdr>
        <w:lef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14">
    <w:name w:val="xl114"/>
    <w:basedOn w:val="Normal"/>
    <w:rsid w:val="003E1013"/>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15">
    <w:name w:val="xl115"/>
    <w:basedOn w:val="Normal"/>
    <w:rsid w:val="003E1013"/>
    <w:pPr>
      <w:spacing w:before="100" w:beforeAutospacing="1" w:after="100" w:afterAutospacing="1"/>
      <w:textAlignment w:val="center"/>
    </w:pPr>
    <w:rPr>
      <w:rFonts w:ascii="Lucida Bright" w:hAnsi="Lucida Bright"/>
      <w:sz w:val="14"/>
      <w:szCs w:val="14"/>
      <w:lang w:val="es-ES"/>
    </w:rPr>
  </w:style>
  <w:style w:type="paragraph" w:customStyle="1" w:styleId="xl116">
    <w:name w:val="xl116"/>
    <w:basedOn w:val="Normal"/>
    <w:rsid w:val="003E1013"/>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17">
    <w:name w:val="xl117"/>
    <w:basedOn w:val="Normal"/>
    <w:rsid w:val="003E1013"/>
    <w:pPr>
      <w:pBdr>
        <w:left w:val="single" w:sz="8" w:space="0" w:color="auto"/>
        <w:bottom w:val="single" w:sz="8" w:space="0" w:color="auto"/>
        <w:right w:val="single" w:sz="8" w:space="0" w:color="auto"/>
      </w:pBdr>
      <w:spacing w:before="100" w:beforeAutospacing="1" w:after="100" w:afterAutospacing="1"/>
    </w:pPr>
    <w:rPr>
      <w:rFonts w:ascii="Lucida Bright" w:hAnsi="Lucida Bright"/>
      <w:b/>
      <w:bCs/>
      <w:sz w:val="14"/>
      <w:szCs w:val="14"/>
      <w:lang w:val="es-ES"/>
    </w:rPr>
  </w:style>
  <w:style w:type="paragraph" w:customStyle="1" w:styleId="xl118">
    <w:name w:val="xl118"/>
    <w:basedOn w:val="Normal"/>
    <w:rsid w:val="003E1013"/>
    <w:pPr>
      <w:spacing w:before="100" w:beforeAutospacing="1" w:after="100" w:afterAutospacing="1"/>
      <w:textAlignment w:val="center"/>
    </w:pPr>
    <w:rPr>
      <w:rFonts w:ascii="Lucida Bright" w:hAnsi="Lucida Bright"/>
      <w:sz w:val="14"/>
      <w:szCs w:val="14"/>
      <w:lang w:val="es-ES"/>
    </w:rPr>
  </w:style>
  <w:style w:type="paragraph" w:customStyle="1" w:styleId="xl119">
    <w:name w:val="xl119"/>
    <w:basedOn w:val="Normal"/>
    <w:rsid w:val="003E1013"/>
    <w:pPr>
      <w:spacing w:before="100" w:beforeAutospacing="1" w:after="100" w:afterAutospacing="1"/>
      <w:textAlignment w:val="center"/>
    </w:pPr>
    <w:rPr>
      <w:rFonts w:ascii="Lucida Bright" w:hAnsi="Lucida Bright"/>
      <w:sz w:val="14"/>
      <w:szCs w:val="14"/>
      <w:lang w:val="es-ES"/>
    </w:rPr>
  </w:style>
  <w:style w:type="paragraph" w:customStyle="1" w:styleId="xl120">
    <w:name w:val="xl120"/>
    <w:basedOn w:val="Normal"/>
    <w:rsid w:val="003E1013"/>
    <w:pPr>
      <w:spacing w:before="100" w:beforeAutospacing="1" w:after="100" w:afterAutospacing="1"/>
      <w:textAlignment w:val="center"/>
    </w:pPr>
    <w:rPr>
      <w:rFonts w:ascii="Lucida Bright" w:hAnsi="Lucida Bright"/>
      <w:sz w:val="14"/>
      <w:szCs w:val="14"/>
      <w:lang w:val="es-ES"/>
    </w:rPr>
  </w:style>
  <w:style w:type="paragraph" w:customStyle="1" w:styleId="xl121">
    <w:name w:val="xl121"/>
    <w:basedOn w:val="Normal"/>
    <w:rsid w:val="003E1013"/>
    <w:pPr>
      <w:pBdr>
        <w:left w:val="single" w:sz="8" w:space="0" w:color="auto"/>
        <w:bottom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22">
    <w:name w:val="xl122"/>
    <w:basedOn w:val="Normal"/>
    <w:rsid w:val="003E1013"/>
    <w:pPr>
      <w:pBdr>
        <w:left w:val="single" w:sz="4" w:space="0" w:color="auto"/>
        <w:bottom w:val="single" w:sz="8" w:space="0" w:color="auto"/>
        <w:right w:val="single" w:sz="8" w:space="0" w:color="auto"/>
      </w:pBdr>
      <w:spacing w:before="100" w:beforeAutospacing="1" w:after="100" w:afterAutospacing="1"/>
      <w:jc w:val="center"/>
      <w:textAlignment w:val="center"/>
    </w:pPr>
    <w:rPr>
      <w:rFonts w:ascii="Lucida Bright" w:hAnsi="Lucida Bright"/>
      <w:sz w:val="14"/>
      <w:szCs w:val="1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173">
      <w:bodyDiv w:val="1"/>
      <w:marLeft w:val="0"/>
      <w:marRight w:val="0"/>
      <w:marTop w:val="0"/>
      <w:marBottom w:val="0"/>
      <w:divBdr>
        <w:top w:val="none" w:sz="0" w:space="0" w:color="auto"/>
        <w:left w:val="none" w:sz="0" w:space="0" w:color="auto"/>
        <w:bottom w:val="none" w:sz="0" w:space="0" w:color="auto"/>
        <w:right w:val="none" w:sz="0" w:space="0" w:color="auto"/>
      </w:divBdr>
    </w:div>
    <w:div w:id="21133376">
      <w:bodyDiv w:val="1"/>
      <w:marLeft w:val="0"/>
      <w:marRight w:val="0"/>
      <w:marTop w:val="0"/>
      <w:marBottom w:val="0"/>
      <w:divBdr>
        <w:top w:val="none" w:sz="0" w:space="0" w:color="auto"/>
        <w:left w:val="none" w:sz="0" w:space="0" w:color="auto"/>
        <w:bottom w:val="none" w:sz="0" w:space="0" w:color="auto"/>
        <w:right w:val="none" w:sz="0" w:space="0" w:color="auto"/>
      </w:divBdr>
    </w:div>
    <w:div w:id="23987951">
      <w:bodyDiv w:val="1"/>
      <w:marLeft w:val="0"/>
      <w:marRight w:val="0"/>
      <w:marTop w:val="0"/>
      <w:marBottom w:val="0"/>
      <w:divBdr>
        <w:top w:val="none" w:sz="0" w:space="0" w:color="auto"/>
        <w:left w:val="none" w:sz="0" w:space="0" w:color="auto"/>
        <w:bottom w:val="none" w:sz="0" w:space="0" w:color="auto"/>
        <w:right w:val="none" w:sz="0" w:space="0" w:color="auto"/>
      </w:divBdr>
    </w:div>
    <w:div w:id="24722488">
      <w:bodyDiv w:val="1"/>
      <w:marLeft w:val="0"/>
      <w:marRight w:val="0"/>
      <w:marTop w:val="0"/>
      <w:marBottom w:val="0"/>
      <w:divBdr>
        <w:top w:val="none" w:sz="0" w:space="0" w:color="auto"/>
        <w:left w:val="none" w:sz="0" w:space="0" w:color="auto"/>
        <w:bottom w:val="none" w:sz="0" w:space="0" w:color="auto"/>
        <w:right w:val="none" w:sz="0" w:space="0" w:color="auto"/>
      </w:divBdr>
    </w:div>
    <w:div w:id="26687568">
      <w:bodyDiv w:val="1"/>
      <w:marLeft w:val="0"/>
      <w:marRight w:val="0"/>
      <w:marTop w:val="0"/>
      <w:marBottom w:val="0"/>
      <w:divBdr>
        <w:top w:val="none" w:sz="0" w:space="0" w:color="auto"/>
        <w:left w:val="none" w:sz="0" w:space="0" w:color="auto"/>
        <w:bottom w:val="none" w:sz="0" w:space="0" w:color="auto"/>
        <w:right w:val="none" w:sz="0" w:space="0" w:color="auto"/>
      </w:divBdr>
    </w:div>
    <w:div w:id="27682747">
      <w:bodyDiv w:val="1"/>
      <w:marLeft w:val="0"/>
      <w:marRight w:val="0"/>
      <w:marTop w:val="0"/>
      <w:marBottom w:val="0"/>
      <w:divBdr>
        <w:top w:val="none" w:sz="0" w:space="0" w:color="auto"/>
        <w:left w:val="none" w:sz="0" w:space="0" w:color="auto"/>
        <w:bottom w:val="none" w:sz="0" w:space="0" w:color="auto"/>
        <w:right w:val="none" w:sz="0" w:space="0" w:color="auto"/>
      </w:divBdr>
    </w:div>
    <w:div w:id="28528617">
      <w:bodyDiv w:val="1"/>
      <w:marLeft w:val="0"/>
      <w:marRight w:val="0"/>
      <w:marTop w:val="0"/>
      <w:marBottom w:val="0"/>
      <w:divBdr>
        <w:top w:val="none" w:sz="0" w:space="0" w:color="auto"/>
        <w:left w:val="none" w:sz="0" w:space="0" w:color="auto"/>
        <w:bottom w:val="none" w:sz="0" w:space="0" w:color="auto"/>
        <w:right w:val="none" w:sz="0" w:space="0" w:color="auto"/>
      </w:divBdr>
    </w:div>
    <w:div w:id="30881691">
      <w:bodyDiv w:val="1"/>
      <w:marLeft w:val="0"/>
      <w:marRight w:val="0"/>
      <w:marTop w:val="0"/>
      <w:marBottom w:val="0"/>
      <w:divBdr>
        <w:top w:val="none" w:sz="0" w:space="0" w:color="auto"/>
        <w:left w:val="none" w:sz="0" w:space="0" w:color="auto"/>
        <w:bottom w:val="none" w:sz="0" w:space="0" w:color="auto"/>
        <w:right w:val="none" w:sz="0" w:space="0" w:color="auto"/>
      </w:divBdr>
    </w:div>
    <w:div w:id="35206812">
      <w:bodyDiv w:val="1"/>
      <w:marLeft w:val="0"/>
      <w:marRight w:val="0"/>
      <w:marTop w:val="0"/>
      <w:marBottom w:val="0"/>
      <w:divBdr>
        <w:top w:val="none" w:sz="0" w:space="0" w:color="auto"/>
        <w:left w:val="none" w:sz="0" w:space="0" w:color="auto"/>
        <w:bottom w:val="none" w:sz="0" w:space="0" w:color="auto"/>
        <w:right w:val="none" w:sz="0" w:space="0" w:color="auto"/>
      </w:divBdr>
    </w:div>
    <w:div w:id="36046933">
      <w:bodyDiv w:val="1"/>
      <w:marLeft w:val="0"/>
      <w:marRight w:val="0"/>
      <w:marTop w:val="0"/>
      <w:marBottom w:val="0"/>
      <w:divBdr>
        <w:top w:val="none" w:sz="0" w:space="0" w:color="auto"/>
        <w:left w:val="none" w:sz="0" w:space="0" w:color="auto"/>
        <w:bottom w:val="none" w:sz="0" w:space="0" w:color="auto"/>
        <w:right w:val="none" w:sz="0" w:space="0" w:color="auto"/>
      </w:divBdr>
    </w:div>
    <w:div w:id="36128613">
      <w:bodyDiv w:val="1"/>
      <w:marLeft w:val="0"/>
      <w:marRight w:val="0"/>
      <w:marTop w:val="0"/>
      <w:marBottom w:val="0"/>
      <w:divBdr>
        <w:top w:val="none" w:sz="0" w:space="0" w:color="auto"/>
        <w:left w:val="none" w:sz="0" w:space="0" w:color="auto"/>
        <w:bottom w:val="none" w:sz="0" w:space="0" w:color="auto"/>
        <w:right w:val="none" w:sz="0" w:space="0" w:color="auto"/>
      </w:divBdr>
    </w:div>
    <w:div w:id="51003823">
      <w:bodyDiv w:val="1"/>
      <w:marLeft w:val="0"/>
      <w:marRight w:val="0"/>
      <w:marTop w:val="0"/>
      <w:marBottom w:val="0"/>
      <w:divBdr>
        <w:top w:val="none" w:sz="0" w:space="0" w:color="auto"/>
        <w:left w:val="none" w:sz="0" w:space="0" w:color="auto"/>
        <w:bottom w:val="none" w:sz="0" w:space="0" w:color="auto"/>
        <w:right w:val="none" w:sz="0" w:space="0" w:color="auto"/>
      </w:divBdr>
    </w:div>
    <w:div w:id="58210873">
      <w:bodyDiv w:val="1"/>
      <w:marLeft w:val="0"/>
      <w:marRight w:val="0"/>
      <w:marTop w:val="0"/>
      <w:marBottom w:val="0"/>
      <w:divBdr>
        <w:top w:val="none" w:sz="0" w:space="0" w:color="auto"/>
        <w:left w:val="none" w:sz="0" w:space="0" w:color="auto"/>
        <w:bottom w:val="none" w:sz="0" w:space="0" w:color="auto"/>
        <w:right w:val="none" w:sz="0" w:space="0" w:color="auto"/>
      </w:divBdr>
    </w:div>
    <w:div w:id="59989305">
      <w:bodyDiv w:val="1"/>
      <w:marLeft w:val="0"/>
      <w:marRight w:val="0"/>
      <w:marTop w:val="0"/>
      <w:marBottom w:val="0"/>
      <w:divBdr>
        <w:top w:val="none" w:sz="0" w:space="0" w:color="auto"/>
        <w:left w:val="none" w:sz="0" w:space="0" w:color="auto"/>
        <w:bottom w:val="none" w:sz="0" w:space="0" w:color="auto"/>
        <w:right w:val="none" w:sz="0" w:space="0" w:color="auto"/>
      </w:divBdr>
    </w:div>
    <w:div w:id="62417845">
      <w:bodyDiv w:val="1"/>
      <w:marLeft w:val="0"/>
      <w:marRight w:val="0"/>
      <w:marTop w:val="0"/>
      <w:marBottom w:val="0"/>
      <w:divBdr>
        <w:top w:val="none" w:sz="0" w:space="0" w:color="auto"/>
        <w:left w:val="none" w:sz="0" w:space="0" w:color="auto"/>
        <w:bottom w:val="none" w:sz="0" w:space="0" w:color="auto"/>
        <w:right w:val="none" w:sz="0" w:space="0" w:color="auto"/>
      </w:divBdr>
    </w:div>
    <w:div w:id="66268995">
      <w:bodyDiv w:val="1"/>
      <w:marLeft w:val="0"/>
      <w:marRight w:val="0"/>
      <w:marTop w:val="0"/>
      <w:marBottom w:val="0"/>
      <w:divBdr>
        <w:top w:val="none" w:sz="0" w:space="0" w:color="auto"/>
        <w:left w:val="none" w:sz="0" w:space="0" w:color="auto"/>
        <w:bottom w:val="none" w:sz="0" w:space="0" w:color="auto"/>
        <w:right w:val="none" w:sz="0" w:space="0" w:color="auto"/>
      </w:divBdr>
    </w:div>
    <w:div w:id="76096359">
      <w:bodyDiv w:val="1"/>
      <w:marLeft w:val="0"/>
      <w:marRight w:val="0"/>
      <w:marTop w:val="0"/>
      <w:marBottom w:val="0"/>
      <w:divBdr>
        <w:top w:val="none" w:sz="0" w:space="0" w:color="auto"/>
        <w:left w:val="none" w:sz="0" w:space="0" w:color="auto"/>
        <w:bottom w:val="none" w:sz="0" w:space="0" w:color="auto"/>
        <w:right w:val="none" w:sz="0" w:space="0" w:color="auto"/>
      </w:divBdr>
    </w:div>
    <w:div w:id="78139775">
      <w:bodyDiv w:val="1"/>
      <w:marLeft w:val="0"/>
      <w:marRight w:val="0"/>
      <w:marTop w:val="0"/>
      <w:marBottom w:val="0"/>
      <w:divBdr>
        <w:top w:val="none" w:sz="0" w:space="0" w:color="auto"/>
        <w:left w:val="none" w:sz="0" w:space="0" w:color="auto"/>
        <w:bottom w:val="none" w:sz="0" w:space="0" w:color="auto"/>
        <w:right w:val="none" w:sz="0" w:space="0" w:color="auto"/>
      </w:divBdr>
    </w:div>
    <w:div w:id="79103734">
      <w:bodyDiv w:val="1"/>
      <w:marLeft w:val="0"/>
      <w:marRight w:val="0"/>
      <w:marTop w:val="0"/>
      <w:marBottom w:val="0"/>
      <w:divBdr>
        <w:top w:val="none" w:sz="0" w:space="0" w:color="auto"/>
        <w:left w:val="none" w:sz="0" w:space="0" w:color="auto"/>
        <w:bottom w:val="none" w:sz="0" w:space="0" w:color="auto"/>
        <w:right w:val="none" w:sz="0" w:space="0" w:color="auto"/>
      </w:divBdr>
    </w:div>
    <w:div w:id="86000942">
      <w:bodyDiv w:val="1"/>
      <w:marLeft w:val="0"/>
      <w:marRight w:val="0"/>
      <w:marTop w:val="0"/>
      <w:marBottom w:val="0"/>
      <w:divBdr>
        <w:top w:val="none" w:sz="0" w:space="0" w:color="auto"/>
        <w:left w:val="none" w:sz="0" w:space="0" w:color="auto"/>
        <w:bottom w:val="none" w:sz="0" w:space="0" w:color="auto"/>
        <w:right w:val="none" w:sz="0" w:space="0" w:color="auto"/>
      </w:divBdr>
    </w:div>
    <w:div w:id="88046775">
      <w:bodyDiv w:val="1"/>
      <w:marLeft w:val="0"/>
      <w:marRight w:val="0"/>
      <w:marTop w:val="0"/>
      <w:marBottom w:val="0"/>
      <w:divBdr>
        <w:top w:val="none" w:sz="0" w:space="0" w:color="auto"/>
        <w:left w:val="none" w:sz="0" w:space="0" w:color="auto"/>
        <w:bottom w:val="none" w:sz="0" w:space="0" w:color="auto"/>
        <w:right w:val="none" w:sz="0" w:space="0" w:color="auto"/>
      </w:divBdr>
    </w:div>
    <w:div w:id="91782486">
      <w:bodyDiv w:val="1"/>
      <w:marLeft w:val="0"/>
      <w:marRight w:val="0"/>
      <w:marTop w:val="0"/>
      <w:marBottom w:val="0"/>
      <w:divBdr>
        <w:top w:val="none" w:sz="0" w:space="0" w:color="auto"/>
        <w:left w:val="none" w:sz="0" w:space="0" w:color="auto"/>
        <w:bottom w:val="none" w:sz="0" w:space="0" w:color="auto"/>
        <w:right w:val="none" w:sz="0" w:space="0" w:color="auto"/>
      </w:divBdr>
    </w:div>
    <w:div w:id="94912797">
      <w:bodyDiv w:val="1"/>
      <w:marLeft w:val="0"/>
      <w:marRight w:val="0"/>
      <w:marTop w:val="0"/>
      <w:marBottom w:val="0"/>
      <w:divBdr>
        <w:top w:val="none" w:sz="0" w:space="0" w:color="auto"/>
        <w:left w:val="none" w:sz="0" w:space="0" w:color="auto"/>
        <w:bottom w:val="none" w:sz="0" w:space="0" w:color="auto"/>
        <w:right w:val="none" w:sz="0" w:space="0" w:color="auto"/>
      </w:divBdr>
    </w:div>
    <w:div w:id="97912127">
      <w:bodyDiv w:val="1"/>
      <w:marLeft w:val="0"/>
      <w:marRight w:val="0"/>
      <w:marTop w:val="0"/>
      <w:marBottom w:val="0"/>
      <w:divBdr>
        <w:top w:val="none" w:sz="0" w:space="0" w:color="auto"/>
        <w:left w:val="none" w:sz="0" w:space="0" w:color="auto"/>
        <w:bottom w:val="none" w:sz="0" w:space="0" w:color="auto"/>
        <w:right w:val="none" w:sz="0" w:space="0" w:color="auto"/>
      </w:divBdr>
    </w:div>
    <w:div w:id="99034370">
      <w:bodyDiv w:val="1"/>
      <w:marLeft w:val="0"/>
      <w:marRight w:val="0"/>
      <w:marTop w:val="0"/>
      <w:marBottom w:val="0"/>
      <w:divBdr>
        <w:top w:val="none" w:sz="0" w:space="0" w:color="auto"/>
        <w:left w:val="none" w:sz="0" w:space="0" w:color="auto"/>
        <w:bottom w:val="none" w:sz="0" w:space="0" w:color="auto"/>
        <w:right w:val="none" w:sz="0" w:space="0" w:color="auto"/>
      </w:divBdr>
    </w:div>
    <w:div w:id="100759352">
      <w:bodyDiv w:val="1"/>
      <w:marLeft w:val="0"/>
      <w:marRight w:val="0"/>
      <w:marTop w:val="0"/>
      <w:marBottom w:val="0"/>
      <w:divBdr>
        <w:top w:val="none" w:sz="0" w:space="0" w:color="auto"/>
        <w:left w:val="none" w:sz="0" w:space="0" w:color="auto"/>
        <w:bottom w:val="none" w:sz="0" w:space="0" w:color="auto"/>
        <w:right w:val="none" w:sz="0" w:space="0" w:color="auto"/>
      </w:divBdr>
    </w:div>
    <w:div w:id="102261659">
      <w:bodyDiv w:val="1"/>
      <w:marLeft w:val="0"/>
      <w:marRight w:val="0"/>
      <w:marTop w:val="0"/>
      <w:marBottom w:val="0"/>
      <w:divBdr>
        <w:top w:val="none" w:sz="0" w:space="0" w:color="auto"/>
        <w:left w:val="none" w:sz="0" w:space="0" w:color="auto"/>
        <w:bottom w:val="none" w:sz="0" w:space="0" w:color="auto"/>
        <w:right w:val="none" w:sz="0" w:space="0" w:color="auto"/>
      </w:divBdr>
    </w:div>
    <w:div w:id="106511164">
      <w:bodyDiv w:val="1"/>
      <w:marLeft w:val="0"/>
      <w:marRight w:val="0"/>
      <w:marTop w:val="0"/>
      <w:marBottom w:val="0"/>
      <w:divBdr>
        <w:top w:val="none" w:sz="0" w:space="0" w:color="auto"/>
        <w:left w:val="none" w:sz="0" w:space="0" w:color="auto"/>
        <w:bottom w:val="none" w:sz="0" w:space="0" w:color="auto"/>
        <w:right w:val="none" w:sz="0" w:space="0" w:color="auto"/>
      </w:divBdr>
    </w:div>
    <w:div w:id="108010197">
      <w:bodyDiv w:val="1"/>
      <w:marLeft w:val="0"/>
      <w:marRight w:val="0"/>
      <w:marTop w:val="0"/>
      <w:marBottom w:val="0"/>
      <w:divBdr>
        <w:top w:val="none" w:sz="0" w:space="0" w:color="auto"/>
        <w:left w:val="none" w:sz="0" w:space="0" w:color="auto"/>
        <w:bottom w:val="none" w:sz="0" w:space="0" w:color="auto"/>
        <w:right w:val="none" w:sz="0" w:space="0" w:color="auto"/>
      </w:divBdr>
    </w:div>
    <w:div w:id="108666009">
      <w:bodyDiv w:val="1"/>
      <w:marLeft w:val="0"/>
      <w:marRight w:val="0"/>
      <w:marTop w:val="0"/>
      <w:marBottom w:val="0"/>
      <w:divBdr>
        <w:top w:val="none" w:sz="0" w:space="0" w:color="auto"/>
        <w:left w:val="none" w:sz="0" w:space="0" w:color="auto"/>
        <w:bottom w:val="none" w:sz="0" w:space="0" w:color="auto"/>
        <w:right w:val="none" w:sz="0" w:space="0" w:color="auto"/>
      </w:divBdr>
    </w:div>
    <w:div w:id="119226448">
      <w:bodyDiv w:val="1"/>
      <w:marLeft w:val="0"/>
      <w:marRight w:val="0"/>
      <w:marTop w:val="0"/>
      <w:marBottom w:val="0"/>
      <w:divBdr>
        <w:top w:val="none" w:sz="0" w:space="0" w:color="auto"/>
        <w:left w:val="none" w:sz="0" w:space="0" w:color="auto"/>
        <w:bottom w:val="none" w:sz="0" w:space="0" w:color="auto"/>
        <w:right w:val="none" w:sz="0" w:space="0" w:color="auto"/>
      </w:divBdr>
    </w:div>
    <w:div w:id="123548694">
      <w:bodyDiv w:val="1"/>
      <w:marLeft w:val="0"/>
      <w:marRight w:val="0"/>
      <w:marTop w:val="0"/>
      <w:marBottom w:val="0"/>
      <w:divBdr>
        <w:top w:val="none" w:sz="0" w:space="0" w:color="auto"/>
        <w:left w:val="none" w:sz="0" w:space="0" w:color="auto"/>
        <w:bottom w:val="none" w:sz="0" w:space="0" w:color="auto"/>
        <w:right w:val="none" w:sz="0" w:space="0" w:color="auto"/>
      </w:divBdr>
    </w:div>
    <w:div w:id="124783368">
      <w:bodyDiv w:val="1"/>
      <w:marLeft w:val="0"/>
      <w:marRight w:val="0"/>
      <w:marTop w:val="0"/>
      <w:marBottom w:val="0"/>
      <w:divBdr>
        <w:top w:val="none" w:sz="0" w:space="0" w:color="auto"/>
        <w:left w:val="none" w:sz="0" w:space="0" w:color="auto"/>
        <w:bottom w:val="none" w:sz="0" w:space="0" w:color="auto"/>
        <w:right w:val="none" w:sz="0" w:space="0" w:color="auto"/>
      </w:divBdr>
    </w:div>
    <w:div w:id="130680895">
      <w:bodyDiv w:val="1"/>
      <w:marLeft w:val="0"/>
      <w:marRight w:val="0"/>
      <w:marTop w:val="0"/>
      <w:marBottom w:val="0"/>
      <w:divBdr>
        <w:top w:val="none" w:sz="0" w:space="0" w:color="auto"/>
        <w:left w:val="none" w:sz="0" w:space="0" w:color="auto"/>
        <w:bottom w:val="none" w:sz="0" w:space="0" w:color="auto"/>
        <w:right w:val="none" w:sz="0" w:space="0" w:color="auto"/>
      </w:divBdr>
    </w:div>
    <w:div w:id="140781537">
      <w:bodyDiv w:val="1"/>
      <w:marLeft w:val="0"/>
      <w:marRight w:val="0"/>
      <w:marTop w:val="0"/>
      <w:marBottom w:val="0"/>
      <w:divBdr>
        <w:top w:val="none" w:sz="0" w:space="0" w:color="auto"/>
        <w:left w:val="none" w:sz="0" w:space="0" w:color="auto"/>
        <w:bottom w:val="none" w:sz="0" w:space="0" w:color="auto"/>
        <w:right w:val="none" w:sz="0" w:space="0" w:color="auto"/>
      </w:divBdr>
    </w:div>
    <w:div w:id="145515375">
      <w:bodyDiv w:val="1"/>
      <w:marLeft w:val="0"/>
      <w:marRight w:val="0"/>
      <w:marTop w:val="0"/>
      <w:marBottom w:val="0"/>
      <w:divBdr>
        <w:top w:val="none" w:sz="0" w:space="0" w:color="auto"/>
        <w:left w:val="none" w:sz="0" w:space="0" w:color="auto"/>
        <w:bottom w:val="none" w:sz="0" w:space="0" w:color="auto"/>
        <w:right w:val="none" w:sz="0" w:space="0" w:color="auto"/>
      </w:divBdr>
    </w:div>
    <w:div w:id="147678012">
      <w:bodyDiv w:val="1"/>
      <w:marLeft w:val="0"/>
      <w:marRight w:val="0"/>
      <w:marTop w:val="0"/>
      <w:marBottom w:val="0"/>
      <w:divBdr>
        <w:top w:val="none" w:sz="0" w:space="0" w:color="auto"/>
        <w:left w:val="none" w:sz="0" w:space="0" w:color="auto"/>
        <w:bottom w:val="none" w:sz="0" w:space="0" w:color="auto"/>
        <w:right w:val="none" w:sz="0" w:space="0" w:color="auto"/>
      </w:divBdr>
    </w:div>
    <w:div w:id="154806244">
      <w:bodyDiv w:val="1"/>
      <w:marLeft w:val="0"/>
      <w:marRight w:val="0"/>
      <w:marTop w:val="0"/>
      <w:marBottom w:val="0"/>
      <w:divBdr>
        <w:top w:val="none" w:sz="0" w:space="0" w:color="auto"/>
        <w:left w:val="none" w:sz="0" w:space="0" w:color="auto"/>
        <w:bottom w:val="none" w:sz="0" w:space="0" w:color="auto"/>
        <w:right w:val="none" w:sz="0" w:space="0" w:color="auto"/>
      </w:divBdr>
    </w:div>
    <w:div w:id="158548866">
      <w:bodyDiv w:val="1"/>
      <w:marLeft w:val="0"/>
      <w:marRight w:val="0"/>
      <w:marTop w:val="0"/>
      <w:marBottom w:val="0"/>
      <w:divBdr>
        <w:top w:val="none" w:sz="0" w:space="0" w:color="auto"/>
        <w:left w:val="none" w:sz="0" w:space="0" w:color="auto"/>
        <w:bottom w:val="none" w:sz="0" w:space="0" w:color="auto"/>
        <w:right w:val="none" w:sz="0" w:space="0" w:color="auto"/>
      </w:divBdr>
    </w:div>
    <w:div w:id="158733072">
      <w:bodyDiv w:val="1"/>
      <w:marLeft w:val="0"/>
      <w:marRight w:val="0"/>
      <w:marTop w:val="0"/>
      <w:marBottom w:val="0"/>
      <w:divBdr>
        <w:top w:val="none" w:sz="0" w:space="0" w:color="auto"/>
        <w:left w:val="none" w:sz="0" w:space="0" w:color="auto"/>
        <w:bottom w:val="none" w:sz="0" w:space="0" w:color="auto"/>
        <w:right w:val="none" w:sz="0" w:space="0" w:color="auto"/>
      </w:divBdr>
    </w:div>
    <w:div w:id="159276900">
      <w:bodyDiv w:val="1"/>
      <w:marLeft w:val="0"/>
      <w:marRight w:val="0"/>
      <w:marTop w:val="0"/>
      <w:marBottom w:val="0"/>
      <w:divBdr>
        <w:top w:val="none" w:sz="0" w:space="0" w:color="auto"/>
        <w:left w:val="none" w:sz="0" w:space="0" w:color="auto"/>
        <w:bottom w:val="none" w:sz="0" w:space="0" w:color="auto"/>
        <w:right w:val="none" w:sz="0" w:space="0" w:color="auto"/>
      </w:divBdr>
    </w:div>
    <w:div w:id="164129190">
      <w:bodyDiv w:val="1"/>
      <w:marLeft w:val="0"/>
      <w:marRight w:val="0"/>
      <w:marTop w:val="0"/>
      <w:marBottom w:val="0"/>
      <w:divBdr>
        <w:top w:val="none" w:sz="0" w:space="0" w:color="auto"/>
        <w:left w:val="none" w:sz="0" w:space="0" w:color="auto"/>
        <w:bottom w:val="none" w:sz="0" w:space="0" w:color="auto"/>
        <w:right w:val="none" w:sz="0" w:space="0" w:color="auto"/>
      </w:divBdr>
    </w:div>
    <w:div w:id="177893012">
      <w:bodyDiv w:val="1"/>
      <w:marLeft w:val="0"/>
      <w:marRight w:val="0"/>
      <w:marTop w:val="0"/>
      <w:marBottom w:val="0"/>
      <w:divBdr>
        <w:top w:val="none" w:sz="0" w:space="0" w:color="auto"/>
        <w:left w:val="none" w:sz="0" w:space="0" w:color="auto"/>
        <w:bottom w:val="none" w:sz="0" w:space="0" w:color="auto"/>
        <w:right w:val="none" w:sz="0" w:space="0" w:color="auto"/>
      </w:divBdr>
    </w:div>
    <w:div w:id="185481782">
      <w:bodyDiv w:val="1"/>
      <w:marLeft w:val="0"/>
      <w:marRight w:val="0"/>
      <w:marTop w:val="0"/>
      <w:marBottom w:val="0"/>
      <w:divBdr>
        <w:top w:val="none" w:sz="0" w:space="0" w:color="auto"/>
        <w:left w:val="none" w:sz="0" w:space="0" w:color="auto"/>
        <w:bottom w:val="none" w:sz="0" w:space="0" w:color="auto"/>
        <w:right w:val="none" w:sz="0" w:space="0" w:color="auto"/>
      </w:divBdr>
    </w:div>
    <w:div w:id="188447747">
      <w:bodyDiv w:val="1"/>
      <w:marLeft w:val="0"/>
      <w:marRight w:val="0"/>
      <w:marTop w:val="0"/>
      <w:marBottom w:val="0"/>
      <w:divBdr>
        <w:top w:val="none" w:sz="0" w:space="0" w:color="auto"/>
        <w:left w:val="none" w:sz="0" w:space="0" w:color="auto"/>
        <w:bottom w:val="none" w:sz="0" w:space="0" w:color="auto"/>
        <w:right w:val="none" w:sz="0" w:space="0" w:color="auto"/>
      </w:divBdr>
    </w:div>
    <w:div w:id="189221451">
      <w:bodyDiv w:val="1"/>
      <w:marLeft w:val="0"/>
      <w:marRight w:val="0"/>
      <w:marTop w:val="0"/>
      <w:marBottom w:val="0"/>
      <w:divBdr>
        <w:top w:val="none" w:sz="0" w:space="0" w:color="auto"/>
        <w:left w:val="none" w:sz="0" w:space="0" w:color="auto"/>
        <w:bottom w:val="none" w:sz="0" w:space="0" w:color="auto"/>
        <w:right w:val="none" w:sz="0" w:space="0" w:color="auto"/>
      </w:divBdr>
    </w:div>
    <w:div w:id="207570464">
      <w:bodyDiv w:val="1"/>
      <w:marLeft w:val="0"/>
      <w:marRight w:val="0"/>
      <w:marTop w:val="0"/>
      <w:marBottom w:val="0"/>
      <w:divBdr>
        <w:top w:val="none" w:sz="0" w:space="0" w:color="auto"/>
        <w:left w:val="none" w:sz="0" w:space="0" w:color="auto"/>
        <w:bottom w:val="none" w:sz="0" w:space="0" w:color="auto"/>
        <w:right w:val="none" w:sz="0" w:space="0" w:color="auto"/>
      </w:divBdr>
    </w:div>
    <w:div w:id="215237492">
      <w:bodyDiv w:val="1"/>
      <w:marLeft w:val="0"/>
      <w:marRight w:val="0"/>
      <w:marTop w:val="0"/>
      <w:marBottom w:val="0"/>
      <w:divBdr>
        <w:top w:val="none" w:sz="0" w:space="0" w:color="auto"/>
        <w:left w:val="none" w:sz="0" w:space="0" w:color="auto"/>
        <w:bottom w:val="none" w:sz="0" w:space="0" w:color="auto"/>
        <w:right w:val="none" w:sz="0" w:space="0" w:color="auto"/>
      </w:divBdr>
    </w:div>
    <w:div w:id="216480491">
      <w:bodyDiv w:val="1"/>
      <w:marLeft w:val="0"/>
      <w:marRight w:val="0"/>
      <w:marTop w:val="0"/>
      <w:marBottom w:val="0"/>
      <w:divBdr>
        <w:top w:val="none" w:sz="0" w:space="0" w:color="auto"/>
        <w:left w:val="none" w:sz="0" w:space="0" w:color="auto"/>
        <w:bottom w:val="none" w:sz="0" w:space="0" w:color="auto"/>
        <w:right w:val="none" w:sz="0" w:space="0" w:color="auto"/>
      </w:divBdr>
    </w:div>
    <w:div w:id="218783511">
      <w:bodyDiv w:val="1"/>
      <w:marLeft w:val="0"/>
      <w:marRight w:val="0"/>
      <w:marTop w:val="0"/>
      <w:marBottom w:val="0"/>
      <w:divBdr>
        <w:top w:val="none" w:sz="0" w:space="0" w:color="auto"/>
        <w:left w:val="none" w:sz="0" w:space="0" w:color="auto"/>
        <w:bottom w:val="none" w:sz="0" w:space="0" w:color="auto"/>
        <w:right w:val="none" w:sz="0" w:space="0" w:color="auto"/>
      </w:divBdr>
    </w:div>
    <w:div w:id="224998641">
      <w:bodyDiv w:val="1"/>
      <w:marLeft w:val="0"/>
      <w:marRight w:val="0"/>
      <w:marTop w:val="0"/>
      <w:marBottom w:val="0"/>
      <w:divBdr>
        <w:top w:val="none" w:sz="0" w:space="0" w:color="auto"/>
        <w:left w:val="none" w:sz="0" w:space="0" w:color="auto"/>
        <w:bottom w:val="none" w:sz="0" w:space="0" w:color="auto"/>
        <w:right w:val="none" w:sz="0" w:space="0" w:color="auto"/>
      </w:divBdr>
    </w:div>
    <w:div w:id="229123232">
      <w:bodyDiv w:val="1"/>
      <w:marLeft w:val="0"/>
      <w:marRight w:val="0"/>
      <w:marTop w:val="0"/>
      <w:marBottom w:val="0"/>
      <w:divBdr>
        <w:top w:val="none" w:sz="0" w:space="0" w:color="auto"/>
        <w:left w:val="none" w:sz="0" w:space="0" w:color="auto"/>
        <w:bottom w:val="none" w:sz="0" w:space="0" w:color="auto"/>
        <w:right w:val="none" w:sz="0" w:space="0" w:color="auto"/>
      </w:divBdr>
    </w:div>
    <w:div w:id="229967121">
      <w:bodyDiv w:val="1"/>
      <w:marLeft w:val="0"/>
      <w:marRight w:val="0"/>
      <w:marTop w:val="0"/>
      <w:marBottom w:val="0"/>
      <w:divBdr>
        <w:top w:val="none" w:sz="0" w:space="0" w:color="auto"/>
        <w:left w:val="none" w:sz="0" w:space="0" w:color="auto"/>
        <w:bottom w:val="none" w:sz="0" w:space="0" w:color="auto"/>
        <w:right w:val="none" w:sz="0" w:space="0" w:color="auto"/>
      </w:divBdr>
    </w:div>
    <w:div w:id="230700596">
      <w:bodyDiv w:val="1"/>
      <w:marLeft w:val="0"/>
      <w:marRight w:val="0"/>
      <w:marTop w:val="0"/>
      <w:marBottom w:val="0"/>
      <w:divBdr>
        <w:top w:val="none" w:sz="0" w:space="0" w:color="auto"/>
        <w:left w:val="none" w:sz="0" w:space="0" w:color="auto"/>
        <w:bottom w:val="none" w:sz="0" w:space="0" w:color="auto"/>
        <w:right w:val="none" w:sz="0" w:space="0" w:color="auto"/>
      </w:divBdr>
    </w:div>
    <w:div w:id="230967663">
      <w:bodyDiv w:val="1"/>
      <w:marLeft w:val="0"/>
      <w:marRight w:val="0"/>
      <w:marTop w:val="0"/>
      <w:marBottom w:val="0"/>
      <w:divBdr>
        <w:top w:val="none" w:sz="0" w:space="0" w:color="auto"/>
        <w:left w:val="none" w:sz="0" w:space="0" w:color="auto"/>
        <w:bottom w:val="none" w:sz="0" w:space="0" w:color="auto"/>
        <w:right w:val="none" w:sz="0" w:space="0" w:color="auto"/>
      </w:divBdr>
    </w:div>
    <w:div w:id="235022256">
      <w:bodyDiv w:val="1"/>
      <w:marLeft w:val="0"/>
      <w:marRight w:val="0"/>
      <w:marTop w:val="0"/>
      <w:marBottom w:val="0"/>
      <w:divBdr>
        <w:top w:val="none" w:sz="0" w:space="0" w:color="auto"/>
        <w:left w:val="none" w:sz="0" w:space="0" w:color="auto"/>
        <w:bottom w:val="none" w:sz="0" w:space="0" w:color="auto"/>
        <w:right w:val="none" w:sz="0" w:space="0" w:color="auto"/>
      </w:divBdr>
    </w:div>
    <w:div w:id="240916730">
      <w:bodyDiv w:val="1"/>
      <w:marLeft w:val="0"/>
      <w:marRight w:val="0"/>
      <w:marTop w:val="0"/>
      <w:marBottom w:val="0"/>
      <w:divBdr>
        <w:top w:val="none" w:sz="0" w:space="0" w:color="auto"/>
        <w:left w:val="none" w:sz="0" w:space="0" w:color="auto"/>
        <w:bottom w:val="none" w:sz="0" w:space="0" w:color="auto"/>
        <w:right w:val="none" w:sz="0" w:space="0" w:color="auto"/>
      </w:divBdr>
    </w:div>
    <w:div w:id="244069932">
      <w:bodyDiv w:val="1"/>
      <w:marLeft w:val="0"/>
      <w:marRight w:val="0"/>
      <w:marTop w:val="0"/>
      <w:marBottom w:val="0"/>
      <w:divBdr>
        <w:top w:val="none" w:sz="0" w:space="0" w:color="auto"/>
        <w:left w:val="none" w:sz="0" w:space="0" w:color="auto"/>
        <w:bottom w:val="none" w:sz="0" w:space="0" w:color="auto"/>
        <w:right w:val="none" w:sz="0" w:space="0" w:color="auto"/>
      </w:divBdr>
    </w:div>
    <w:div w:id="249508262">
      <w:bodyDiv w:val="1"/>
      <w:marLeft w:val="0"/>
      <w:marRight w:val="0"/>
      <w:marTop w:val="0"/>
      <w:marBottom w:val="0"/>
      <w:divBdr>
        <w:top w:val="none" w:sz="0" w:space="0" w:color="auto"/>
        <w:left w:val="none" w:sz="0" w:space="0" w:color="auto"/>
        <w:bottom w:val="none" w:sz="0" w:space="0" w:color="auto"/>
        <w:right w:val="none" w:sz="0" w:space="0" w:color="auto"/>
      </w:divBdr>
    </w:div>
    <w:div w:id="250772700">
      <w:bodyDiv w:val="1"/>
      <w:marLeft w:val="0"/>
      <w:marRight w:val="0"/>
      <w:marTop w:val="0"/>
      <w:marBottom w:val="0"/>
      <w:divBdr>
        <w:top w:val="none" w:sz="0" w:space="0" w:color="auto"/>
        <w:left w:val="none" w:sz="0" w:space="0" w:color="auto"/>
        <w:bottom w:val="none" w:sz="0" w:space="0" w:color="auto"/>
        <w:right w:val="none" w:sz="0" w:space="0" w:color="auto"/>
      </w:divBdr>
    </w:div>
    <w:div w:id="251622480">
      <w:bodyDiv w:val="1"/>
      <w:marLeft w:val="0"/>
      <w:marRight w:val="0"/>
      <w:marTop w:val="0"/>
      <w:marBottom w:val="0"/>
      <w:divBdr>
        <w:top w:val="none" w:sz="0" w:space="0" w:color="auto"/>
        <w:left w:val="none" w:sz="0" w:space="0" w:color="auto"/>
        <w:bottom w:val="none" w:sz="0" w:space="0" w:color="auto"/>
        <w:right w:val="none" w:sz="0" w:space="0" w:color="auto"/>
      </w:divBdr>
    </w:div>
    <w:div w:id="254171519">
      <w:bodyDiv w:val="1"/>
      <w:marLeft w:val="0"/>
      <w:marRight w:val="0"/>
      <w:marTop w:val="0"/>
      <w:marBottom w:val="0"/>
      <w:divBdr>
        <w:top w:val="none" w:sz="0" w:space="0" w:color="auto"/>
        <w:left w:val="none" w:sz="0" w:space="0" w:color="auto"/>
        <w:bottom w:val="none" w:sz="0" w:space="0" w:color="auto"/>
        <w:right w:val="none" w:sz="0" w:space="0" w:color="auto"/>
      </w:divBdr>
    </w:div>
    <w:div w:id="257565653">
      <w:bodyDiv w:val="1"/>
      <w:marLeft w:val="0"/>
      <w:marRight w:val="0"/>
      <w:marTop w:val="0"/>
      <w:marBottom w:val="0"/>
      <w:divBdr>
        <w:top w:val="none" w:sz="0" w:space="0" w:color="auto"/>
        <w:left w:val="none" w:sz="0" w:space="0" w:color="auto"/>
        <w:bottom w:val="none" w:sz="0" w:space="0" w:color="auto"/>
        <w:right w:val="none" w:sz="0" w:space="0" w:color="auto"/>
      </w:divBdr>
    </w:div>
    <w:div w:id="273907552">
      <w:bodyDiv w:val="1"/>
      <w:marLeft w:val="0"/>
      <w:marRight w:val="0"/>
      <w:marTop w:val="0"/>
      <w:marBottom w:val="0"/>
      <w:divBdr>
        <w:top w:val="none" w:sz="0" w:space="0" w:color="auto"/>
        <w:left w:val="none" w:sz="0" w:space="0" w:color="auto"/>
        <w:bottom w:val="none" w:sz="0" w:space="0" w:color="auto"/>
        <w:right w:val="none" w:sz="0" w:space="0" w:color="auto"/>
      </w:divBdr>
    </w:div>
    <w:div w:id="277759557">
      <w:bodyDiv w:val="1"/>
      <w:marLeft w:val="0"/>
      <w:marRight w:val="0"/>
      <w:marTop w:val="0"/>
      <w:marBottom w:val="0"/>
      <w:divBdr>
        <w:top w:val="none" w:sz="0" w:space="0" w:color="auto"/>
        <w:left w:val="none" w:sz="0" w:space="0" w:color="auto"/>
        <w:bottom w:val="none" w:sz="0" w:space="0" w:color="auto"/>
        <w:right w:val="none" w:sz="0" w:space="0" w:color="auto"/>
      </w:divBdr>
    </w:div>
    <w:div w:id="281811577">
      <w:bodyDiv w:val="1"/>
      <w:marLeft w:val="0"/>
      <w:marRight w:val="0"/>
      <w:marTop w:val="0"/>
      <w:marBottom w:val="0"/>
      <w:divBdr>
        <w:top w:val="none" w:sz="0" w:space="0" w:color="auto"/>
        <w:left w:val="none" w:sz="0" w:space="0" w:color="auto"/>
        <w:bottom w:val="none" w:sz="0" w:space="0" w:color="auto"/>
        <w:right w:val="none" w:sz="0" w:space="0" w:color="auto"/>
      </w:divBdr>
    </w:div>
    <w:div w:id="282661471">
      <w:bodyDiv w:val="1"/>
      <w:marLeft w:val="0"/>
      <w:marRight w:val="0"/>
      <w:marTop w:val="0"/>
      <w:marBottom w:val="0"/>
      <w:divBdr>
        <w:top w:val="none" w:sz="0" w:space="0" w:color="auto"/>
        <w:left w:val="none" w:sz="0" w:space="0" w:color="auto"/>
        <w:bottom w:val="none" w:sz="0" w:space="0" w:color="auto"/>
        <w:right w:val="none" w:sz="0" w:space="0" w:color="auto"/>
      </w:divBdr>
    </w:div>
    <w:div w:id="283461291">
      <w:bodyDiv w:val="1"/>
      <w:marLeft w:val="0"/>
      <w:marRight w:val="0"/>
      <w:marTop w:val="0"/>
      <w:marBottom w:val="0"/>
      <w:divBdr>
        <w:top w:val="none" w:sz="0" w:space="0" w:color="auto"/>
        <w:left w:val="none" w:sz="0" w:space="0" w:color="auto"/>
        <w:bottom w:val="none" w:sz="0" w:space="0" w:color="auto"/>
        <w:right w:val="none" w:sz="0" w:space="0" w:color="auto"/>
      </w:divBdr>
    </w:div>
    <w:div w:id="290747674">
      <w:bodyDiv w:val="1"/>
      <w:marLeft w:val="0"/>
      <w:marRight w:val="0"/>
      <w:marTop w:val="0"/>
      <w:marBottom w:val="0"/>
      <w:divBdr>
        <w:top w:val="none" w:sz="0" w:space="0" w:color="auto"/>
        <w:left w:val="none" w:sz="0" w:space="0" w:color="auto"/>
        <w:bottom w:val="none" w:sz="0" w:space="0" w:color="auto"/>
        <w:right w:val="none" w:sz="0" w:space="0" w:color="auto"/>
      </w:divBdr>
    </w:div>
    <w:div w:id="293101519">
      <w:bodyDiv w:val="1"/>
      <w:marLeft w:val="0"/>
      <w:marRight w:val="0"/>
      <w:marTop w:val="0"/>
      <w:marBottom w:val="0"/>
      <w:divBdr>
        <w:top w:val="none" w:sz="0" w:space="0" w:color="auto"/>
        <w:left w:val="none" w:sz="0" w:space="0" w:color="auto"/>
        <w:bottom w:val="none" w:sz="0" w:space="0" w:color="auto"/>
        <w:right w:val="none" w:sz="0" w:space="0" w:color="auto"/>
      </w:divBdr>
    </w:div>
    <w:div w:id="297032028">
      <w:bodyDiv w:val="1"/>
      <w:marLeft w:val="0"/>
      <w:marRight w:val="0"/>
      <w:marTop w:val="0"/>
      <w:marBottom w:val="0"/>
      <w:divBdr>
        <w:top w:val="none" w:sz="0" w:space="0" w:color="auto"/>
        <w:left w:val="none" w:sz="0" w:space="0" w:color="auto"/>
        <w:bottom w:val="none" w:sz="0" w:space="0" w:color="auto"/>
        <w:right w:val="none" w:sz="0" w:space="0" w:color="auto"/>
      </w:divBdr>
    </w:div>
    <w:div w:id="303586160">
      <w:bodyDiv w:val="1"/>
      <w:marLeft w:val="0"/>
      <w:marRight w:val="0"/>
      <w:marTop w:val="0"/>
      <w:marBottom w:val="0"/>
      <w:divBdr>
        <w:top w:val="none" w:sz="0" w:space="0" w:color="auto"/>
        <w:left w:val="none" w:sz="0" w:space="0" w:color="auto"/>
        <w:bottom w:val="none" w:sz="0" w:space="0" w:color="auto"/>
        <w:right w:val="none" w:sz="0" w:space="0" w:color="auto"/>
      </w:divBdr>
    </w:div>
    <w:div w:id="305936170">
      <w:bodyDiv w:val="1"/>
      <w:marLeft w:val="0"/>
      <w:marRight w:val="0"/>
      <w:marTop w:val="0"/>
      <w:marBottom w:val="0"/>
      <w:divBdr>
        <w:top w:val="none" w:sz="0" w:space="0" w:color="auto"/>
        <w:left w:val="none" w:sz="0" w:space="0" w:color="auto"/>
        <w:bottom w:val="none" w:sz="0" w:space="0" w:color="auto"/>
        <w:right w:val="none" w:sz="0" w:space="0" w:color="auto"/>
      </w:divBdr>
    </w:div>
    <w:div w:id="319504163">
      <w:bodyDiv w:val="1"/>
      <w:marLeft w:val="0"/>
      <w:marRight w:val="0"/>
      <w:marTop w:val="0"/>
      <w:marBottom w:val="0"/>
      <w:divBdr>
        <w:top w:val="none" w:sz="0" w:space="0" w:color="auto"/>
        <w:left w:val="none" w:sz="0" w:space="0" w:color="auto"/>
        <w:bottom w:val="none" w:sz="0" w:space="0" w:color="auto"/>
        <w:right w:val="none" w:sz="0" w:space="0" w:color="auto"/>
      </w:divBdr>
    </w:div>
    <w:div w:id="319816887">
      <w:bodyDiv w:val="1"/>
      <w:marLeft w:val="0"/>
      <w:marRight w:val="0"/>
      <w:marTop w:val="0"/>
      <w:marBottom w:val="0"/>
      <w:divBdr>
        <w:top w:val="none" w:sz="0" w:space="0" w:color="auto"/>
        <w:left w:val="none" w:sz="0" w:space="0" w:color="auto"/>
        <w:bottom w:val="none" w:sz="0" w:space="0" w:color="auto"/>
        <w:right w:val="none" w:sz="0" w:space="0" w:color="auto"/>
      </w:divBdr>
    </w:div>
    <w:div w:id="325210525">
      <w:bodyDiv w:val="1"/>
      <w:marLeft w:val="0"/>
      <w:marRight w:val="0"/>
      <w:marTop w:val="0"/>
      <w:marBottom w:val="0"/>
      <w:divBdr>
        <w:top w:val="none" w:sz="0" w:space="0" w:color="auto"/>
        <w:left w:val="none" w:sz="0" w:space="0" w:color="auto"/>
        <w:bottom w:val="none" w:sz="0" w:space="0" w:color="auto"/>
        <w:right w:val="none" w:sz="0" w:space="0" w:color="auto"/>
      </w:divBdr>
    </w:div>
    <w:div w:id="326834716">
      <w:bodyDiv w:val="1"/>
      <w:marLeft w:val="0"/>
      <w:marRight w:val="0"/>
      <w:marTop w:val="0"/>
      <w:marBottom w:val="0"/>
      <w:divBdr>
        <w:top w:val="none" w:sz="0" w:space="0" w:color="auto"/>
        <w:left w:val="none" w:sz="0" w:space="0" w:color="auto"/>
        <w:bottom w:val="none" w:sz="0" w:space="0" w:color="auto"/>
        <w:right w:val="none" w:sz="0" w:space="0" w:color="auto"/>
      </w:divBdr>
    </w:div>
    <w:div w:id="330375450">
      <w:bodyDiv w:val="1"/>
      <w:marLeft w:val="0"/>
      <w:marRight w:val="0"/>
      <w:marTop w:val="0"/>
      <w:marBottom w:val="0"/>
      <w:divBdr>
        <w:top w:val="none" w:sz="0" w:space="0" w:color="auto"/>
        <w:left w:val="none" w:sz="0" w:space="0" w:color="auto"/>
        <w:bottom w:val="none" w:sz="0" w:space="0" w:color="auto"/>
        <w:right w:val="none" w:sz="0" w:space="0" w:color="auto"/>
      </w:divBdr>
    </w:div>
    <w:div w:id="335424116">
      <w:bodyDiv w:val="1"/>
      <w:marLeft w:val="0"/>
      <w:marRight w:val="0"/>
      <w:marTop w:val="0"/>
      <w:marBottom w:val="0"/>
      <w:divBdr>
        <w:top w:val="none" w:sz="0" w:space="0" w:color="auto"/>
        <w:left w:val="none" w:sz="0" w:space="0" w:color="auto"/>
        <w:bottom w:val="none" w:sz="0" w:space="0" w:color="auto"/>
        <w:right w:val="none" w:sz="0" w:space="0" w:color="auto"/>
      </w:divBdr>
    </w:div>
    <w:div w:id="336998881">
      <w:bodyDiv w:val="1"/>
      <w:marLeft w:val="0"/>
      <w:marRight w:val="0"/>
      <w:marTop w:val="0"/>
      <w:marBottom w:val="0"/>
      <w:divBdr>
        <w:top w:val="none" w:sz="0" w:space="0" w:color="auto"/>
        <w:left w:val="none" w:sz="0" w:space="0" w:color="auto"/>
        <w:bottom w:val="none" w:sz="0" w:space="0" w:color="auto"/>
        <w:right w:val="none" w:sz="0" w:space="0" w:color="auto"/>
      </w:divBdr>
    </w:div>
    <w:div w:id="337389375">
      <w:bodyDiv w:val="1"/>
      <w:marLeft w:val="0"/>
      <w:marRight w:val="0"/>
      <w:marTop w:val="0"/>
      <w:marBottom w:val="0"/>
      <w:divBdr>
        <w:top w:val="none" w:sz="0" w:space="0" w:color="auto"/>
        <w:left w:val="none" w:sz="0" w:space="0" w:color="auto"/>
        <w:bottom w:val="none" w:sz="0" w:space="0" w:color="auto"/>
        <w:right w:val="none" w:sz="0" w:space="0" w:color="auto"/>
      </w:divBdr>
    </w:div>
    <w:div w:id="346296814">
      <w:bodyDiv w:val="1"/>
      <w:marLeft w:val="0"/>
      <w:marRight w:val="0"/>
      <w:marTop w:val="0"/>
      <w:marBottom w:val="0"/>
      <w:divBdr>
        <w:top w:val="none" w:sz="0" w:space="0" w:color="auto"/>
        <w:left w:val="none" w:sz="0" w:space="0" w:color="auto"/>
        <w:bottom w:val="none" w:sz="0" w:space="0" w:color="auto"/>
        <w:right w:val="none" w:sz="0" w:space="0" w:color="auto"/>
      </w:divBdr>
    </w:div>
    <w:div w:id="347684461">
      <w:bodyDiv w:val="1"/>
      <w:marLeft w:val="0"/>
      <w:marRight w:val="0"/>
      <w:marTop w:val="0"/>
      <w:marBottom w:val="0"/>
      <w:divBdr>
        <w:top w:val="none" w:sz="0" w:space="0" w:color="auto"/>
        <w:left w:val="none" w:sz="0" w:space="0" w:color="auto"/>
        <w:bottom w:val="none" w:sz="0" w:space="0" w:color="auto"/>
        <w:right w:val="none" w:sz="0" w:space="0" w:color="auto"/>
      </w:divBdr>
    </w:div>
    <w:div w:id="349188790">
      <w:bodyDiv w:val="1"/>
      <w:marLeft w:val="0"/>
      <w:marRight w:val="0"/>
      <w:marTop w:val="0"/>
      <w:marBottom w:val="0"/>
      <w:divBdr>
        <w:top w:val="none" w:sz="0" w:space="0" w:color="auto"/>
        <w:left w:val="none" w:sz="0" w:space="0" w:color="auto"/>
        <w:bottom w:val="none" w:sz="0" w:space="0" w:color="auto"/>
        <w:right w:val="none" w:sz="0" w:space="0" w:color="auto"/>
      </w:divBdr>
    </w:div>
    <w:div w:id="355086373">
      <w:bodyDiv w:val="1"/>
      <w:marLeft w:val="0"/>
      <w:marRight w:val="0"/>
      <w:marTop w:val="0"/>
      <w:marBottom w:val="0"/>
      <w:divBdr>
        <w:top w:val="none" w:sz="0" w:space="0" w:color="auto"/>
        <w:left w:val="none" w:sz="0" w:space="0" w:color="auto"/>
        <w:bottom w:val="none" w:sz="0" w:space="0" w:color="auto"/>
        <w:right w:val="none" w:sz="0" w:space="0" w:color="auto"/>
      </w:divBdr>
    </w:div>
    <w:div w:id="355350420">
      <w:bodyDiv w:val="1"/>
      <w:marLeft w:val="0"/>
      <w:marRight w:val="0"/>
      <w:marTop w:val="0"/>
      <w:marBottom w:val="0"/>
      <w:divBdr>
        <w:top w:val="none" w:sz="0" w:space="0" w:color="auto"/>
        <w:left w:val="none" w:sz="0" w:space="0" w:color="auto"/>
        <w:bottom w:val="none" w:sz="0" w:space="0" w:color="auto"/>
        <w:right w:val="none" w:sz="0" w:space="0" w:color="auto"/>
      </w:divBdr>
    </w:div>
    <w:div w:id="358360148">
      <w:bodyDiv w:val="1"/>
      <w:marLeft w:val="0"/>
      <w:marRight w:val="0"/>
      <w:marTop w:val="0"/>
      <w:marBottom w:val="0"/>
      <w:divBdr>
        <w:top w:val="none" w:sz="0" w:space="0" w:color="auto"/>
        <w:left w:val="none" w:sz="0" w:space="0" w:color="auto"/>
        <w:bottom w:val="none" w:sz="0" w:space="0" w:color="auto"/>
        <w:right w:val="none" w:sz="0" w:space="0" w:color="auto"/>
      </w:divBdr>
    </w:div>
    <w:div w:id="364722675">
      <w:bodyDiv w:val="1"/>
      <w:marLeft w:val="0"/>
      <w:marRight w:val="0"/>
      <w:marTop w:val="0"/>
      <w:marBottom w:val="0"/>
      <w:divBdr>
        <w:top w:val="none" w:sz="0" w:space="0" w:color="auto"/>
        <w:left w:val="none" w:sz="0" w:space="0" w:color="auto"/>
        <w:bottom w:val="none" w:sz="0" w:space="0" w:color="auto"/>
        <w:right w:val="none" w:sz="0" w:space="0" w:color="auto"/>
      </w:divBdr>
    </w:div>
    <w:div w:id="364908173">
      <w:bodyDiv w:val="1"/>
      <w:marLeft w:val="0"/>
      <w:marRight w:val="0"/>
      <w:marTop w:val="0"/>
      <w:marBottom w:val="0"/>
      <w:divBdr>
        <w:top w:val="none" w:sz="0" w:space="0" w:color="auto"/>
        <w:left w:val="none" w:sz="0" w:space="0" w:color="auto"/>
        <w:bottom w:val="none" w:sz="0" w:space="0" w:color="auto"/>
        <w:right w:val="none" w:sz="0" w:space="0" w:color="auto"/>
      </w:divBdr>
    </w:div>
    <w:div w:id="366226666">
      <w:bodyDiv w:val="1"/>
      <w:marLeft w:val="0"/>
      <w:marRight w:val="0"/>
      <w:marTop w:val="0"/>
      <w:marBottom w:val="0"/>
      <w:divBdr>
        <w:top w:val="none" w:sz="0" w:space="0" w:color="auto"/>
        <w:left w:val="none" w:sz="0" w:space="0" w:color="auto"/>
        <w:bottom w:val="none" w:sz="0" w:space="0" w:color="auto"/>
        <w:right w:val="none" w:sz="0" w:space="0" w:color="auto"/>
      </w:divBdr>
    </w:div>
    <w:div w:id="367294601">
      <w:bodyDiv w:val="1"/>
      <w:marLeft w:val="0"/>
      <w:marRight w:val="0"/>
      <w:marTop w:val="0"/>
      <w:marBottom w:val="0"/>
      <w:divBdr>
        <w:top w:val="none" w:sz="0" w:space="0" w:color="auto"/>
        <w:left w:val="none" w:sz="0" w:space="0" w:color="auto"/>
        <w:bottom w:val="none" w:sz="0" w:space="0" w:color="auto"/>
        <w:right w:val="none" w:sz="0" w:space="0" w:color="auto"/>
      </w:divBdr>
    </w:div>
    <w:div w:id="374433420">
      <w:bodyDiv w:val="1"/>
      <w:marLeft w:val="0"/>
      <w:marRight w:val="0"/>
      <w:marTop w:val="0"/>
      <w:marBottom w:val="0"/>
      <w:divBdr>
        <w:top w:val="none" w:sz="0" w:space="0" w:color="auto"/>
        <w:left w:val="none" w:sz="0" w:space="0" w:color="auto"/>
        <w:bottom w:val="none" w:sz="0" w:space="0" w:color="auto"/>
        <w:right w:val="none" w:sz="0" w:space="0" w:color="auto"/>
      </w:divBdr>
    </w:div>
    <w:div w:id="374504936">
      <w:bodyDiv w:val="1"/>
      <w:marLeft w:val="0"/>
      <w:marRight w:val="0"/>
      <w:marTop w:val="0"/>
      <w:marBottom w:val="0"/>
      <w:divBdr>
        <w:top w:val="none" w:sz="0" w:space="0" w:color="auto"/>
        <w:left w:val="none" w:sz="0" w:space="0" w:color="auto"/>
        <w:bottom w:val="none" w:sz="0" w:space="0" w:color="auto"/>
        <w:right w:val="none" w:sz="0" w:space="0" w:color="auto"/>
      </w:divBdr>
    </w:div>
    <w:div w:id="375737814">
      <w:bodyDiv w:val="1"/>
      <w:marLeft w:val="0"/>
      <w:marRight w:val="0"/>
      <w:marTop w:val="0"/>
      <w:marBottom w:val="0"/>
      <w:divBdr>
        <w:top w:val="none" w:sz="0" w:space="0" w:color="auto"/>
        <w:left w:val="none" w:sz="0" w:space="0" w:color="auto"/>
        <w:bottom w:val="none" w:sz="0" w:space="0" w:color="auto"/>
        <w:right w:val="none" w:sz="0" w:space="0" w:color="auto"/>
      </w:divBdr>
    </w:div>
    <w:div w:id="376590003">
      <w:bodyDiv w:val="1"/>
      <w:marLeft w:val="0"/>
      <w:marRight w:val="0"/>
      <w:marTop w:val="0"/>
      <w:marBottom w:val="0"/>
      <w:divBdr>
        <w:top w:val="none" w:sz="0" w:space="0" w:color="auto"/>
        <w:left w:val="none" w:sz="0" w:space="0" w:color="auto"/>
        <w:bottom w:val="none" w:sz="0" w:space="0" w:color="auto"/>
        <w:right w:val="none" w:sz="0" w:space="0" w:color="auto"/>
      </w:divBdr>
    </w:div>
    <w:div w:id="377702768">
      <w:bodyDiv w:val="1"/>
      <w:marLeft w:val="0"/>
      <w:marRight w:val="0"/>
      <w:marTop w:val="0"/>
      <w:marBottom w:val="0"/>
      <w:divBdr>
        <w:top w:val="none" w:sz="0" w:space="0" w:color="auto"/>
        <w:left w:val="none" w:sz="0" w:space="0" w:color="auto"/>
        <w:bottom w:val="none" w:sz="0" w:space="0" w:color="auto"/>
        <w:right w:val="none" w:sz="0" w:space="0" w:color="auto"/>
      </w:divBdr>
    </w:div>
    <w:div w:id="382145325">
      <w:bodyDiv w:val="1"/>
      <w:marLeft w:val="0"/>
      <w:marRight w:val="0"/>
      <w:marTop w:val="0"/>
      <w:marBottom w:val="0"/>
      <w:divBdr>
        <w:top w:val="none" w:sz="0" w:space="0" w:color="auto"/>
        <w:left w:val="none" w:sz="0" w:space="0" w:color="auto"/>
        <w:bottom w:val="none" w:sz="0" w:space="0" w:color="auto"/>
        <w:right w:val="none" w:sz="0" w:space="0" w:color="auto"/>
      </w:divBdr>
    </w:div>
    <w:div w:id="385028698">
      <w:bodyDiv w:val="1"/>
      <w:marLeft w:val="0"/>
      <w:marRight w:val="0"/>
      <w:marTop w:val="0"/>
      <w:marBottom w:val="0"/>
      <w:divBdr>
        <w:top w:val="none" w:sz="0" w:space="0" w:color="auto"/>
        <w:left w:val="none" w:sz="0" w:space="0" w:color="auto"/>
        <w:bottom w:val="none" w:sz="0" w:space="0" w:color="auto"/>
        <w:right w:val="none" w:sz="0" w:space="0" w:color="auto"/>
      </w:divBdr>
    </w:div>
    <w:div w:id="388917691">
      <w:bodyDiv w:val="1"/>
      <w:marLeft w:val="0"/>
      <w:marRight w:val="0"/>
      <w:marTop w:val="0"/>
      <w:marBottom w:val="0"/>
      <w:divBdr>
        <w:top w:val="none" w:sz="0" w:space="0" w:color="auto"/>
        <w:left w:val="none" w:sz="0" w:space="0" w:color="auto"/>
        <w:bottom w:val="none" w:sz="0" w:space="0" w:color="auto"/>
        <w:right w:val="none" w:sz="0" w:space="0" w:color="auto"/>
      </w:divBdr>
    </w:div>
    <w:div w:id="392702584">
      <w:bodyDiv w:val="1"/>
      <w:marLeft w:val="0"/>
      <w:marRight w:val="0"/>
      <w:marTop w:val="0"/>
      <w:marBottom w:val="0"/>
      <w:divBdr>
        <w:top w:val="none" w:sz="0" w:space="0" w:color="auto"/>
        <w:left w:val="none" w:sz="0" w:space="0" w:color="auto"/>
        <w:bottom w:val="none" w:sz="0" w:space="0" w:color="auto"/>
        <w:right w:val="none" w:sz="0" w:space="0" w:color="auto"/>
      </w:divBdr>
    </w:div>
    <w:div w:id="397754428">
      <w:bodyDiv w:val="1"/>
      <w:marLeft w:val="0"/>
      <w:marRight w:val="0"/>
      <w:marTop w:val="0"/>
      <w:marBottom w:val="0"/>
      <w:divBdr>
        <w:top w:val="none" w:sz="0" w:space="0" w:color="auto"/>
        <w:left w:val="none" w:sz="0" w:space="0" w:color="auto"/>
        <w:bottom w:val="none" w:sz="0" w:space="0" w:color="auto"/>
        <w:right w:val="none" w:sz="0" w:space="0" w:color="auto"/>
      </w:divBdr>
    </w:div>
    <w:div w:id="399713495">
      <w:bodyDiv w:val="1"/>
      <w:marLeft w:val="0"/>
      <w:marRight w:val="0"/>
      <w:marTop w:val="0"/>
      <w:marBottom w:val="0"/>
      <w:divBdr>
        <w:top w:val="none" w:sz="0" w:space="0" w:color="auto"/>
        <w:left w:val="none" w:sz="0" w:space="0" w:color="auto"/>
        <w:bottom w:val="none" w:sz="0" w:space="0" w:color="auto"/>
        <w:right w:val="none" w:sz="0" w:space="0" w:color="auto"/>
      </w:divBdr>
    </w:div>
    <w:div w:id="403374957">
      <w:bodyDiv w:val="1"/>
      <w:marLeft w:val="0"/>
      <w:marRight w:val="0"/>
      <w:marTop w:val="0"/>
      <w:marBottom w:val="0"/>
      <w:divBdr>
        <w:top w:val="none" w:sz="0" w:space="0" w:color="auto"/>
        <w:left w:val="none" w:sz="0" w:space="0" w:color="auto"/>
        <w:bottom w:val="none" w:sz="0" w:space="0" w:color="auto"/>
        <w:right w:val="none" w:sz="0" w:space="0" w:color="auto"/>
      </w:divBdr>
    </w:div>
    <w:div w:id="406921719">
      <w:bodyDiv w:val="1"/>
      <w:marLeft w:val="0"/>
      <w:marRight w:val="0"/>
      <w:marTop w:val="0"/>
      <w:marBottom w:val="0"/>
      <w:divBdr>
        <w:top w:val="none" w:sz="0" w:space="0" w:color="auto"/>
        <w:left w:val="none" w:sz="0" w:space="0" w:color="auto"/>
        <w:bottom w:val="none" w:sz="0" w:space="0" w:color="auto"/>
        <w:right w:val="none" w:sz="0" w:space="0" w:color="auto"/>
      </w:divBdr>
    </w:div>
    <w:div w:id="416826440">
      <w:bodyDiv w:val="1"/>
      <w:marLeft w:val="0"/>
      <w:marRight w:val="0"/>
      <w:marTop w:val="0"/>
      <w:marBottom w:val="0"/>
      <w:divBdr>
        <w:top w:val="none" w:sz="0" w:space="0" w:color="auto"/>
        <w:left w:val="none" w:sz="0" w:space="0" w:color="auto"/>
        <w:bottom w:val="none" w:sz="0" w:space="0" w:color="auto"/>
        <w:right w:val="none" w:sz="0" w:space="0" w:color="auto"/>
      </w:divBdr>
    </w:div>
    <w:div w:id="421337931">
      <w:bodyDiv w:val="1"/>
      <w:marLeft w:val="0"/>
      <w:marRight w:val="0"/>
      <w:marTop w:val="0"/>
      <w:marBottom w:val="0"/>
      <w:divBdr>
        <w:top w:val="none" w:sz="0" w:space="0" w:color="auto"/>
        <w:left w:val="none" w:sz="0" w:space="0" w:color="auto"/>
        <w:bottom w:val="none" w:sz="0" w:space="0" w:color="auto"/>
        <w:right w:val="none" w:sz="0" w:space="0" w:color="auto"/>
      </w:divBdr>
    </w:div>
    <w:div w:id="424812601">
      <w:bodyDiv w:val="1"/>
      <w:marLeft w:val="0"/>
      <w:marRight w:val="0"/>
      <w:marTop w:val="0"/>
      <w:marBottom w:val="0"/>
      <w:divBdr>
        <w:top w:val="none" w:sz="0" w:space="0" w:color="auto"/>
        <w:left w:val="none" w:sz="0" w:space="0" w:color="auto"/>
        <w:bottom w:val="none" w:sz="0" w:space="0" w:color="auto"/>
        <w:right w:val="none" w:sz="0" w:space="0" w:color="auto"/>
      </w:divBdr>
    </w:div>
    <w:div w:id="425229527">
      <w:bodyDiv w:val="1"/>
      <w:marLeft w:val="0"/>
      <w:marRight w:val="0"/>
      <w:marTop w:val="0"/>
      <w:marBottom w:val="0"/>
      <w:divBdr>
        <w:top w:val="none" w:sz="0" w:space="0" w:color="auto"/>
        <w:left w:val="none" w:sz="0" w:space="0" w:color="auto"/>
        <w:bottom w:val="none" w:sz="0" w:space="0" w:color="auto"/>
        <w:right w:val="none" w:sz="0" w:space="0" w:color="auto"/>
      </w:divBdr>
    </w:div>
    <w:div w:id="432017005">
      <w:bodyDiv w:val="1"/>
      <w:marLeft w:val="0"/>
      <w:marRight w:val="0"/>
      <w:marTop w:val="0"/>
      <w:marBottom w:val="0"/>
      <w:divBdr>
        <w:top w:val="none" w:sz="0" w:space="0" w:color="auto"/>
        <w:left w:val="none" w:sz="0" w:space="0" w:color="auto"/>
        <w:bottom w:val="none" w:sz="0" w:space="0" w:color="auto"/>
        <w:right w:val="none" w:sz="0" w:space="0" w:color="auto"/>
      </w:divBdr>
    </w:div>
    <w:div w:id="434059638">
      <w:bodyDiv w:val="1"/>
      <w:marLeft w:val="0"/>
      <w:marRight w:val="0"/>
      <w:marTop w:val="0"/>
      <w:marBottom w:val="0"/>
      <w:divBdr>
        <w:top w:val="none" w:sz="0" w:space="0" w:color="auto"/>
        <w:left w:val="none" w:sz="0" w:space="0" w:color="auto"/>
        <w:bottom w:val="none" w:sz="0" w:space="0" w:color="auto"/>
        <w:right w:val="none" w:sz="0" w:space="0" w:color="auto"/>
      </w:divBdr>
    </w:div>
    <w:div w:id="436222539">
      <w:bodyDiv w:val="1"/>
      <w:marLeft w:val="0"/>
      <w:marRight w:val="0"/>
      <w:marTop w:val="0"/>
      <w:marBottom w:val="0"/>
      <w:divBdr>
        <w:top w:val="none" w:sz="0" w:space="0" w:color="auto"/>
        <w:left w:val="none" w:sz="0" w:space="0" w:color="auto"/>
        <w:bottom w:val="none" w:sz="0" w:space="0" w:color="auto"/>
        <w:right w:val="none" w:sz="0" w:space="0" w:color="auto"/>
      </w:divBdr>
    </w:div>
    <w:div w:id="436410649">
      <w:bodyDiv w:val="1"/>
      <w:marLeft w:val="0"/>
      <w:marRight w:val="0"/>
      <w:marTop w:val="0"/>
      <w:marBottom w:val="0"/>
      <w:divBdr>
        <w:top w:val="none" w:sz="0" w:space="0" w:color="auto"/>
        <w:left w:val="none" w:sz="0" w:space="0" w:color="auto"/>
        <w:bottom w:val="none" w:sz="0" w:space="0" w:color="auto"/>
        <w:right w:val="none" w:sz="0" w:space="0" w:color="auto"/>
      </w:divBdr>
    </w:div>
    <w:div w:id="440759538">
      <w:bodyDiv w:val="1"/>
      <w:marLeft w:val="0"/>
      <w:marRight w:val="0"/>
      <w:marTop w:val="0"/>
      <w:marBottom w:val="0"/>
      <w:divBdr>
        <w:top w:val="none" w:sz="0" w:space="0" w:color="auto"/>
        <w:left w:val="none" w:sz="0" w:space="0" w:color="auto"/>
        <w:bottom w:val="none" w:sz="0" w:space="0" w:color="auto"/>
        <w:right w:val="none" w:sz="0" w:space="0" w:color="auto"/>
      </w:divBdr>
    </w:div>
    <w:div w:id="448669101">
      <w:bodyDiv w:val="1"/>
      <w:marLeft w:val="0"/>
      <w:marRight w:val="0"/>
      <w:marTop w:val="0"/>
      <w:marBottom w:val="0"/>
      <w:divBdr>
        <w:top w:val="none" w:sz="0" w:space="0" w:color="auto"/>
        <w:left w:val="none" w:sz="0" w:space="0" w:color="auto"/>
        <w:bottom w:val="none" w:sz="0" w:space="0" w:color="auto"/>
        <w:right w:val="none" w:sz="0" w:space="0" w:color="auto"/>
      </w:divBdr>
    </w:div>
    <w:div w:id="451678701">
      <w:bodyDiv w:val="1"/>
      <w:marLeft w:val="0"/>
      <w:marRight w:val="0"/>
      <w:marTop w:val="0"/>
      <w:marBottom w:val="0"/>
      <w:divBdr>
        <w:top w:val="none" w:sz="0" w:space="0" w:color="auto"/>
        <w:left w:val="none" w:sz="0" w:space="0" w:color="auto"/>
        <w:bottom w:val="none" w:sz="0" w:space="0" w:color="auto"/>
        <w:right w:val="none" w:sz="0" w:space="0" w:color="auto"/>
      </w:divBdr>
    </w:div>
    <w:div w:id="451828644">
      <w:bodyDiv w:val="1"/>
      <w:marLeft w:val="0"/>
      <w:marRight w:val="0"/>
      <w:marTop w:val="0"/>
      <w:marBottom w:val="0"/>
      <w:divBdr>
        <w:top w:val="none" w:sz="0" w:space="0" w:color="auto"/>
        <w:left w:val="none" w:sz="0" w:space="0" w:color="auto"/>
        <w:bottom w:val="none" w:sz="0" w:space="0" w:color="auto"/>
        <w:right w:val="none" w:sz="0" w:space="0" w:color="auto"/>
      </w:divBdr>
    </w:div>
    <w:div w:id="452987664">
      <w:bodyDiv w:val="1"/>
      <w:marLeft w:val="0"/>
      <w:marRight w:val="0"/>
      <w:marTop w:val="0"/>
      <w:marBottom w:val="0"/>
      <w:divBdr>
        <w:top w:val="none" w:sz="0" w:space="0" w:color="auto"/>
        <w:left w:val="none" w:sz="0" w:space="0" w:color="auto"/>
        <w:bottom w:val="none" w:sz="0" w:space="0" w:color="auto"/>
        <w:right w:val="none" w:sz="0" w:space="0" w:color="auto"/>
      </w:divBdr>
    </w:div>
    <w:div w:id="453988650">
      <w:bodyDiv w:val="1"/>
      <w:marLeft w:val="0"/>
      <w:marRight w:val="0"/>
      <w:marTop w:val="0"/>
      <w:marBottom w:val="0"/>
      <w:divBdr>
        <w:top w:val="none" w:sz="0" w:space="0" w:color="auto"/>
        <w:left w:val="none" w:sz="0" w:space="0" w:color="auto"/>
        <w:bottom w:val="none" w:sz="0" w:space="0" w:color="auto"/>
        <w:right w:val="none" w:sz="0" w:space="0" w:color="auto"/>
      </w:divBdr>
    </w:div>
    <w:div w:id="454254947">
      <w:bodyDiv w:val="1"/>
      <w:marLeft w:val="0"/>
      <w:marRight w:val="0"/>
      <w:marTop w:val="0"/>
      <w:marBottom w:val="0"/>
      <w:divBdr>
        <w:top w:val="none" w:sz="0" w:space="0" w:color="auto"/>
        <w:left w:val="none" w:sz="0" w:space="0" w:color="auto"/>
        <w:bottom w:val="none" w:sz="0" w:space="0" w:color="auto"/>
        <w:right w:val="none" w:sz="0" w:space="0" w:color="auto"/>
      </w:divBdr>
    </w:div>
    <w:div w:id="460810075">
      <w:bodyDiv w:val="1"/>
      <w:marLeft w:val="0"/>
      <w:marRight w:val="0"/>
      <w:marTop w:val="0"/>
      <w:marBottom w:val="0"/>
      <w:divBdr>
        <w:top w:val="none" w:sz="0" w:space="0" w:color="auto"/>
        <w:left w:val="none" w:sz="0" w:space="0" w:color="auto"/>
        <w:bottom w:val="none" w:sz="0" w:space="0" w:color="auto"/>
        <w:right w:val="none" w:sz="0" w:space="0" w:color="auto"/>
      </w:divBdr>
    </w:div>
    <w:div w:id="470365896">
      <w:bodyDiv w:val="1"/>
      <w:marLeft w:val="0"/>
      <w:marRight w:val="0"/>
      <w:marTop w:val="0"/>
      <w:marBottom w:val="0"/>
      <w:divBdr>
        <w:top w:val="none" w:sz="0" w:space="0" w:color="auto"/>
        <w:left w:val="none" w:sz="0" w:space="0" w:color="auto"/>
        <w:bottom w:val="none" w:sz="0" w:space="0" w:color="auto"/>
        <w:right w:val="none" w:sz="0" w:space="0" w:color="auto"/>
      </w:divBdr>
    </w:div>
    <w:div w:id="470560928">
      <w:bodyDiv w:val="1"/>
      <w:marLeft w:val="0"/>
      <w:marRight w:val="0"/>
      <w:marTop w:val="0"/>
      <w:marBottom w:val="0"/>
      <w:divBdr>
        <w:top w:val="none" w:sz="0" w:space="0" w:color="auto"/>
        <w:left w:val="none" w:sz="0" w:space="0" w:color="auto"/>
        <w:bottom w:val="none" w:sz="0" w:space="0" w:color="auto"/>
        <w:right w:val="none" w:sz="0" w:space="0" w:color="auto"/>
      </w:divBdr>
    </w:div>
    <w:div w:id="473259842">
      <w:bodyDiv w:val="1"/>
      <w:marLeft w:val="0"/>
      <w:marRight w:val="0"/>
      <w:marTop w:val="0"/>
      <w:marBottom w:val="0"/>
      <w:divBdr>
        <w:top w:val="none" w:sz="0" w:space="0" w:color="auto"/>
        <w:left w:val="none" w:sz="0" w:space="0" w:color="auto"/>
        <w:bottom w:val="none" w:sz="0" w:space="0" w:color="auto"/>
        <w:right w:val="none" w:sz="0" w:space="0" w:color="auto"/>
      </w:divBdr>
      <w:divsChild>
        <w:div w:id="412896442">
          <w:marLeft w:val="0"/>
          <w:marRight w:val="0"/>
          <w:marTop w:val="0"/>
          <w:marBottom w:val="0"/>
          <w:divBdr>
            <w:top w:val="none" w:sz="0" w:space="0" w:color="auto"/>
            <w:left w:val="none" w:sz="0" w:space="0" w:color="auto"/>
            <w:bottom w:val="none" w:sz="0" w:space="0" w:color="auto"/>
            <w:right w:val="none" w:sz="0" w:space="0" w:color="auto"/>
          </w:divBdr>
        </w:div>
        <w:div w:id="501554287">
          <w:marLeft w:val="0"/>
          <w:marRight w:val="0"/>
          <w:marTop w:val="0"/>
          <w:marBottom w:val="0"/>
          <w:divBdr>
            <w:top w:val="none" w:sz="0" w:space="0" w:color="auto"/>
            <w:left w:val="none" w:sz="0" w:space="0" w:color="auto"/>
            <w:bottom w:val="none" w:sz="0" w:space="0" w:color="auto"/>
            <w:right w:val="none" w:sz="0" w:space="0" w:color="auto"/>
          </w:divBdr>
        </w:div>
        <w:div w:id="1119565058">
          <w:marLeft w:val="0"/>
          <w:marRight w:val="0"/>
          <w:marTop w:val="0"/>
          <w:marBottom w:val="0"/>
          <w:divBdr>
            <w:top w:val="none" w:sz="0" w:space="0" w:color="auto"/>
            <w:left w:val="none" w:sz="0" w:space="0" w:color="auto"/>
            <w:bottom w:val="none" w:sz="0" w:space="0" w:color="auto"/>
            <w:right w:val="none" w:sz="0" w:space="0" w:color="auto"/>
          </w:divBdr>
        </w:div>
        <w:div w:id="1508835337">
          <w:marLeft w:val="0"/>
          <w:marRight w:val="0"/>
          <w:marTop w:val="0"/>
          <w:marBottom w:val="0"/>
          <w:divBdr>
            <w:top w:val="none" w:sz="0" w:space="0" w:color="auto"/>
            <w:left w:val="none" w:sz="0" w:space="0" w:color="auto"/>
            <w:bottom w:val="none" w:sz="0" w:space="0" w:color="auto"/>
            <w:right w:val="none" w:sz="0" w:space="0" w:color="auto"/>
          </w:divBdr>
        </w:div>
        <w:div w:id="1633436157">
          <w:marLeft w:val="0"/>
          <w:marRight w:val="0"/>
          <w:marTop w:val="0"/>
          <w:marBottom w:val="0"/>
          <w:divBdr>
            <w:top w:val="none" w:sz="0" w:space="0" w:color="auto"/>
            <w:left w:val="none" w:sz="0" w:space="0" w:color="auto"/>
            <w:bottom w:val="none" w:sz="0" w:space="0" w:color="auto"/>
            <w:right w:val="none" w:sz="0" w:space="0" w:color="auto"/>
          </w:divBdr>
        </w:div>
      </w:divsChild>
    </w:div>
    <w:div w:id="476846077">
      <w:bodyDiv w:val="1"/>
      <w:marLeft w:val="0"/>
      <w:marRight w:val="0"/>
      <w:marTop w:val="0"/>
      <w:marBottom w:val="0"/>
      <w:divBdr>
        <w:top w:val="none" w:sz="0" w:space="0" w:color="auto"/>
        <w:left w:val="none" w:sz="0" w:space="0" w:color="auto"/>
        <w:bottom w:val="none" w:sz="0" w:space="0" w:color="auto"/>
        <w:right w:val="none" w:sz="0" w:space="0" w:color="auto"/>
      </w:divBdr>
    </w:div>
    <w:div w:id="477772635">
      <w:bodyDiv w:val="1"/>
      <w:marLeft w:val="0"/>
      <w:marRight w:val="0"/>
      <w:marTop w:val="0"/>
      <w:marBottom w:val="0"/>
      <w:divBdr>
        <w:top w:val="none" w:sz="0" w:space="0" w:color="auto"/>
        <w:left w:val="none" w:sz="0" w:space="0" w:color="auto"/>
        <w:bottom w:val="none" w:sz="0" w:space="0" w:color="auto"/>
        <w:right w:val="none" w:sz="0" w:space="0" w:color="auto"/>
      </w:divBdr>
    </w:div>
    <w:div w:id="480078895">
      <w:bodyDiv w:val="1"/>
      <w:marLeft w:val="0"/>
      <w:marRight w:val="0"/>
      <w:marTop w:val="0"/>
      <w:marBottom w:val="0"/>
      <w:divBdr>
        <w:top w:val="none" w:sz="0" w:space="0" w:color="auto"/>
        <w:left w:val="none" w:sz="0" w:space="0" w:color="auto"/>
        <w:bottom w:val="none" w:sz="0" w:space="0" w:color="auto"/>
        <w:right w:val="none" w:sz="0" w:space="0" w:color="auto"/>
      </w:divBdr>
    </w:div>
    <w:div w:id="480273755">
      <w:bodyDiv w:val="1"/>
      <w:marLeft w:val="0"/>
      <w:marRight w:val="0"/>
      <w:marTop w:val="0"/>
      <w:marBottom w:val="0"/>
      <w:divBdr>
        <w:top w:val="none" w:sz="0" w:space="0" w:color="auto"/>
        <w:left w:val="none" w:sz="0" w:space="0" w:color="auto"/>
        <w:bottom w:val="none" w:sz="0" w:space="0" w:color="auto"/>
        <w:right w:val="none" w:sz="0" w:space="0" w:color="auto"/>
      </w:divBdr>
    </w:div>
    <w:div w:id="481967998">
      <w:bodyDiv w:val="1"/>
      <w:marLeft w:val="0"/>
      <w:marRight w:val="0"/>
      <w:marTop w:val="0"/>
      <w:marBottom w:val="0"/>
      <w:divBdr>
        <w:top w:val="none" w:sz="0" w:space="0" w:color="auto"/>
        <w:left w:val="none" w:sz="0" w:space="0" w:color="auto"/>
        <w:bottom w:val="none" w:sz="0" w:space="0" w:color="auto"/>
        <w:right w:val="none" w:sz="0" w:space="0" w:color="auto"/>
      </w:divBdr>
    </w:div>
    <w:div w:id="488450570">
      <w:bodyDiv w:val="1"/>
      <w:marLeft w:val="0"/>
      <w:marRight w:val="0"/>
      <w:marTop w:val="0"/>
      <w:marBottom w:val="0"/>
      <w:divBdr>
        <w:top w:val="none" w:sz="0" w:space="0" w:color="auto"/>
        <w:left w:val="none" w:sz="0" w:space="0" w:color="auto"/>
        <w:bottom w:val="none" w:sz="0" w:space="0" w:color="auto"/>
        <w:right w:val="none" w:sz="0" w:space="0" w:color="auto"/>
      </w:divBdr>
    </w:div>
    <w:div w:id="489905164">
      <w:bodyDiv w:val="1"/>
      <w:marLeft w:val="0"/>
      <w:marRight w:val="0"/>
      <w:marTop w:val="0"/>
      <w:marBottom w:val="0"/>
      <w:divBdr>
        <w:top w:val="none" w:sz="0" w:space="0" w:color="auto"/>
        <w:left w:val="none" w:sz="0" w:space="0" w:color="auto"/>
        <w:bottom w:val="none" w:sz="0" w:space="0" w:color="auto"/>
        <w:right w:val="none" w:sz="0" w:space="0" w:color="auto"/>
      </w:divBdr>
    </w:div>
    <w:div w:id="490294750">
      <w:bodyDiv w:val="1"/>
      <w:marLeft w:val="0"/>
      <w:marRight w:val="0"/>
      <w:marTop w:val="0"/>
      <w:marBottom w:val="0"/>
      <w:divBdr>
        <w:top w:val="none" w:sz="0" w:space="0" w:color="auto"/>
        <w:left w:val="none" w:sz="0" w:space="0" w:color="auto"/>
        <w:bottom w:val="none" w:sz="0" w:space="0" w:color="auto"/>
        <w:right w:val="none" w:sz="0" w:space="0" w:color="auto"/>
      </w:divBdr>
    </w:div>
    <w:div w:id="495269099">
      <w:bodyDiv w:val="1"/>
      <w:marLeft w:val="0"/>
      <w:marRight w:val="0"/>
      <w:marTop w:val="0"/>
      <w:marBottom w:val="0"/>
      <w:divBdr>
        <w:top w:val="none" w:sz="0" w:space="0" w:color="auto"/>
        <w:left w:val="none" w:sz="0" w:space="0" w:color="auto"/>
        <w:bottom w:val="none" w:sz="0" w:space="0" w:color="auto"/>
        <w:right w:val="none" w:sz="0" w:space="0" w:color="auto"/>
      </w:divBdr>
    </w:div>
    <w:div w:id="495732680">
      <w:bodyDiv w:val="1"/>
      <w:marLeft w:val="0"/>
      <w:marRight w:val="0"/>
      <w:marTop w:val="0"/>
      <w:marBottom w:val="0"/>
      <w:divBdr>
        <w:top w:val="none" w:sz="0" w:space="0" w:color="auto"/>
        <w:left w:val="none" w:sz="0" w:space="0" w:color="auto"/>
        <w:bottom w:val="none" w:sz="0" w:space="0" w:color="auto"/>
        <w:right w:val="none" w:sz="0" w:space="0" w:color="auto"/>
      </w:divBdr>
    </w:div>
    <w:div w:id="498279901">
      <w:bodyDiv w:val="1"/>
      <w:marLeft w:val="0"/>
      <w:marRight w:val="0"/>
      <w:marTop w:val="0"/>
      <w:marBottom w:val="0"/>
      <w:divBdr>
        <w:top w:val="none" w:sz="0" w:space="0" w:color="auto"/>
        <w:left w:val="none" w:sz="0" w:space="0" w:color="auto"/>
        <w:bottom w:val="none" w:sz="0" w:space="0" w:color="auto"/>
        <w:right w:val="none" w:sz="0" w:space="0" w:color="auto"/>
      </w:divBdr>
    </w:div>
    <w:div w:id="501438255">
      <w:bodyDiv w:val="1"/>
      <w:marLeft w:val="0"/>
      <w:marRight w:val="0"/>
      <w:marTop w:val="0"/>
      <w:marBottom w:val="0"/>
      <w:divBdr>
        <w:top w:val="none" w:sz="0" w:space="0" w:color="auto"/>
        <w:left w:val="none" w:sz="0" w:space="0" w:color="auto"/>
        <w:bottom w:val="none" w:sz="0" w:space="0" w:color="auto"/>
        <w:right w:val="none" w:sz="0" w:space="0" w:color="auto"/>
      </w:divBdr>
    </w:div>
    <w:div w:id="501701223">
      <w:bodyDiv w:val="1"/>
      <w:marLeft w:val="0"/>
      <w:marRight w:val="0"/>
      <w:marTop w:val="0"/>
      <w:marBottom w:val="0"/>
      <w:divBdr>
        <w:top w:val="none" w:sz="0" w:space="0" w:color="auto"/>
        <w:left w:val="none" w:sz="0" w:space="0" w:color="auto"/>
        <w:bottom w:val="none" w:sz="0" w:space="0" w:color="auto"/>
        <w:right w:val="none" w:sz="0" w:space="0" w:color="auto"/>
      </w:divBdr>
    </w:div>
    <w:div w:id="506362450">
      <w:bodyDiv w:val="1"/>
      <w:marLeft w:val="0"/>
      <w:marRight w:val="0"/>
      <w:marTop w:val="0"/>
      <w:marBottom w:val="0"/>
      <w:divBdr>
        <w:top w:val="none" w:sz="0" w:space="0" w:color="auto"/>
        <w:left w:val="none" w:sz="0" w:space="0" w:color="auto"/>
        <w:bottom w:val="none" w:sz="0" w:space="0" w:color="auto"/>
        <w:right w:val="none" w:sz="0" w:space="0" w:color="auto"/>
      </w:divBdr>
    </w:div>
    <w:div w:id="510411823">
      <w:bodyDiv w:val="1"/>
      <w:marLeft w:val="0"/>
      <w:marRight w:val="0"/>
      <w:marTop w:val="0"/>
      <w:marBottom w:val="0"/>
      <w:divBdr>
        <w:top w:val="none" w:sz="0" w:space="0" w:color="auto"/>
        <w:left w:val="none" w:sz="0" w:space="0" w:color="auto"/>
        <w:bottom w:val="none" w:sz="0" w:space="0" w:color="auto"/>
        <w:right w:val="none" w:sz="0" w:space="0" w:color="auto"/>
      </w:divBdr>
    </w:div>
    <w:div w:id="511263915">
      <w:bodyDiv w:val="1"/>
      <w:marLeft w:val="0"/>
      <w:marRight w:val="0"/>
      <w:marTop w:val="0"/>
      <w:marBottom w:val="0"/>
      <w:divBdr>
        <w:top w:val="none" w:sz="0" w:space="0" w:color="auto"/>
        <w:left w:val="none" w:sz="0" w:space="0" w:color="auto"/>
        <w:bottom w:val="none" w:sz="0" w:space="0" w:color="auto"/>
        <w:right w:val="none" w:sz="0" w:space="0" w:color="auto"/>
      </w:divBdr>
    </w:div>
    <w:div w:id="511798862">
      <w:bodyDiv w:val="1"/>
      <w:marLeft w:val="0"/>
      <w:marRight w:val="0"/>
      <w:marTop w:val="0"/>
      <w:marBottom w:val="0"/>
      <w:divBdr>
        <w:top w:val="none" w:sz="0" w:space="0" w:color="auto"/>
        <w:left w:val="none" w:sz="0" w:space="0" w:color="auto"/>
        <w:bottom w:val="none" w:sz="0" w:space="0" w:color="auto"/>
        <w:right w:val="none" w:sz="0" w:space="0" w:color="auto"/>
      </w:divBdr>
    </w:div>
    <w:div w:id="514346572">
      <w:bodyDiv w:val="1"/>
      <w:marLeft w:val="0"/>
      <w:marRight w:val="0"/>
      <w:marTop w:val="0"/>
      <w:marBottom w:val="0"/>
      <w:divBdr>
        <w:top w:val="none" w:sz="0" w:space="0" w:color="auto"/>
        <w:left w:val="none" w:sz="0" w:space="0" w:color="auto"/>
        <w:bottom w:val="none" w:sz="0" w:space="0" w:color="auto"/>
        <w:right w:val="none" w:sz="0" w:space="0" w:color="auto"/>
      </w:divBdr>
    </w:div>
    <w:div w:id="519514403">
      <w:bodyDiv w:val="1"/>
      <w:marLeft w:val="0"/>
      <w:marRight w:val="0"/>
      <w:marTop w:val="0"/>
      <w:marBottom w:val="0"/>
      <w:divBdr>
        <w:top w:val="none" w:sz="0" w:space="0" w:color="auto"/>
        <w:left w:val="none" w:sz="0" w:space="0" w:color="auto"/>
        <w:bottom w:val="none" w:sz="0" w:space="0" w:color="auto"/>
        <w:right w:val="none" w:sz="0" w:space="0" w:color="auto"/>
      </w:divBdr>
    </w:div>
    <w:div w:id="530998527">
      <w:bodyDiv w:val="1"/>
      <w:marLeft w:val="0"/>
      <w:marRight w:val="0"/>
      <w:marTop w:val="0"/>
      <w:marBottom w:val="0"/>
      <w:divBdr>
        <w:top w:val="none" w:sz="0" w:space="0" w:color="auto"/>
        <w:left w:val="none" w:sz="0" w:space="0" w:color="auto"/>
        <w:bottom w:val="none" w:sz="0" w:space="0" w:color="auto"/>
        <w:right w:val="none" w:sz="0" w:space="0" w:color="auto"/>
      </w:divBdr>
    </w:div>
    <w:div w:id="531193067">
      <w:bodyDiv w:val="1"/>
      <w:marLeft w:val="0"/>
      <w:marRight w:val="0"/>
      <w:marTop w:val="0"/>
      <w:marBottom w:val="0"/>
      <w:divBdr>
        <w:top w:val="none" w:sz="0" w:space="0" w:color="auto"/>
        <w:left w:val="none" w:sz="0" w:space="0" w:color="auto"/>
        <w:bottom w:val="none" w:sz="0" w:space="0" w:color="auto"/>
        <w:right w:val="none" w:sz="0" w:space="0" w:color="auto"/>
      </w:divBdr>
    </w:div>
    <w:div w:id="537820134">
      <w:bodyDiv w:val="1"/>
      <w:marLeft w:val="0"/>
      <w:marRight w:val="0"/>
      <w:marTop w:val="0"/>
      <w:marBottom w:val="0"/>
      <w:divBdr>
        <w:top w:val="none" w:sz="0" w:space="0" w:color="auto"/>
        <w:left w:val="none" w:sz="0" w:space="0" w:color="auto"/>
        <w:bottom w:val="none" w:sz="0" w:space="0" w:color="auto"/>
        <w:right w:val="none" w:sz="0" w:space="0" w:color="auto"/>
      </w:divBdr>
    </w:div>
    <w:div w:id="538860120">
      <w:bodyDiv w:val="1"/>
      <w:marLeft w:val="0"/>
      <w:marRight w:val="0"/>
      <w:marTop w:val="0"/>
      <w:marBottom w:val="0"/>
      <w:divBdr>
        <w:top w:val="none" w:sz="0" w:space="0" w:color="auto"/>
        <w:left w:val="none" w:sz="0" w:space="0" w:color="auto"/>
        <w:bottom w:val="none" w:sz="0" w:space="0" w:color="auto"/>
        <w:right w:val="none" w:sz="0" w:space="0" w:color="auto"/>
      </w:divBdr>
    </w:div>
    <w:div w:id="538906222">
      <w:bodyDiv w:val="1"/>
      <w:marLeft w:val="0"/>
      <w:marRight w:val="0"/>
      <w:marTop w:val="0"/>
      <w:marBottom w:val="0"/>
      <w:divBdr>
        <w:top w:val="none" w:sz="0" w:space="0" w:color="auto"/>
        <w:left w:val="none" w:sz="0" w:space="0" w:color="auto"/>
        <w:bottom w:val="none" w:sz="0" w:space="0" w:color="auto"/>
        <w:right w:val="none" w:sz="0" w:space="0" w:color="auto"/>
      </w:divBdr>
    </w:div>
    <w:div w:id="539435761">
      <w:bodyDiv w:val="1"/>
      <w:marLeft w:val="0"/>
      <w:marRight w:val="0"/>
      <w:marTop w:val="0"/>
      <w:marBottom w:val="0"/>
      <w:divBdr>
        <w:top w:val="none" w:sz="0" w:space="0" w:color="auto"/>
        <w:left w:val="none" w:sz="0" w:space="0" w:color="auto"/>
        <w:bottom w:val="none" w:sz="0" w:space="0" w:color="auto"/>
        <w:right w:val="none" w:sz="0" w:space="0" w:color="auto"/>
      </w:divBdr>
    </w:div>
    <w:div w:id="541019631">
      <w:bodyDiv w:val="1"/>
      <w:marLeft w:val="0"/>
      <w:marRight w:val="0"/>
      <w:marTop w:val="0"/>
      <w:marBottom w:val="0"/>
      <w:divBdr>
        <w:top w:val="none" w:sz="0" w:space="0" w:color="auto"/>
        <w:left w:val="none" w:sz="0" w:space="0" w:color="auto"/>
        <w:bottom w:val="none" w:sz="0" w:space="0" w:color="auto"/>
        <w:right w:val="none" w:sz="0" w:space="0" w:color="auto"/>
      </w:divBdr>
    </w:div>
    <w:div w:id="541862351">
      <w:bodyDiv w:val="1"/>
      <w:marLeft w:val="0"/>
      <w:marRight w:val="0"/>
      <w:marTop w:val="0"/>
      <w:marBottom w:val="0"/>
      <w:divBdr>
        <w:top w:val="none" w:sz="0" w:space="0" w:color="auto"/>
        <w:left w:val="none" w:sz="0" w:space="0" w:color="auto"/>
        <w:bottom w:val="none" w:sz="0" w:space="0" w:color="auto"/>
        <w:right w:val="none" w:sz="0" w:space="0" w:color="auto"/>
      </w:divBdr>
    </w:div>
    <w:div w:id="542669691">
      <w:bodyDiv w:val="1"/>
      <w:marLeft w:val="0"/>
      <w:marRight w:val="0"/>
      <w:marTop w:val="0"/>
      <w:marBottom w:val="0"/>
      <w:divBdr>
        <w:top w:val="none" w:sz="0" w:space="0" w:color="auto"/>
        <w:left w:val="none" w:sz="0" w:space="0" w:color="auto"/>
        <w:bottom w:val="none" w:sz="0" w:space="0" w:color="auto"/>
        <w:right w:val="none" w:sz="0" w:space="0" w:color="auto"/>
      </w:divBdr>
    </w:div>
    <w:div w:id="547110180">
      <w:bodyDiv w:val="1"/>
      <w:marLeft w:val="0"/>
      <w:marRight w:val="0"/>
      <w:marTop w:val="0"/>
      <w:marBottom w:val="0"/>
      <w:divBdr>
        <w:top w:val="none" w:sz="0" w:space="0" w:color="auto"/>
        <w:left w:val="none" w:sz="0" w:space="0" w:color="auto"/>
        <w:bottom w:val="none" w:sz="0" w:space="0" w:color="auto"/>
        <w:right w:val="none" w:sz="0" w:space="0" w:color="auto"/>
      </w:divBdr>
    </w:div>
    <w:div w:id="550775428">
      <w:bodyDiv w:val="1"/>
      <w:marLeft w:val="0"/>
      <w:marRight w:val="0"/>
      <w:marTop w:val="0"/>
      <w:marBottom w:val="0"/>
      <w:divBdr>
        <w:top w:val="none" w:sz="0" w:space="0" w:color="auto"/>
        <w:left w:val="none" w:sz="0" w:space="0" w:color="auto"/>
        <w:bottom w:val="none" w:sz="0" w:space="0" w:color="auto"/>
        <w:right w:val="none" w:sz="0" w:space="0" w:color="auto"/>
      </w:divBdr>
      <w:divsChild>
        <w:div w:id="575625824">
          <w:marLeft w:val="0"/>
          <w:marRight w:val="0"/>
          <w:marTop w:val="0"/>
          <w:marBottom w:val="0"/>
          <w:divBdr>
            <w:top w:val="none" w:sz="0" w:space="0" w:color="auto"/>
            <w:left w:val="none" w:sz="0" w:space="0" w:color="auto"/>
            <w:bottom w:val="none" w:sz="0" w:space="0" w:color="auto"/>
            <w:right w:val="none" w:sz="0" w:space="0" w:color="auto"/>
          </w:divBdr>
        </w:div>
        <w:div w:id="711030763">
          <w:marLeft w:val="0"/>
          <w:marRight w:val="0"/>
          <w:marTop w:val="0"/>
          <w:marBottom w:val="0"/>
          <w:divBdr>
            <w:top w:val="none" w:sz="0" w:space="0" w:color="auto"/>
            <w:left w:val="none" w:sz="0" w:space="0" w:color="auto"/>
            <w:bottom w:val="none" w:sz="0" w:space="0" w:color="auto"/>
            <w:right w:val="none" w:sz="0" w:space="0" w:color="auto"/>
          </w:divBdr>
        </w:div>
        <w:div w:id="940530108">
          <w:marLeft w:val="0"/>
          <w:marRight w:val="0"/>
          <w:marTop w:val="0"/>
          <w:marBottom w:val="0"/>
          <w:divBdr>
            <w:top w:val="none" w:sz="0" w:space="0" w:color="auto"/>
            <w:left w:val="none" w:sz="0" w:space="0" w:color="auto"/>
            <w:bottom w:val="none" w:sz="0" w:space="0" w:color="auto"/>
            <w:right w:val="none" w:sz="0" w:space="0" w:color="auto"/>
          </w:divBdr>
        </w:div>
        <w:div w:id="1002390647">
          <w:marLeft w:val="0"/>
          <w:marRight w:val="0"/>
          <w:marTop w:val="0"/>
          <w:marBottom w:val="0"/>
          <w:divBdr>
            <w:top w:val="none" w:sz="0" w:space="0" w:color="auto"/>
            <w:left w:val="none" w:sz="0" w:space="0" w:color="auto"/>
            <w:bottom w:val="none" w:sz="0" w:space="0" w:color="auto"/>
            <w:right w:val="none" w:sz="0" w:space="0" w:color="auto"/>
          </w:divBdr>
        </w:div>
        <w:div w:id="1412122987">
          <w:marLeft w:val="0"/>
          <w:marRight w:val="0"/>
          <w:marTop w:val="0"/>
          <w:marBottom w:val="0"/>
          <w:divBdr>
            <w:top w:val="none" w:sz="0" w:space="0" w:color="auto"/>
            <w:left w:val="none" w:sz="0" w:space="0" w:color="auto"/>
            <w:bottom w:val="none" w:sz="0" w:space="0" w:color="auto"/>
            <w:right w:val="none" w:sz="0" w:space="0" w:color="auto"/>
          </w:divBdr>
        </w:div>
      </w:divsChild>
    </w:div>
    <w:div w:id="558171234">
      <w:bodyDiv w:val="1"/>
      <w:marLeft w:val="0"/>
      <w:marRight w:val="0"/>
      <w:marTop w:val="0"/>
      <w:marBottom w:val="0"/>
      <w:divBdr>
        <w:top w:val="none" w:sz="0" w:space="0" w:color="auto"/>
        <w:left w:val="none" w:sz="0" w:space="0" w:color="auto"/>
        <w:bottom w:val="none" w:sz="0" w:space="0" w:color="auto"/>
        <w:right w:val="none" w:sz="0" w:space="0" w:color="auto"/>
      </w:divBdr>
    </w:div>
    <w:div w:id="561872502">
      <w:bodyDiv w:val="1"/>
      <w:marLeft w:val="0"/>
      <w:marRight w:val="0"/>
      <w:marTop w:val="0"/>
      <w:marBottom w:val="0"/>
      <w:divBdr>
        <w:top w:val="none" w:sz="0" w:space="0" w:color="auto"/>
        <w:left w:val="none" w:sz="0" w:space="0" w:color="auto"/>
        <w:bottom w:val="none" w:sz="0" w:space="0" w:color="auto"/>
        <w:right w:val="none" w:sz="0" w:space="0" w:color="auto"/>
      </w:divBdr>
    </w:div>
    <w:div w:id="562567078">
      <w:bodyDiv w:val="1"/>
      <w:marLeft w:val="0"/>
      <w:marRight w:val="0"/>
      <w:marTop w:val="0"/>
      <w:marBottom w:val="0"/>
      <w:divBdr>
        <w:top w:val="none" w:sz="0" w:space="0" w:color="auto"/>
        <w:left w:val="none" w:sz="0" w:space="0" w:color="auto"/>
        <w:bottom w:val="none" w:sz="0" w:space="0" w:color="auto"/>
        <w:right w:val="none" w:sz="0" w:space="0" w:color="auto"/>
      </w:divBdr>
    </w:div>
    <w:div w:id="563223378">
      <w:bodyDiv w:val="1"/>
      <w:marLeft w:val="0"/>
      <w:marRight w:val="0"/>
      <w:marTop w:val="0"/>
      <w:marBottom w:val="0"/>
      <w:divBdr>
        <w:top w:val="none" w:sz="0" w:space="0" w:color="auto"/>
        <w:left w:val="none" w:sz="0" w:space="0" w:color="auto"/>
        <w:bottom w:val="none" w:sz="0" w:space="0" w:color="auto"/>
        <w:right w:val="none" w:sz="0" w:space="0" w:color="auto"/>
      </w:divBdr>
    </w:div>
    <w:div w:id="571618270">
      <w:bodyDiv w:val="1"/>
      <w:marLeft w:val="0"/>
      <w:marRight w:val="0"/>
      <w:marTop w:val="0"/>
      <w:marBottom w:val="0"/>
      <w:divBdr>
        <w:top w:val="none" w:sz="0" w:space="0" w:color="auto"/>
        <w:left w:val="none" w:sz="0" w:space="0" w:color="auto"/>
        <w:bottom w:val="none" w:sz="0" w:space="0" w:color="auto"/>
        <w:right w:val="none" w:sz="0" w:space="0" w:color="auto"/>
      </w:divBdr>
    </w:div>
    <w:div w:id="577517944">
      <w:bodyDiv w:val="1"/>
      <w:marLeft w:val="0"/>
      <w:marRight w:val="0"/>
      <w:marTop w:val="0"/>
      <w:marBottom w:val="0"/>
      <w:divBdr>
        <w:top w:val="none" w:sz="0" w:space="0" w:color="auto"/>
        <w:left w:val="none" w:sz="0" w:space="0" w:color="auto"/>
        <w:bottom w:val="none" w:sz="0" w:space="0" w:color="auto"/>
        <w:right w:val="none" w:sz="0" w:space="0" w:color="auto"/>
      </w:divBdr>
    </w:div>
    <w:div w:id="578635240">
      <w:bodyDiv w:val="1"/>
      <w:marLeft w:val="0"/>
      <w:marRight w:val="0"/>
      <w:marTop w:val="0"/>
      <w:marBottom w:val="0"/>
      <w:divBdr>
        <w:top w:val="none" w:sz="0" w:space="0" w:color="auto"/>
        <w:left w:val="none" w:sz="0" w:space="0" w:color="auto"/>
        <w:bottom w:val="none" w:sz="0" w:space="0" w:color="auto"/>
        <w:right w:val="none" w:sz="0" w:space="0" w:color="auto"/>
      </w:divBdr>
    </w:div>
    <w:div w:id="579486900">
      <w:bodyDiv w:val="1"/>
      <w:marLeft w:val="0"/>
      <w:marRight w:val="0"/>
      <w:marTop w:val="0"/>
      <w:marBottom w:val="0"/>
      <w:divBdr>
        <w:top w:val="none" w:sz="0" w:space="0" w:color="auto"/>
        <w:left w:val="none" w:sz="0" w:space="0" w:color="auto"/>
        <w:bottom w:val="none" w:sz="0" w:space="0" w:color="auto"/>
        <w:right w:val="none" w:sz="0" w:space="0" w:color="auto"/>
      </w:divBdr>
    </w:div>
    <w:div w:id="585260846">
      <w:bodyDiv w:val="1"/>
      <w:marLeft w:val="0"/>
      <w:marRight w:val="0"/>
      <w:marTop w:val="0"/>
      <w:marBottom w:val="0"/>
      <w:divBdr>
        <w:top w:val="none" w:sz="0" w:space="0" w:color="auto"/>
        <w:left w:val="none" w:sz="0" w:space="0" w:color="auto"/>
        <w:bottom w:val="none" w:sz="0" w:space="0" w:color="auto"/>
        <w:right w:val="none" w:sz="0" w:space="0" w:color="auto"/>
      </w:divBdr>
    </w:div>
    <w:div w:id="585727042">
      <w:bodyDiv w:val="1"/>
      <w:marLeft w:val="0"/>
      <w:marRight w:val="0"/>
      <w:marTop w:val="0"/>
      <w:marBottom w:val="0"/>
      <w:divBdr>
        <w:top w:val="none" w:sz="0" w:space="0" w:color="auto"/>
        <w:left w:val="none" w:sz="0" w:space="0" w:color="auto"/>
        <w:bottom w:val="none" w:sz="0" w:space="0" w:color="auto"/>
        <w:right w:val="none" w:sz="0" w:space="0" w:color="auto"/>
      </w:divBdr>
    </w:div>
    <w:div w:id="585967519">
      <w:bodyDiv w:val="1"/>
      <w:marLeft w:val="0"/>
      <w:marRight w:val="0"/>
      <w:marTop w:val="0"/>
      <w:marBottom w:val="0"/>
      <w:divBdr>
        <w:top w:val="none" w:sz="0" w:space="0" w:color="auto"/>
        <w:left w:val="none" w:sz="0" w:space="0" w:color="auto"/>
        <w:bottom w:val="none" w:sz="0" w:space="0" w:color="auto"/>
        <w:right w:val="none" w:sz="0" w:space="0" w:color="auto"/>
      </w:divBdr>
    </w:div>
    <w:div w:id="589776311">
      <w:bodyDiv w:val="1"/>
      <w:marLeft w:val="0"/>
      <w:marRight w:val="0"/>
      <w:marTop w:val="0"/>
      <w:marBottom w:val="0"/>
      <w:divBdr>
        <w:top w:val="none" w:sz="0" w:space="0" w:color="auto"/>
        <w:left w:val="none" w:sz="0" w:space="0" w:color="auto"/>
        <w:bottom w:val="none" w:sz="0" w:space="0" w:color="auto"/>
        <w:right w:val="none" w:sz="0" w:space="0" w:color="auto"/>
      </w:divBdr>
    </w:div>
    <w:div w:id="591280812">
      <w:bodyDiv w:val="1"/>
      <w:marLeft w:val="0"/>
      <w:marRight w:val="0"/>
      <w:marTop w:val="0"/>
      <w:marBottom w:val="0"/>
      <w:divBdr>
        <w:top w:val="none" w:sz="0" w:space="0" w:color="auto"/>
        <w:left w:val="none" w:sz="0" w:space="0" w:color="auto"/>
        <w:bottom w:val="none" w:sz="0" w:space="0" w:color="auto"/>
        <w:right w:val="none" w:sz="0" w:space="0" w:color="auto"/>
      </w:divBdr>
    </w:div>
    <w:div w:id="598872090">
      <w:bodyDiv w:val="1"/>
      <w:marLeft w:val="0"/>
      <w:marRight w:val="0"/>
      <w:marTop w:val="0"/>
      <w:marBottom w:val="0"/>
      <w:divBdr>
        <w:top w:val="none" w:sz="0" w:space="0" w:color="auto"/>
        <w:left w:val="none" w:sz="0" w:space="0" w:color="auto"/>
        <w:bottom w:val="none" w:sz="0" w:space="0" w:color="auto"/>
        <w:right w:val="none" w:sz="0" w:space="0" w:color="auto"/>
      </w:divBdr>
    </w:div>
    <w:div w:id="600528379">
      <w:bodyDiv w:val="1"/>
      <w:marLeft w:val="0"/>
      <w:marRight w:val="0"/>
      <w:marTop w:val="0"/>
      <w:marBottom w:val="0"/>
      <w:divBdr>
        <w:top w:val="none" w:sz="0" w:space="0" w:color="auto"/>
        <w:left w:val="none" w:sz="0" w:space="0" w:color="auto"/>
        <w:bottom w:val="none" w:sz="0" w:space="0" w:color="auto"/>
        <w:right w:val="none" w:sz="0" w:space="0" w:color="auto"/>
      </w:divBdr>
    </w:div>
    <w:div w:id="601374026">
      <w:bodyDiv w:val="1"/>
      <w:marLeft w:val="0"/>
      <w:marRight w:val="0"/>
      <w:marTop w:val="0"/>
      <w:marBottom w:val="0"/>
      <w:divBdr>
        <w:top w:val="none" w:sz="0" w:space="0" w:color="auto"/>
        <w:left w:val="none" w:sz="0" w:space="0" w:color="auto"/>
        <w:bottom w:val="none" w:sz="0" w:space="0" w:color="auto"/>
        <w:right w:val="none" w:sz="0" w:space="0" w:color="auto"/>
      </w:divBdr>
    </w:div>
    <w:div w:id="613631719">
      <w:bodyDiv w:val="1"/>
      <w:marLeft w:val="0"/>
      <w:marRight w:val="0"/>
      <w:marTop w:val="0"/>
      <w:marBottom w:val="0"/>
      <w:divBdr>
        <w:top w:val="none" w:sz="0" w:space="0" w:color="auto"/>
        <w:left w:val="none" w:sz="0" w:space="0" w:color="auto"/>
        <w:bottom w:val="none" w:sz="0" w:space="0" w:color="auto"/>
        <w:right w:val="none" w:sz="0" w:space="0" w:color="auto"/>
      </w:divBdr>
    </w:div>
    <w:div w:id="614531074">
      <w:bodyDiv w:val="1"/>
      <w:marLeft w:val="0"/>
      <w:marRight w:val="0"/>
      <w:marTop w:val="0"/>
      <w:marBottom w:val="0"/>
      <w:divBdr>
        <w:top w:val="none" w:sz="0" w:space="0" w:color="auto"/>
        <w:left w:val="none" w:sz="0" w:space="0" w:color="auto"/>
        <w:bottom w:val="none" w:sz="0" w:space="0" w:color="auto"/>
        <w:right w:val="none" w:sz="0" w:space="0" w:color="auto"/>
      </w:divBdr>
    </w:div>
    <w:div w:id="615216044">
      <w:bodyDiv w:val="1"/>
      <w:marLeft w:val="0"/>
      <w:marRight w:val="0"/>
      <w:marTop w:val="0"/>
      <w:marBottom w:val="0"/>
      <w:divBdr>
        <w:top w:val="none" w:sz="0" w:space="0" w:color="auto"/>
        <w:left w:val="none" w:sz="0" w:space="0" w:color="auto"/>
        <w:bottom w:val="none" w:sz="0" w:space="0" w:color="auto"/>
        <w:right w:val="none" w:sz="0" w:space="0" w:color="auto"/>
      </w:divBdr>
    </w:div>
    <w:div w:id="618268164">
      <w:bodyDiv w:val="1"/>
      <w:marLeft w:val="0"/>
      <w:marRight w:val="0"/>
      <w:marTop w:val="0"/>
      <w:marBottom w:val="0"/>
      <w:divBdr>
        <w:top w:val="none" w:sz="0" w:space="0" w:color="auto"/>
        <w:left w:val="none" w:sz="0" w:space="0" w:color="auto"/>
        <w:bottom w:val="none" w:sz="0" w:space="0" w:color="auto"/>
        <w:right w:val="none" w:sz="0" w:space="0" w:color="auto"/>
      </w:divBdr>
    </w:div>
    <w:div w:id="618295963">
      <w:bodyDiv w:val="1"/>
      <w:marLeft w:val="0"/>
      <w:marRight w:val="0"/>
      <w:marTop w:val="0"/>
      <w:marBottom w:val="0"/>
      <w:divBdr>
        <w:top w:val="none" w:sz="0" w:space="0" w:color="auto"/>
        <w:left w:val="none" w:sz="0" w:space="0" w:color="auto"/>
        <w:bottom w:val="none" w:sz="0" w:space="0" w:color="auto"/>
        <w:right w:val="none" w:sz="0" w:space="0" w:color="auto"/>
      </w:divBdr>
    </w:div>
    <w:div w:id="620495593">
      <w:bodyDiv w:val="1"/>
      <w:marLeft w:val="0"/>
      <w:marRight w:val="0"/>
      <w:marTop w:val="0"/>
      <w:marBottom w:val="0"/>
      <w:divBdr>
        <w:top w:val="none" w:sz="0" w:space="0" w:color="auto"/>
        <w:left w:val="none" w:sz="0" w:space="0" w:color="auto"/>
        <w:bottom w:val="none" w:sz="0" w:space="0" w:color="auto"/>
        <w:right w:val="none" w:sz="0" w:space="0" w:color="auto"/>
      </w:divBdr>
    </w:div>
    <w:div w:id="621379197">
      <w:bodyDiv w:val="1"/>
      <w:marLeft w:val="0"/>
      <w:marRight w:val="0"/>
      <w:marTop w:val="0"/>
      <w:marBottom w:val="0"/>
      <w:divBdr>
        <w:top w:val="none" w:sz="0" w:space="0" w:color="auto"/>
        <w:left w:val="none" w:sz="0" w:space="0" w:color="auto"/>
        <w:bottom w:val="none" w:sz="0" w:space="0" w:color="auto"/>
        <w:right w:val="none" w:sz="0" w:space="0" w:color="auto"/>
      </w:divBdr>
    </w:div>
    <w:div w:id="632060788">
      <w:bodyDiv w:val="1"/>
      <w:marLeft w:val="0"/>
      <w:marRight w:val="0"/>
      <w:marTop w:val="0"/>
      <w:marBottom w:val="0"/>
      <w:divBdr>
        <w:top w:val="none" w:sz="0" w:space="0" w:color="auto"/>
        <w:left w:val="none" w:sz="0" w:space="0" w:color="auto"/>
        <w:bottom w:val="none" w:sz="0" w:space="0" w:color="auto"/>
        <w:right w:val="none" w:sz="0" w:space="0" w:color="auto"/>
      </w:divBdr>
    </w:div>
    <w:div w:id="634675547">
      <w:bodyDiv w:val="1"/>
      <w:marLeft w:val="0"/>
      <w:marRight w:val="0"/>
      <w:marTop w:val="0"/>
      <w:marBottom w:val="0"/>
      <w:divBdr>
        <w:top w:val="none" w:sz="0" w:space="0" w:color="auto"/>
        <w:left w:val="none" w:sz="0" w:space="0" w:color="auto"/>
        <w:bottom w:val="none" w:sz="0" w:space="0" w:color="auto"/>
        <w:right w:val="none" w:sz="0" w:space="0" w:color="auto"/>
      </w:divBdr>
    </w:div>
    <w:div w:id="640119392">
      <w:bodyDiv w:val="1"/>
      <w:marLeft w:val="0"/>
      <w:marRight w:val="0"/>
      <w:marTop w:val="0"/>
      <w:marBottom w:val="0"/>
      <w:divBdr>
        <w:top w:val="none" w:sz="0" w:space="0" w:color="auto"/>
        <w:left w:val="none" w:sz="0" w:space="0" w:color="auto"/>
        <w:bottom w:val="none" w:sz="0" w:space="0" w:color="auto"/>
        <w:right w:val="none" w:sz="0" w:space="0" w:color="auto"/>
      </w:divBdr>
    </w:div>
    <w:div w:id="643120876">
      <w:bodyDiv w:val="1"/>
      <w:marLeft w:val="0"/>
      <w:marRight w:val="0"/>
      <w:marTop w:val="0"/>
      <w:marBottom w:val="0"/>
      <w:divBdr>
        <w:top w:val="none" w:sz="0" w:space="0" w:color="auto"/>
        <w:left w:val="none" w:sz="0" w:space="0" w:color="auto"/>
        <w:bottom w:val="none" w:sz="0" w:space="0" w:color="auto"/>
        <w:right w:val="none" w:sz="0" w:space="0" w:color="auto"/>
      </w:divBdr>
    </w:div>
    <w:div w:id="645205691">
      <w:bodyDiv w:val="1"/>
      <w:marLeft w:val="0"/>
      <w:marRight w:val="0"/>
      <w:marTop w:val="0"/>
      <w:marBottom w:val="0"/>
      <w:divBdr>
        <w:top w:val="none" w:sz="0" w:space="0" w:color="auto"/>
        <w:left w:val="none" w:sz="0" w:space="0" w:color="auto"/>
        <w:bottom w:val="none" w:sz="0" w:space="0" w:color="auto"/>
        <w:right w:val="none" w:sz="0" w:space="0" w:color="auto"/>
      </w:divBdr>
    </w:div>
    <w:div w:id="645553062">
      <w:bodyDiv w:val="1"/>
      <w:marLeft w:val="0"/>
      <w:marRight w:val="0"/>
      <w:marTop w:val="0"/>
      <w:marBottom w:val="0"/>
      <w:divBdr>
        <w:top w:val="none" w:sz="0" w:space="0" w:color="auto"/>
        <w:left w:val="none" w:sz="0" w:space="0" w:color="auto"/>
        <w:bottom w:val="none" w:sz="0" w:space="0" w:color="auto"/>
        <w:right w:val="none" w:sz="0" w:space="0" w:color="auto"/>
      </w:divBdr>
    </w:div>
    <w:div w:id="650673711">
      <w:bodyDiv w:val="1"/>
      <w:marLeft w:val="0"/>
      <w:marRight w:val="0"/>
      <w:marTop w:val="0"/>
      <w:marBottom w:val="0"/>
      <w:divBdr>
        <w:top w:val="none" w:sz="0" w:space="0" w:color="auto"/>
        <w:left w:val="none" w:sz="0" w:space="0" w:color="auto"/>
        <w:bottom w:val="none" w:sz="0" w:space="0" w:color="auto"/>
        <w:right w:val="none" w:sz="0" w:space="0" w:color="auto"/>
      </w:divBdr>
    </w:div>
    <w:div w:id="657878092">
      <w:bodyDiv w:val="1"/>
      <w:marLeft w:val="0"/>
      <w:marRight w:val="0"/>
      <w:marTop w:val="0"/>
      <w:marBottom w:val="0"/>
      <w:divBdr>
        <w:top w:val="none" w:sz="0" w:space="0" w:color="auto"/>
        <w:left w:val="none" w:sz="0" w:space="0" w:color="auto"/>
        <w:bottom w:val="none" w:sz="0" w:space="0" w:color="auto"/>
        <w:right w:val="none" w:sz="0" w:space="0" w:color="auto"/>
      </w:divBdr>
    </w:div>
    <w:div w:id="659967109">
      <w:bodyDiv w:val="1"/>
      <w:marLeft w:val="0"/>
      <w:marRight w:val="0"/>
      <w:marTop w:val="0"/>
      <w:marBottom w:val="0"/>
      <w:divBdr>
        <w:top w:val="none" w:sz="0" w:space="0" w:color="auto"/>
        <w:left w:val="none" w:sz="0" w:space="0" w:color="auto"/>
        <w:bottom w:val="none" w:sz="0" w:space="0" w:color="auto"/>
        <w:right w:val="none" w:sz="0" w:space="0" w:color="auto"/>
      </w:divBdr>
    </w:div>
    <w:div w:id="660041605">
      <w:bodyDiv w:val="1"/>
      <w:marLeft w:val="0"/>
      <w:marRight w:val="0"/>
      <w:marTop w:val="0"/>
      <w:marBottom w:val="0"/>
      <w:divBdr>
        <w:top w:val="none" w:sz="0" w:space="0" w:color="auto"/>
        <w:left w:val="none" w:sz="0" w:space="0" w:color="auto"/>
        <w:bottom w:val="none" w:sz="0" w:space="0" w:color="auto"/>
        <w:right w:val="none" w:sz="0" w:space="0" w:color="auto"/>
      </w:divBdr>
    </w:div>
    <w:div w:id="663357135">
      <w:bodyDiv w:val="1"/>
      <w:marLeft w:val="0"/>
      <w:marRight w:val="0"/>
      <w:marTop w:val="0"/>
      <w:marBottom w:val="0"/>
      <w:divBdr>
        <w:top w:val="none" w:sz="0" w:space="0" w:color="auto"/>
        <w:left w:val="none" w:sz="0" w:space="0" w:color="auto"/>
        <w:bottom w:val="none" w:sz="0" w:space="0" w:color="auto"/>
        <w:right w:val="none" w:sz="0" w:space="0" w:color="auto"/>
      </w:divBdr>
    </w:div>
    <w:div w:id="675032875">
      <w:bodyDiv w:val="1"/>
      <w:marLeft w:val="0"/>
      <w:marRight w:val="0"/>
      <w:marTop w:val="0"/>
      <w:marBottom w:val="0"/>
      <w:divBdr>
        <w:top w:val="none" w:sz="0" w:space="0" w:color="auto"/>
        <w:left w:val="none" w:sz="0" w:space="0" w:color="auto"/>
        <w:bottom w:val="none" w:sz="0" w:space="0" w:color="auto"/>
        <w:right w:val="none" w:sz="0" w:space="0" w:color="auto"/>
      </w:divBdr>
    </w:div>
    <w:div w:id="680350522">
      <w:bodyDiv w:val="1"/>
      <w:marLeft w:val="0"/>
      <w:marRight w:val="0"/>
      <w:marTop w:val="0"/>
      <w:marBottom w:val="0"/>
      <w:divBdr>
        <w:top w:val="none" w:sz="0" w:space="0" w:color="auto"/>
        <w:left w:val="none" w:sz="0" w:space="0" w:color="auto"/>
        <w:bottom w:val="none" w:sz="0" w:space="0" w:color="auto"/>
        <w:right w:val="none" w:sz="0" w:space="0" w:color="auto"/>
      </w:divBdr>
    </w:div>
    <w:div w:id="681007227">
      <w:bodyDiv w:val="1"/>
      <w:marLeft w:val="0"/>
      <w:marRight w:val="0"/>
      <w:marTop w:val="0"/>
      <w:marBottom w:val="0"/>
      <w:divBdr>
        <w:top w:val="none" w:sz="0" w:space="0" w:color="auto"/>
        <w:left w:val="none" w:sz="0" w:space="0" w:color="auto"/>
        <w:bottom w:val="none" w:sz="0" w:space="0" w:color="auto"/>
        <w:right w:val="none" w:sz="0" w:space="0" w:color="auto"/>
      </w:divBdr>
    </w:div>
    <w:div w:id="684668857">
      <w:bodyDiv w:val="1"/>
      <w:marLeft w:val="0"/>
      <w:marRight w:val="0"/>
      <w:marTop w:val="0"/>
      <w:marBottom w:val="0"/>
      <w:divBdr>
        <w:top w:val="none" w:sz="0" w:space="0" w:color="auto"/>
        <w:left w:val="none" w:sz="0" w:space="0" w:color="auto"/>
        <w:bottom w:val="none" w:sz="0" w:space="0" w:color="auto"/>
        <w:right w:val="none" w:sz="0" w:space="0" w:color="auto"/>
      </w:divBdr>
    </w:div>
    <w:div w:id="684865262">
      <w:bodyDiv w:val="1"/>
      <w:marLeft w:val="0"/>
      <w:marRight w:val="0"/>
      <w:marTop w:val="0"/>
      <w:marBottom w:val="0"/>
      <w:divBdr>
        <w:top w:val="none" w:sz="0" w:space="0" w:color="auto"/>
        <w:left w:val="none" w:sz="0" w:space="0" w:color="auto"/>
        <w:bottom w:val="none" w:sz="0" w:space="0" w:color="auto"/>
        <w:right w:val="none" w:sz="0" w:space="0" w:color="auto"/>
      </w:divBdr>
    </w:div>
    <w:div w:id="696083368">
      <w:bodyDiv w:val="1"/>
      <w:marLeft w:val="0"/>
      <w:marRight w:val="0"/>
      <w:marTop w:val="0"/>
      <w:marBottom w:val="0"/>
      <w:divBdr>
        <w:top w:val="none" w:sz="0" w:space="0" w:color="auto"/>
        <w:left w:val="none" w:sz="0" w:space="0" w:color="auto"/>
        <w:bottom w:val="none" w:sz="0" w:space="0" w:color="auto"/>
        <w:right w:val="none" w:sz="0" w:space="0" w:color="auto"/>
      </w:divBdr>
    </w:div>
    <w:div w:id="696809983">
      <w:bodyDiv w:val="1"/>
      <w:marLeft w:val="0"/>
      <w:marRight w:val="0"/>
      <w:marTop w:val="0"/>
      <w:marBottom w:val="0"/>
      <w:divBdr>
        <w:top w:val="none" w:sz="0" w:space="0" w:color="auto"/>
        <w:left w:val="none" w:sz="0" w:space="0" w:color="auto"/>
        <w:bottom w:val="none" w:sz="0" w:space="0" w:color="auto"/>
        <w:right w:val="none" w:sz="0" w:space="0" w:color="auto"/>
      </w:divBdr>
    </w:div>
    <w:div w:id="698431927">
      <w:bodyDiv w:val="1"/>
      <w:marLeft w:val="0"/>
      <w:marRight w:val="0"/>
      <w:marTop w:val="0"/>
      <w:marBottom w:val="0"/>
      <w:divBdr>
        <w:top w:val="none" w:sz="0" w:space="0" w:color="auto"/>
        <w:left w:val="none" w:sz="0" w:space="0" w:color="auto"/>
        <w:bottom w:val="none" w:sz="0" w:space="0" w:color="auto"/>
        <w:right w:val="none" w:sz="0" w:space="0" w:color="auto"/>
      </w:divBdr>
    </w:div>
    <w:div w:id="703405843">
      <w:bodyDiv w:val="1"/>
      <w:marLeft w:val="0"/>
      <w:marRight w:val="0"/>
      <w:marTop w:val="0"/>
      <w:marBottom w:val="0"/>
      <w:divBdr>
        <w:top w:val="none" w:sz="0" w:space="0" w:color="auto"/>
        <w:left w:val="none" w:sz="0" w:space="0" w:color="auto"/>
        <w:bottom w:val="none" w:sz="0" w:space="0" w:color="auto"/>
        <w:right w:val="none" w:sz="0" w:space="0" w:color="auto"/>
      </w:divBdr>
    </w:div>
    <w:div w:id="710039033">
      <w:bodyDiv w:val="1"/>
      <w:marLeft w:val="0"/>
      <w:marRight w:val="0"/>
      <w:marTop w:val="0"/>
      <w:marBottom w:val="0"/>
      <w:divBdr>
        <w:top w:val="none" w:sz="0" w:space="0" w:color="auto"/>
        <w:left w:val="none" w:sz="0" w:space="0" w:color="auto"/>
        <w:bottom w:val="none" w:sz="0" w:space="0" w:color="auto"/>
        <w:right w:val="none" w:sz="0" w:space="0" w:color="auto"/>
      </w:divBdr>
    </w:div>
    <w:div w:id="711926820">
      <w:bodyDiv w:val="1"/>
      <w:marLeft w:val="0"/>
      <w:marRight w:val="0"/>
      <w:marTop w:val="0"/>
      <w:marBottom w:val="0"/>
      <w:divBdr>
        <w:top w:val="none" w:sz="0" w:space="0" w:color="auto"/>
        <w:left w:val="none" w:sz="0" w:space="0" w:color="auto"/>
        <w:bottom w:val="none" w:sz="0" w:space="0" w:color="auto"/>
        <w:right w:val="none" w:sz="0" w:space="0" w:color="auto"/>
      </w:divBdr>
    </w:div>
    <w:div w:id="712340250">
      <w:bodyDiv w:val="1"/>
      <w:marLeft w:val="0"/>
      <w:marRight w:val="0"/>
      <w:marTop w:val="0"/>
      <w:marBottom w:val="0"/>
      <w:divBdr>
        <w:top w:val="none" w:sz="0" w:space="0" w:color="auto"/>
        <w:left w:val="none" w:sz="0" w:space="0" w:color="auto"/>
        <w:bottom w:val="none" w:sz="0" w:space="0" w:color="auto"/>
        <w:right w:val="none" w:sz="0" w:space="0" w:color="auto"/>
      </w:divBdr>
    </w:div>
    <w:div w:id="712460744">
      <w:bodyDiv w:val="1"/>
      <w:marLeft w:val="0"/>
      <w:marRight w:val="0"/>
      <w:marTop w:val="0"/>
      <w:marBottom w:val="0"/>
      <w:divBdr>
        <w:top w:val="none" w:sz="0" w:space="0" w:color="auto"/>
        <w:left w:val="none" w:sz="0" w:space="0" w:color="auto"/>
        <w:bottom w:val="none" w:sz="0" w:space="0" w:color="auto"/>
        <w:right w:val="none" w:sz="0" w:space="0" w:color="auto"/>
      </w:divBdr>
    </w:div>
    <w:div w:id="717316969">
      <w:bodyDiv w:val="1"/>
      <w:marLeft w:val="0"/>
      <w:marRight w:val="0"/>
      <w:marTop w:val="0"/>
      <w:marBottom w:val="0"/>
      <w:divBdr>
        <w:top w:val="none" w:sz="0" w:space="0" w:color="auto"/>
        <w:left w:val="none" w:sz="0" w:space="0" w:color="auto"/>
        <w:bottom w:val="none" w:sz="0" w:space="0" w:color="auto"/>
        <w:right w:val="none" w:sz="0" w:space="0" w:color="auto"/>
      </w:divBdr>
    </w:div>
    <w:div w:id="719718308">
      <w:bodyDiv w:val="1"/>
      <w:marLeft w:val="0"/>
      <w:marRight w:val="0"/>
      <w:marTop w:val="0"/>
      <w:marBottom w:val="0"/>
      <w:divBdr>
        <w:top w:val="none" w:sz="0" w:space="0" w:color="auto"/>
        <w:left w:val="none" w:sz="0" w:space="0" w:color="auto"/>
        <w:bottom w:val="none" w:sz="0" w:space="0" w:color="auto"/>
        <w:right w:val="none" w:sz="0" w:space="0" w:color="auto"/>
      </w:divBdr>
    </w:div>
    <w:div w:id="733041456">
      <w:bodyDiv w:val="1"/>
      <w:marLeft w:val="0"/>
      <w:marRight w:val="0"/>
      <w:marTop w:val="0"/>
      <w:marBottom w:val="0"/>
      <w:divBdr>
        <w:top w:val="none" w:sz="0" w:space="0" w:color="auto"/>
        <w:left w:val="none" w:sz="0" w:space="0" w:color="auto"/>
        <w:bottom w:val="none" w:sz="0" w:space="0" w:color="auto"/>
        <w:right w:val="none" w:sz="0" w:space="0" w:color="auto"/>
      </w:divBdr>
    </w:div>
    <w:div w:id="735207178">
      <w:bodyDiv w:val="1"/>
      <w:marLeft w:val="0"/>
      <w:marRight w:val="0"/>
      <w:marTop w:val="0"/>
      <w:marBottom w:val="0"/>
      <w:divBdr>
        <w:top w:val="none" w:sz="0" w:space="0" w:color="auto"/>
        <w:left w:val="none" w:sz="0" w:space="0" w:color="auto"/>
        <w:bottom w:val="none" w:sz="0" w:space="0" w:color="auto"/>
        <w:right w:val="none" w:sz="0" w:space="0" w:color="auto"/>
      </w:divBdr>
    </w:div>
    <w:div w:id="736977735">
      <w:bodyDiv w:val="1"/>
      <w:marLeft w:val="0"/>
      <w:marRight w:val="0"/>
      <w:marTop w:val="0"/>
      <w:marBottom w:val="0"/>
      <w:divBdr>
        <w:top w:val="none" w:sz="0" w:space="0" w:color="auto"/>
        <w:left w:val="none" w:sz="0" w:space="0" w:color="auto"/>
        <w:bottom w:val="none" w:sz="0" w:space="0" w:color="auto"/>
        <w:right w:val="none" w:sz="0" w:space="0" w:color="auto"/>
      </w:divBdr>
    </w:div>
    <w:div w:id="737509305">
      <w:bodyDiv w:val="1"/>
      <w:marLeft w:val="0"/>
      <w:marRight w:val="0"/>
      <w:marTop w:val="0"/>
      <w:marBottom w:val="0"/>
      <w:divBdr>
        <w:top w:val="none" w:sz="0" w:space="0" w:color="auto"/>
        <w:left w:val="none" w:sz="0" w:space="0" w:color="auto"/>
        <w:bottom w:val="none" w:sz="0" w:space="0" w:color="auto"/>
        <w:right w:val="none" w:sz="0" w:space="0" w:color="auto"/>
      </w:divBdr>
    </w:div>
    <w:div w:id="739060312">
      <w:bodyDiv w:val="1"/>
      <w:marLeft w:val="0"/>
      <w:marRight w:val="0"/>
      <w:marTop w:val="0"/>
      <w:marBottom w:val="0"/>
      <w:divBdr>
        <w:top w:val="none" w:sz="0" w:space="0" w:color="auto"/>
        <w:left w:val="none" w:sz="0" w:space="0" w:color="auto"/>
        <w:bottom w:val="none" w:sz="0" w:space="0" w:color="auto"/>
        <w:right w:val="none" w:sz="0" w:space="0" w:color="auto"/>
      </w:divBdr>
    </w:div>
    <w:div w:id="740636785">
      <w:bodyDiv w:val="1"/>
      <w:marLeft w:val="0"/>
      <w:marRight w:val="0"/>
      <w:marTop w:val="0"/>
      <w:marBottom w:val="0"/>
      <w:divBdr>
        <w:top w:val="none" w:sz="0" w:space="0" w:color="auto"/>
        <w:left w:val="none" w:sz="0" w:space="0" w:color="auto"/>
        <w:bottom w:val="none" w:sz="0" w:space="0" w:color="auto"/>
        <w:right w:val="none" w:sz="0" w:space="0" w:color="auto"/>
      </w:divBdr>
    </w:div>
    <w:div w:id="745155424">
      <w:bodyDiv w:val="1"/>
      <w:marLeft w:val="0"/>
      <w:marRight w:val="0"/>
      <w:marTop w:val="0"/>
      <w:marBottom w:val="0"/>
      <w:divBdr>
        <w:top w:val="none" w:sz="0" w:space="0" w:color="auto"/>
        <w:left w:val="none" w:sz="0" w:space="0" w:color="auto"/>
        <w:bottom w:val="none" w:sz="0" w:space="0" w:color="auto"/>
        <w:right w:val="none" w:sz="0" w:space="0" w:color="auto"/>
      </w:divBdr>
    </w:div>
    <w:div w:id="752432400">
      <w:bodyDiv w:val="1"/>
      <w:marLeft w:val="0"/>
      <w:marRight w:val="0"/>
      <w:marTop w:val="0"/>
      <w:marBottom w:val="0"/>
      <w:divBdr>
        <w:top w:val="none" w:sz="0" w:space="0" w:color="auto"/>
        <w:left w:val="none" w:sz="0" w:space="0" w:color="auto"/>
        <w:bottom w:val="none" w:sz="0" w:space="0" w:color="auto"/>
        <w:right w:val="none" w:sz="0" w:space="0" w:color="auto"/>
      </w:divBdr>
    </w:div>
    <w:div w:id="756287427">
      <w:bodyDiv w:val="1"/>
      <w:marLeft w:val="0"/>
      <w:marRight w:val="0"/>
      <w:marTop w:val="0"/>
      <w:marBottom w:val="0"/>
      <w:divBdr>
        <w:top w:val="none" w:sz="0" w:space="0" w:color="auto"/>
        <w:left w:val="none" w:sz="0" w:space="0" w:color="auto"/>
        <w:bottom w:val="none" w:sz="0" w:space="0" w:color="auto"/>
        <w:right w:val="none" w:sz="0" w:space="0" w:color="auto"/>
      </w:divBdr>
    </w:div>
    <w:div w:id="770466407">
      <w:bodyDiv w:val="1"/>
      <w:marLeft w:val="0"/>
      <w:marRight w:val="0"/>
      <w:marTop w:val="0"/>
      <w:marBottom w:val="0"/>
      <w:divBdr>
        <w:top w:val="none" w:sz="0" w:space="0" w:color="auto"/>
        <w:left w:val="none" w:sz="0" w:space="0" w:color="auto"/>
        <w:bottom w:val="none" w:sz="0" w:space="0" w:color="auto"/>
        <w:right w:val="none" w:sz="0" w:space="0" w:color="auto"/>
      </w:divBdr>
    </w:div>
    <w:div w:id="772433877">
      <w:bodyDiv w:val="1"/>
      <w:marLeft w:val="0"/>
      <w:marRight w:val="0"/>
      <w:marTop w:val="0"/>
      <w:marBottom w:val="0"/>
      <w:divBdr>
        <w:top w:val="none" w:sz="0" w:space="0" w:color="auto"/>
        <w:left w:val="none" w:sz="0" w:space="0" w:color="auto"/>
        <w:bottom w:val="none" w:sz="0" w:space="0" w:color="auto"/>
        <w:right w:val="none" w:sz="0" w:space="0" w:color="auto"/>
      </w:divBdr>
    </w:div>
    <w:div w:id="776173281">
      <w:bodyDiv w:val="1"/>
      <w:marLeft w:val="0"/>
      <w:marRight w:val="0"/>
      <w:marTop w:val="0"/>
      <w:marBottom w:val="0"/>
      <w:divBdr>
        <w:top w:val="none" w:sz="0" w:space="0" w:color="auto"/>
        <w:left w:val="none" w:sz="0" w:space="0" w:color="auto"/>
        <w:bottom w:val="none" w:sz="0" w:space="0" w:color="auto"/>
        <w:right w:val="none" w:sz="0" w:space="0" w:color="auto"/>
      </w:divBdr>
    </w:div>
    <w:div w:id="786580496">
      <w:bodyDiv w:val="1"/>
      <w:marLeft w:val="0"/>
      <w:marRight w:val="0"/>
      <w:marTop w:val="0"/>
      <w:marBottom w:val="0"/>
      <w:divBdr>
        <w:top w:val="none" w:sz="0" w:space="0" w:color="auto"/>
        <w:left w:val="none" w:sz="0" w:space="0" w:color="auto"/>
        <w:bottom w:val="none" w:sz="0" w:space="0" w:color="auto"/>
        <w:right w:val="none" w:sz="0" w:space="0" w:color="auto"/>
      </w:divBdr>
    </w:div>
    <w:div w:id="787429953">
      <w:bodyDiv w:val="1"/>
      <w:marLeft w:val="0"/>
      <w:marRight w:val="0"/>
      <w:marTop w:val="0"/>
      <w:marBottom w:val="0"/>
      <w:divBdr>
        <w:top w:val="none" w:sz="0" w:space="0" w:color="auto"/>
        <w:left w:val="none" w:sz="0" w:space="0" w:color="auto"/>
        <w:bottom w:val="none" w:sz="0" w:space="0" w:color="auto"/>
        <w:right w:val="none" w:sz="0" w:space="0" w:color="auto"/>
      </w:divBdr>
    </w:div>
    <w:div w:id="789204812">
      <w:bodyDiv w:val="1"/>
      <w:marLeft w:val="0"/>
      <w:marRight w:val="0"/>
      <w:marTop w:val="0"/>
      <w:marBottom w:val="0"/>
      <w:divBdr>
        <w:top w:val="none" w:sz="0" w:space="0" w:color="auto"/>
        <w:left w:val="none" w:sz="0" w:space="0" w:color="auto"/>
        <w:bottom w:val="none" w:sz="0" w:space="0" w:color="auto"/>
        <w:right w:val="none" w:sz="0" w:space="0" w:color="auto"/>
      </w:divBdr>
    </w:div>
    <w:div w:id="790442256">
      <w:bodyDiv w:val="1"/>
      <w:marLeft w:val="0"/>
      <w:marRight w:val="0"/>
      <w:marTop w:val="0"/>
      <w:marBottom w:val="0"/>
      <w:divBdr>
        <w:top w:val="none" w:sz="0" w:space="0" w:color="auto"/>
        <w:left w:val="none" w:sz="0" w:space="0" w:color="auto"/>
        <w:bottom w:val="none" w:sz="0" w:space="0" w:color="auto"/>
        <w:right w:val="none" w:sz="0" w:space="0" w:color="auto"/>
      </w:divBdr>
    </w:div>
    <w:div w:id="791021557">
      <w:bodyDiv w:val="1"/>
      <w:marLeft w:val="0"/>
      <w:marRight w:val="0"/>
      <w:marTop w:val="0"/>
      <w:marBottom w:val="0"/>
      <w:divBdr>
        <w:top w:val="none" w:sz="0" w:space="0" w:color="auto"/>
        <w:left w:val="none" w:sz="0" w:space="0" w:color="auto"/>
        <w:bottom w:val="none" w:sz="0" w:space="0" w:color="auto"/>
        <w:right w:val="none" w:sz="0" w:space="0" w:color="auto"/>
      </w:divBdr>
    </w:div>
    <w:div w:id="799879564">
      <w:bodyDiv w:val="1"/>
      <w:marLeft w:val="0"/>
      <w:marRight w:val="0"/>
      <w:marTop w:val="0"/>
      <w:marBottom w:val="0"/>
      <w:divBdr>
        <w:top w:val="none" w:sz="0" w:space="0" w:color="auto"/>
        <w:left w:val="none" w:sz="0" w:space="0" w:color="auto"/>
        <w:bottom w:val="none" w:sz="0" w:space="0" w:color="auto"/>
        <w:right w:val="none" w:sz="0" w:space="0" w:color="auto"/>
      </w:divBdr>
    </w:div>
    <w:div w:id="807087833">
      <w:bodyDiv w:val="1"/>
      <w:marLeft w:val="0"/>
      <w:marRight w:val="0"/>
      <w:marTop w:val="0"/>
      <w:marBottom w:val="0"/>
      <w:divBdr>
        <w:top w:val="none" w:sz="0" w:space="0" w:color="auto"/>
        <w:left w:val="none" w:sz="0" w:space="0" w:color="auto"/>
        <w:bottom w:val="none" w:sz="0" w:space="0" w:color="auto"/>
        <w:right w:val="none" w:sz="0" w:space="0" w:color="auto"/>
      </w:divBdr>
    </w:div>
    <w:div w:id="808472936">
      <w:bodyDiv w:val="1"/>
      <w:marLeft w:val="0"/>
      <w:marRight w:val="0"/>
      <w:marTop w:val="0"/>
      <w:marBottom w:val="0"/>
      <w:divBdr>
        <w:top w:val="none" w:sz="0" w:space="0" w:color="auto"/>
        <w:left w:val="none" w:sz="0" w:space="0" w:color="auto"/>
        <w:bottom w:val="none" w:sz="0" w:space="0" w:color="auto"/>
        <w:right w:val="none" w:sz="0" w:space="0" w:color="auto"/>
      </w:divBdr>
    </w:div>
    <w:div w:id="810751112">
      <w:bodyDiv w:val="1"/>
      <w:marLeft w:val="0"/>
      <w:marRight w:val="0"/>
      <w:marTop w:val="0"/>
      <w:marBottom w:val="0"/>
      <w:divBdr>
        <w:top w:val="none" w:sz="0" w:space="0" w:color="auto"/>
        <w:left w:val="none" w:sz="0" w:space="0" w:color="auto"/>
        <w:bottom w:val="none" w:sz="0" w:space="0" w:color="auto"/>
        <w:right w:val="none" w:sz="0" w:space="0" w:color="auto"/>
      </w:divBdr>
    </w:div>
    <w:div w:id="811093458">
      <w:bodyDiv w:val="1"/>
      <w:marLeft w:val="0"/>
      <w:marRight w:val="0"/>
      <w:marTop w:val="0"/>
      <w:marBottom w:val="0"/>
      <w:divBdr>
        <w:top w:val="none" w:sz="0" w:space="0" w:color="auto"/>
        <w:left w:val="none" w:sz="0" w:space="0" w:color="auto"/>
        <w:bottom w:val="none" w:sz="0" w:space="0" w:color="auto"/>
        <w:right w:val="none" w:sz="0" w:space="0" w:color="auto"/>
      </w:divBdr>
    </w:div>
    <w:div w:id="811672316">
      <w:bodyDiv w:val="1"/>
      <w:marLeft w:val="0"/>
      <w:marRight w:val="0"/>
      <w:marTop w:val="0"/>
      <w:marBottom w:val="0"/>
      <w:divBdr>
        <w:top w:val="none" w:sz="0" w:space="0" w:color="auto"/>
        <w:left w:val="none" w:sz="0" w:space="0" w:color="auto"/>
        <w:bottom w:val="none" w:sz="0" w:space="0" w:color="auto"/>
        <w:right w:val="none" w:sz="0" w:space="0" w:color="auto"/>
      </w:divBdr>
    </w:div>
    <w:div w:id="811755128">
      <w:bodyDiv w:val="1"/>
      <w:marLeft w:val="0"/>
      <w:marRight w:val="0"/>
      <w:marTop w:val="0"/>
      <w:marBottom w:val="0"/>
      <w:divBdr>
        <w:top w:val="none" w:sz="0" w:space="0" w:color="auto"/>
        <w:left w:val="none" w:sz="0" w:space="0" w:color="auto"/>
        <w:bottom w:val="none" w:sz="0" w:space="0" w:color="auto"/>
        <w:right w:val="none" w:sz="0" w:space="0" w:color="auto"/>
      </w:divBdr>
    </w:div>
    <w:div w:id="813374580">
      <w:bodyDiv w:val="1"/>
      <w:marLeft w:val="0"/>
      <w:marRight w:val="0"/>
      <w:marTop w:val="0"/>
      <w:marBottom w:val="0"/>
      <w:divBdr>
        <w:top w:val="none" w:sz="0" w:space="0" w:color="auto"/>
        <w:left w:val="none" w:sz="0" w:space="0" w:color="auto"/>
        <w:bottom w:val="none" w:sz="0" w:space="0" w:color="auto"/>
        <w:right w:val="none" w:sz="0" w:space="0" w:color="auto"/>
      </w:divBdr>
    </w:div>
    <w:div w:id="819619399">
      <w:bodyDiv w:val="1"/>
      <w:marLeft w:val="0"/>
      <w:marRight w:val="0"/>
      <w:marTop w:val="0"/>
      <w:marBottom w:val="0"/>
      <w:divBdr>
        <w:top w:val="none" w:sz="0" w:space="0" w:color="auto"/>
        <w:left w:val="none" w:sz="0" w:space="0" w:color="auto"/>
        <w:bottom w:val="none" w:sz="0" w:space="0" w:color="auto"/>
        <w:right w:val="none" w:sz="0" w:space="0" w:color="auto"/>
      </w:divBdr>
    </w:div>
    <w:div w:id="824475436">
      <w:bodyDiv w:val="1"/>
      <w:marLeft w:val="0"/>
      <w:marRight w:val="0"/>
      <w:marTop w:val="0"/>
      <w:marBottom w:val="0"/>
      <w:divBdr>
        <w:top w:val="none" w:sz="0" w:space="0" w:color="auto"/>
        <w:left w:val="none" w:sz="0" w:space="0" w:color="auto"/>
        <w:bottom w:val="none" w:sz="0" w:space="0" w:color="auto"/>
        <w:right w:val="none" w:sz="0" w:space="0" w:color="auto"/>
      </w:divBdr>
    </w:div>
    <w:div w:id="829297654">
      <w:bodyDiv w:val="1"/>
      <w:marLeft w:val="0"/>
      <w:marRight w:val="0"/>
      <w:marTop w:val="0"/>
      <w:marBottom w:val="0"/>
      <w:divBdr>
        <w:top w:val="none" w:sz="0" w:space="0" w:color="auto"/>
        <w:left w:val="none" w:sz="0" w:space="0" w:color="auto"/>
        <w:bottom w:val="none" w:sz="0" w:space="0" w:color="auto"/>
        <w:right w:val="none" w:sz="0" w:space="0" w:color="auto"/>
      </w:divBdr>
    </w:div>
    <w:div w:id="831795020">
      <w:bodyDiv w:val="1"/>
      <w:marLeft w:val="0"/>
      <w:marRight w:val="0"/>
      <w:marTop w:val="0"/>
      <w:marBottom w:val="0"/>
      <w:divBdr>
        <w:top w:val="none" w:sz="0" w:space="0" w:color="auto"/>
        <w:left w:val="none" w:sz="0" w:space="0" w:color="auto"/>
        <w:bottom w:val="none" w:sz="0" w:space="0" w:color="auto"/>
        <w:right w:val="none" w:sz="0" w:space="0" w:color="auto"/>
      </w:divBdr>
    </w:div>
    <w:div w:id="832843978">
      <w:bodyDiv w:val="1"/>
      <w:marLeft w:val="0"/>
      <w:marRight w:val="0"/>
      <w:marTop w:val="0"/>
      <w:marBottom w:val="0"/>
      <w:divBdr>
        <w:top w:val="none" w:sz="0" w:space="0" w:color="auto"/>
        <w:left w:val="none" w:sz="0" w:space="0" w:color="auto"/>
        <w:bottom w:val="none" w:sz="0" w:space="0" w:color="auto"/>
        <w:right w:val="none" w:sz="0" w:space="0" w:color="auto"/>
      </w:divBdr>
    </w:div>
    <w:div w:id="835144656">
      <w:bodyDiv w:val="1"/>
      <w:marLeft w:val="0"/>
      <w:marRight w:val="0"/>
      <w:marTop w:val="0"/>
      <w:marBottom w:val="0"/>
      <w:divBdr>
        <w:top w:val="none" w:sz="0" w:space="0" w:color="auto"/>
        <w:left w:val="none" w:sz="0" w:space="0" w:color="auto"/>
        <w:bottom w:val="none" w:sz="0" w:space="0" w:color="auto"/>
        <w:right w:val="none" w:sz="0" w:space="0" w:color="auto"/>
      </w:divBdr>
    </w:div>
    <w:div w:id="837236476">
      <w:bodyDiv w:val="1"/>
      <w:marLeft w:val="0"/>
      <w:marRight w:val="0"/>
      <w:marTop w:val="0"/>
      <w:marBottom w:val="0"/>
      <w:divBdr>
        <w:top w:val="none" w:sz="0" w:space="0" w:color="auto"/>
        <w:left w:val="none" w:sz="0" w:space="0" w:color="auto"/>
        <w:bottom w:val="none" w:sz="0" w:space="0" w:color="auto"/>
        <w:right w:val="none" w:sz="0" w:space="0" w:color="auto"/>
      </w:divBdr>
    </w:div>
    <w:div w:id="841697765">
      <w:bodyDiv w:val="1"/>
      <w:marLeft w:val="0"/>
      <w:marRight w:val="0"/>
      <w:marTop w:val="0"/>
      <w:marBottom w:val="0"/>
      <w:divBdr>
        <w:top w:val="none" w:sz="0" w:space="0" w:color="auto"/>
        <w:left w:val="none" w:sz="0" w:space="0" w:color="auto"/>
        <w:bottom w:val="none" w:sz="0" w:space="0" w:color="auto"/>
        <w:right w:val="none" w:sz="0" w:space="0" w:color="auto"/>
      </w:divBdr>
    </w:div>
    <w:div w:id="846406416">
      <w:bodyDiv w:val="1"/>
      <w:marLeft w:val="0"/>
      <w:marRight w:val="0"/>
      <w:marTop w:val="0"/>
      <w:marBottom w:val="0"/>
      <w:divBdr>
        <w:top w:val="none" w:sz="0" w:space="0" w:color="auto"/>
        <w:left w:val="none" w:sz="0" w:space="0" w:color="auto"/>
        <w:bottom w:val="none" w:sz="0" w:space="0" w:color="auto"/>
        <w:right w:val="none" w:sz="0" w:space="0" w:color="auto"/>
      </w:divBdr>
    </w:div>
    <w:div w:id="847673280">
      <w:bodyDiv w:val="1"/>
      <w:marLeft w:val="0"/>
      <w:marRight w:val="0"/>
      <w:marTop w:val="0"/>
      <w:marBottom w:val="0"/>
      <w:divBdr>
        <w:top w:val="none" w:sz="0" w:space="0" w:color="auto"/>
        <w:left w:val="none" w:sz="0" w:space="0" w:color="auto"/>
        <w:bottom w:val="none" w:sz="0" w:space="0" w:color="auto"/>
        <w:right w:val="none" w:sz="0" w:space="0" w:color="auto"/>
      </w:divBdr>
    </w:div>
    <w:div w:id="860048618">
      <w:bodyDiv w:val="1"/>
      <w:marLeft w:val="0"/>
      <w:marRight w:val="0"/>
      <w:marTop w:val="0"/>
      <w:marBottom w:val="0"/>
      <w:divBdr>
        <w:top w:val="none" w:sz="0" w:space="0" w:color="auto"/>
        <w:left w:val="none" w:sz="0" w:space="0" w:color="auto"/>
        <w:bottom w:val="none" w:sz="0" w:space="0" w:color="auto"/>
        <w:right w:val="none" w:sz="0" w:space="0" w:color="auto"/>
      </w:divBdr>
    </w:div>
    <w:div w:id="869607554">
      <w:bodyDiv w:val="1"/>
      <w:marLeft w:val="0"/>
      <w:marRight w:val="0"/>
      <w:marTop w:val="0"/>
      <w:marBottom w:val="0"/>
      <w:divBdr>
        <w:top w:val="none" w:sz="0" w:space="0" w:color="auto"/>
        <w:left w:val="none" w:sz="0" w:space="0" w:color="auto"/>
        <w:bottom w:val="none" w:sz="0" w:space="0" w:color="auto"/>
        <w:right w:val="none" w:sz="0" w:space="0" w:color="auto"/>
      </w:divBdr>
    </w:div>
    <w:div w:id="870918924">
      <w:bodyDiv w:val="1"/>
      <w:marLeft w:val="0"/>
      <w:marRight w:val="0"/>
      <w:marTop w:val="0"/>
      <w:marBottom w:val="0"/>
      <w:divBdr>
        <w:top w:val="none" w:sz="0" w:space="0" w:color="auto"/>
        <w:left w:val="none" w:sz="0" w:space="0" w:color="auto"/>
        <w:bottom w:val="none" w:sz="0" w:space="0" w:color="auto"/>
        <w:right w:val="none" w:sz="0" w:space="0" w:color="auto"/>
      </w:divBdr>
    </w:div>
    <w:div w:id="872571035">
      <w:bodyDiv w:val="1"/>
      <w:marLeft w:val="0"/>
      <w:marRight w:val="0"/>
      <w:marTop w:val="0"/>
      <w:marBottom w:val="0"/>
      <w:divBdr>
        <w:top w:val="none" w:sz="0" w:space="0" w:color="auto"/>
        <w:left w:val="none" w:sz="0" w:space="0" w:color="auto"/>
        <w:bottom w:val="none" w:sz="0" w:space="0" w:color="auto"/>
        <w:right w:val="none" w:sz="0" w:space="0" w:color="auto"/>
      </w:divBdr>
    </w:div>
    <w:div w:id="881749753">
      <w:bodyDiv w:val="1"/>
      <w:marLeft w:val="0"/>
      <w:marRight w:val="0"/>
      <w:marTop w:val="0"/>
      <w:marBottom w:val="0"/>
      <w:divBdr>
        <w:top w:val="none" w:sz="0" w:space="0" w:color="auto"/>
        <w:left w:val="none" w:sz="0" w:space="0" w:color="auto"/>
        <w:bottom w:val="none" w:sz="0" w:space="0" w:color="auto"/>
        <w:right w:val="none" w:sz="0" w:space="0" w:color="auto"/>
      </w:divBdr>
    </w:div>
    <w:div w:id="885339917">
      <w:bodyDiv w:val="1"/>
      <w:marLeft w:val="0"/>
      <w:marRight w:val="0"/>
      <w:marTop w:val="0"/>
      <w:marBottom w:val="0"/>
      <w:divBdr>
        <w:top w:val="none" w:sz="0" w:space="0" w:color="auto"/>
        <w:left w:val="none" w:sz="0" w:space="0" w:color="auto"/>
        <w:bottom w:val="none" w:sz="0" w:space="0" w:color="auto"/>
        <w:right w:val="none" w:sz="0" w:space="0" w:color="auto"/>
      </w:divBdr>
    </w:div>
    <w:div w:id="889003604">
      <w:bodyDiv w:val="1"/>
      <w:marLeft w:val="0"/>
      <w:marRight w:val="0"/>
      <w:marTop w:val="0"/>
      <w:marBottom w:val="0"/>
      <w:divBdr>
        <w:top w:val="none" w:sz="0" w:space="0" w:color="auto"/>
        <w:left w:val="none" w:sz="0" w:space="0" w:color="auto"/>
        <w:bottom w:val="none" w:sz="0" w:space="0" w:color="auto"/>
        <w:right w:val="none" w:sz="0" w:space="0" w:color="auto"/>
      </w:divBdr>
    </w:div>
    <w:div w:id="889683935">
      <w:bodyDiv w:val="1"/>
      <w:marLeft w:val="0"/>
      <w:marRight w:val="0"/>
      <w:marTop w:val="0"/>
      <w:marBottom w:val="0"/>
      <w:divBdr>
        <w:top w:val="none" w:sz="0" w:space="0" w:color="auto"/>
        <w:left w:val="none" w:sz="0" w:space="0" w:color="auto"/>
        <w:bottom w:val="none" w:sz="0" w:space="0" w:color="auto"/>
        <w:right w:val="none" w:sz="0" w:space="0" w:color="auto"/>
      </w:divBdr>
    </w:div>
    <w:div w:id="892931037">
      <w:bodyDiv w:val="1"/>
      <w:marLeft w:val="0"/>
      <w:marRight w:val="0"/>
      <w:marTop w:val="0"/>
      <w:marBottom w:val="0"/>
      <w:divBdr>
        <w:top w:val="none" w:sz="0" w:space="0" w:color="auto"/>
        <w:left w:val="none" w:sz="0" w:space="0" w:color="auto"/>
        <w:bottom w:val="none" w:sz="0" w:space="0" w:color="auto"/>
        <w:right w:val="none" w:sz="0" w:space="0" w:color="auto"/>
      </w:divBdr>
    </w:div>
    <w:div w:id="894657672">
      <w:bodyDiv w:val="1"/>
      <w:marLeft w:val="0"/>
      <w:marRight w:val="0"/>
      <w:marTop w:val="0"/>
      <w:marBottom w:val="0"/>
      <w:divBdr>
        <w:top w:val="none" w:sz="0" w:space="0" w:color="auto"/>
        <w:left w:val="none" w:sz="0" w:space="0" w:color="auto"/>
        <w:bottom w:val="none" w:sz="0" w:space="0" w:color="auto"/>
        <w:right w:val="none" w:sz="0" w:space="0" w:color="auto"/>
      </w:divBdr>
    </w:div>
    <w:div w:id="897017332">
      <w:bodyDiv w:val="1"/>
      <w:marLeft w:val="0"/>
      <w:marRight w:val="0"/>
      <w:marTop w:val="0"/>
      <w:marBottom w:val="0"/>
      <w:divBdr>
        <w:top w:val="none" w:sz="0" w:space="0" w:color="auto"/>
        <w:left w:val="none" w:sz="0" w:space="0" w:color="auto"/>
        <w:bottom w:val="none" w:sz="0" w:space="0" w:color="auto"/>
        <w:right w:val="none" w:sz="0" w:space="0" w:color="auto"/>
      </w:divBdr>
    </w:div>
    <w:div w:id="899679957">
      <w:bodyDiv w:val="1"/>
      <w:marLeft w:val="0"/>
      <w:marRight w:val="0"/>
      <w:marTop w:val="0"/>
      <w:marBottom w:val="0"/>
      <w:divBdr>
        <w:top w:val="none" w:sz="0" w:space="0" w:color="auto"/>
        <w:left w:val="none" w:sz="0" w:space="0" w:color="auto"/>
        <w:bottom w:val="none" w:sz="0" w:space="0" w:color="auto"/>
        <w:right w:val="none" w:sz="0" w:space="0" w:color="auto"/>
      </w:divBdr>
    </w:div>
    <w:div w:id="900286406">
      <w:bodyDiv w:val="1"/>
      <w:marLeft w:val="0"/>
      <w:marRight w:val="0"/>
      <w:marTop w:val="0"/>
      <w:marBottom w:val="0"/>
      <w:divBdr>
        <w:top w:val="none" w:sz="0" w:space="0" w:color="auto"/>
        <w:left w:val="none" w:sz="0" w:space="0" w:color="auto"/>
        <w:bottom w:val="none" w:sz="0" w:space="0" w:color="auto"/>
        <w:right w:val="none" w:sz="0" w:space="0" w:color="auto"/>
      </w:divBdr>
    </w:div>
    <w:div w:id="906526347">
      <w:bodyDiv w:val="1"/>
      <w:marLeft w:val="0"/>
      <w:marRight w:val="0"/>
      <w:marTop w:val="0"/>
      <w:marBottom w:val="0"/>
      <w:divBdr>
        <w:top w:val="none" w:sz="0" w:space="0" w:color="auto"/>
        <w:left w:val="none" w:sz="0" w:space="0" w:color="auto"/>
        <w:bottom w:val="none" w:sz="0" w:space="0" w:color="auto"/>
        <w:right w:val="none" w:sz="0" w:space="0" w:color="auto"/>
      </w:divBdr>
    </w:div>
    <w:div w:id="914322953">
      <w:bodyDiv w:val="1"/>
      <w:marLeft w:val="0"/>
      <w:marRight w:val="0"/>
      <w:marTop w:val="0"/>
      <w:marBottom w:val="0"/>
      <w:divBdr>
        <w:top w:val="none" w:sz="0" w:space="0" w:color="auto"/>
        <w:left w:val="none" w:sz="0" w:space="0" w:color="auto"/>
        <w:bottom w:val="none" w:sz="0" w:space="0" w:color="auto"/>
        <w:right w:val="none" w:sz="0" w:space="0" w:color="auto"/>
      </w:divBdr>
    </w:div>
    <w:div w:id="916132441">
      <w:bodyDiv w:val="1"/>
      <w:marLeft w:val="0"/>
      <w:marRight w:val="0"/>
      <w:marTop w:val="0"/>
      <w:marBottom w:val="0"/>
      <w:divBdr>
        <w:top w:val="none" w:sz="0" w:space="0" w:color="auto"/>
        <w:left w:val="none" w:sz="0" w:space="0" w:color="auto"/>
        <w:bottom w:val="none" w:sz="0" w:space="0" w:color="auto"/>
        <w:right w:val="none" w:sz="0" w:space="0" w:color="auto"/>
      </w:divBdr>
    </w:div>
    <w:div w:id="917397126">
      <w:bodyDiv w:val="1"/>
      <w:marLeft w:val="0"/>
      <w:marRight w:val="0"/>
      <w:marTop w:val="0"/>
      <w:marBottom w:val="0"/>
      <w:divBdr>
        <w:top w:val="none" w:sz="0" w:space="0" w:color="auto"/>
        <w:left w:val="none" w:sz="0" w:space="0" w:color="auto"/>
        <w:bottom w:val="none" w:sz="0" w:space="0" w:color="auto"/>
        <w:right w:val="none" w:sz="0" w:space="0" w:color="auto"/>
      </w:divBdr>
    </w:div>
    <w:div w:id="918826416">
      <w:bodyDiv w:val="1"/>
      <w:marLeft w:val="0"/>
      <w:marRight w:val="0"/>
      <w:marTop w:val="0"/>
      <w:marBottom w:val="0"/>
      <w:divBdr>
        <w:top w:val="none" w:sz="0" w:space="0" w:color="auto"/>
        <w:left w:val="none" w:sz="0" w:space="0" w:color="auto"/>
        <w:bottom w:val="none" w:sz="0" w:space="0" w:color="auto"/>
        <w:right w:val="none" w:sz="0" w:space="0" w:color="auto"/>
      </w:divBdr>
    </w:div>
    <w:div w:id="925503864">
      <w:bodyDiv w:val="1"/>
      <w:marLeft w:val="0"/>
      <w:marRight w:val="0"/>
      <w:marTop w:val="0"/>
      <w:marBottom w:val="0"/>
      <w:divBdr>
        <w:top w:val="none" w:sz="0" w:space="0" w:color="auto"/>
        <w:left w:val="none" w:sz="0" w:space="0" w:color="auto"/>
        <w:bottom w:val="none" w:sz="0" w:space="0" w:color="auto"/>
        <w:right w:val="none" w:sz="0" w:space="0" w:color="auto"/>
      </w:divBdr>
    </w:div>
    <w:div w:id="930048016">
      <w:bodyDiv w:val="1"/>
      <w:marLeft w:val="0"/>
      <w:marRight w:val="0"/>
      <w:marTop w:val="0"/>
      <w:marBottom w:val="0"/>
      <w:divBdr>
        <w:top w:val="none" w:sz="0" w:space="0" w:color="auto"/>
        <w:left w:val="none" w:sz="0" w:space="0" w:color="auto"/>
        <w:bottom w:val="none" w:sz="0" w:space="0" w:color="auto"/>
        <w:right w:val="none" w:sz="0" w:space="0" w:color="auto"/>
      </w:divBdr>
    </w:div>
    <w:div w:id="935597174">
      <w:bodyDiv w:val="1"/>
      <w:marLeft w:val="0"/>
      <w:marRight w:val="0"/>
      <w:marTop w:val="0"/>
      <w:marBottom w:val="0"/>
      <w:divBdr>
        <w:top w:val="none" w:sz="0" w:space="0" w:color="auto"/>
        <w:left w:val="none" w:sz="0" w:space="0" w:color="auto"/>
        <w:bottom w:val="none" w:sz="0" w:space="0" w:color="auto"/>
        <w:right w:val="none" w:sz="0" w:space="0" w:color="auto"/>
      </w:divBdr>
    </w:div>
    <w:div w:id="949049539">
      <w:bodyDiv w:val="1"/>
      <w:marLeft w:val="0"/>
      <w:marRight w:val="0"/>
      <w:marTop w:val="0"/>
      <w:marBottom w:val="0"/>
      <w:divBdr>
        <w:top w:val="none" w:sz="0" w:space="0" w:color="auto"/>
        <w:left w:val="none" w:sz="0" w:space="0" w:color="auto"/>
        <w:bottom w:val="none" w:sz="0" w:space="0" w:color="auto"/>
        <w:right w:val="none" w:sz="0" w:space="0" w:color="auto"/>
      </w:divBdr>
    </w:div>
    <w:div w:id="956134464">
      <w:bodyDiv w:val="1"/>
      <w:marLeft w:val="0"/>
      <w:marRight w:val="0"/>
      <w:marTop w:val="0"/>
      <w:marBottom w:val="0"/>
      <w:divBdr>
        <w:top w:val="none" w:sz="0" w:space="0" w:color="auto"/>
        <w:left w:val="none" w:sz="0" w:space="0" w:color="auto"/>
        <w:bottom w:val="none" w:sz="0" w:space="0" w:color="auto"/>
        <w:right w:val="none" w:sz="0" w:space="0" w:color="auto"/>
      </w:divBdr>
    </w:div>
    <w:div w:id="956570660">
      <w:bodyDiv w:val="1"/>
      <w:marLeft w:val="0"/>
      <w:marRight w:val="0"/>
      <w:marTop w:val="0"/>
      <w:marBottom w:val="0"/>
      <w:divBdr>
        <w:top w:val="none" w:sz="0" w:space="0" w:color="auto"/>
        <w:left w:val="none" w:sz="0" w:space="0" w:color="auto"/>
        <w:bottom w:val="none" w:sz="0" w:space="0" w:color="auto"/>
        <w:right w:val="none" w:sz="0" w:space="0" w:color="auto"/>
      </w:divBdr>
    </w:div>
    <w:div w:id="957876509">
      <w:bodyDiv w:val="1"/>
      <w:marLeft w:val="0"/>
      <w:marRight w:val="0"/>
      <w:marTop w:val="0"/>
      <w:marBottom w:val="0"/>
      <w:divBdr>
        <w:top w:val="none" w:sz="0" w:space="0" w:color="auto"/>
        <w:left w:val="none" w:sz="0" w:space="0" w:color="auto"/>
        <w:bottom w:val="none" w:sz="0" w:space="0" w:color="auto"/>
        <w:right w:val="none" w:sz="0" w:space="0" w:color="auto"/>
      </w:divBdr>
    </w:div>
    <w:div w:id="962925522">
      <w:bodyDiv w:val="1"/>
      <w:marLeft w:val="0"/>
      <w:marRight w:val="0"/>
      <w:marTop w:val="0"/>
      <w:marBottom w:val="0"/>
      <w:divBdr>
        <w:top w:val="none" w:sz="0" w:space="0" w:color="auto"/>
        <w:left w:val="none" w:sz="0" w:space="0" w:color="auto"/>
        <w:bottom w:val="none" w:sz="0" w:space="0" w:color="auto"/>
        <w:right w:val="none" w:sz="0" w:space="0" w:color="auto"/>
      </w:divBdr>
    </w:div>
    <w:div w:id="963076881">
      <w:bodyDiv w:val="1"/>
      <w:marLeft w:val="0"/>
      <w:marRight w:val="0"/>
      <w:marTop w:val="0"/>
      <w:marBottom w:val="0"/>
      <w:divBdr>
        <w:top w:val="none" w:sz="0" w:space="0" w:color="auto"/>
        <w:left w:val="none" w:sz="0" w:space="0" w:color="auto"/>
        <w:bottom w:val="none" w:sz="0" w:space="0" w:color="auto"/>
        <w:right w:val="none" w:sz="0" w:space="0" w:color="auto"/>
      </w:divBdr>
    </w:div>
    <w:div w:id="967005509">
      <w:bodyDiv w:val="1"/>
      <w:marLeft w:val="0"/>
      <w:marRight w:val="0"/>
      <w:marTop w:val="0"/>
      <w:marBottom w:val="0"/>
      <w:divBdr>
        <w:top w:val="none" w:sz="0" w:space="0" w:color="auto"/>
        <w:left w:val="none" w:sz="0" w:space="0" w:color="auto"/>
        <w:bottom w:val="none" w:sz="0" w:space="0" w:color="auto"/>
        <w:right w:val="none" w:sz="0" w:space="0" w:color="auto"/>
      </w:divBdr>
    </w:div>
    <w:div w:id="970786675">
      <w:bodyDiv w:val="1"/>
      <w:marLeft w:val="0"/>
      <w:marRight w:val="0"/>
      <w:marTop w:val="0"/>
      <w:marBottom w:val="0"/>
      <w:divBdr>
        <w:top w:val="none" w:sz="0" w:space="0" w:color="auto"/>
        <w:left w:val="none" w:sz="0" w:space="0" w:color="auto"/>
        <w:bottom w:val="none" w:sz="0" w:space="0" w:color="auto"/>
        <w:right w:val="none" w:sz="0" w:space="0" w:color="auto"/>
      </w:divBdr>
    </w:div>
    <w:div w:id="972978322">
      <w:bodyDiv w:val="1"/>
      <w:marLeft w:val="0"/>
      <w:marRight w:val="0"/>
      <w:marTop w:val="0"/>
      <w:marBottom w:val="0"/>
      <w:divBdr>
        <w:top w:val="none" w:sz="0" w:space="0" w:color="auto"/>
        <w:left w:val="none" w:sz="0" w:space="0" w:color="auto"/>
        <w:bottom w:val="none" w:sz="0" w:space="0" w:color="auto"/>
        <w:right w:val="none" w:sz="0" w:space="0" w:color="auto"/>
      </w:divBdr>
    </w:div>
    <w:div w:id="980383524">
      <w:bodyDiv w:val="1"/>
      <w:marLeft w:val="0"/>
      <w:marRight w:val="0"/>
      <w:marTop w:val="0"/>
      <w:marBottom w:val="0"/>
      <w:divBdr>
        <w:top w:val="none" w:sz="0" w:space="0" w:color="auto"/>
        <w:left w:val="none" w:sz="0" w:space="0" w:color="auto"/>
        <w:bottom w:val="none" w:sz="0" w:space="0" w:color="auto"/>
        <w:right w:val="none" w:sz="0" w:space="0" w:color="auto"/>
      </w:divBdr>
    </w:div>
    <w:div w:id="982346238">
      <w:bodyDiv w:val="1"/>
      <w:marLeft w:val="0"/>
      <w:marRight w:val="0"/>
      <w:marTop w:val="0"/>
      <w:marBottom w:val="0"/>
      <w:divBdr>
        <w:top w:val="none" w:sz="0" w:space="0" w:color="auto"/>
        <w:left w:val="none" w:sz="0" w:space="0" w:color="auto"/>
        <w:bottom w:val="none" w:sz="0" w:space="0" w:color="auto"/>
        <w:right w:val="none" w:sz="0" w:space="0" w:color="auto"/>
      </w:divBdr>
    </w:div>
    <w:div w:id="982857663">
      <w:bodyDiv w:val="1"/>
      <w:marLeft w:val="0"/>
      <w:marRight w:val="0"/>
      <w:marTop w:val="0"/>
      <w:marBottom w:val="0"/>
      <w:divBdr>
        <w:top w:val="none" w:sz="0" w:space="0" w:color="auto"/>
        <w:left w:val="none" w:sz="0" w:space="0" w:color="auto"/>
        <w:bottom w:val="none" w:sz="0" w:space="0" w:color="auto"/>
        <w:right w:val="none" w:sz="0" w:space="0" w:color="auto"/>
      </w:divBdr>
    </w:div>
    <w:div w:id="985816213">
      <w:bodyDiv w:val="1"/>
      <w:marLeft w:val="0"/>
      <w:marRight w:val="0"/>
      <w:marTop w:val="0"/>
      <w:marBottom w:val="0"/>
      <w:divBdr>
        <w:top w:val="none" w:sz="0" w:space="0" w:color="auto"/>
        <w:left w:val="none" w:sz="0" w:space="0" w:color="auto"/>
        <w:bottom w:val="none" w:sz="0" w:space="0" w:color="auto"/>
        <w:right w:val="none" w:sz="0" w:space="0" w:color="auto"/>
      </w:divBdr>
    </w:div>
    <w:div w:id="987711338">
      <w:bodyDiv w:val="1"/>
      <w:marLeft w:val="0"/>
      <w:marRight w:val="0"/>
      <w:marTop w:val="0"/>
      <w:marBottom w:val="0"/>
      <w:divBdr>
        <w:top w:val="none" w:sz="0" w:space="0" w:color="auto"/>
        <w:left w:val="none" w:sz="0" w:space="0" w:color="auto"/>
        <w:bottom w:val="none" w:sz="0" w:space="0" w:color="auto"/>
        <w:right w:val="none" w:sz="0" w:space="0" w:color="auto"/>
      </w:divBdr>
    </w:div>
    <w:div w:id="987975437">
      <w:bodyDiv w:val="1"/>
      <w:marLeft w:val="0"/>
      <w:marRight w:val="0"/>
      <w:marTop w:val="0"/>
      <w:marBottom w:val="0"/>
      <w:divBdr>
        <w:top w:val="none" w:sz="0" w:space="0" w:color="auto"/>
        <w:left w:val="none" w:sz="0" w:space="0" w:color="auto"/>
        <w:bottom w:val="none" w:sz="0" w:space="0" w:color="auto"/>
        <w:right w:val="none" w:sz="0" w:space="0" w:color="auto"/>
      </w:divBdr>
    </w:div>
    <w:div w:id="988249215">
      <w:bodyDiv w:val="1"/>
      <w:marLeft w:val="0"/>
      <w:marRight w:val="0"/>
      <w:marTop w:val="0"/>
      <w:marBottom w:val="0"/>
      <w:divBdr>
        <w:top w:val="none" w:sz="0" w:space="0" w:color="auto"/>
        <w:left w:val="none" w:sz="0" w:space="0" w:color="auto"/>
        <w:bottom w:val="none" w:sz="0" w:space="0" w:color="auto"/>
        <w:right w:val="none" w:sz="0" w:space="0" w:color="auto"/>
      </w:divBdr>
    </w:div>
    <w:div w:id="988480447">
      <w:bodyDiv w:val="1"/>
      <w:marLeft w:val="0"/>
      <w:marRight w:val="0"/>
      <w:marTop w:val="0"/>
      <w:marBottom w:val="0"/>
      <w:divBdr>
        <w:top w:val="none" w:sz="0" w:space="0" w:color="auto"/>
        <w:left w:val="none" w:sz="0" w:space="0" w:color="auto"/>
        <w:bottom w:val="none" w:sz="0" w:space="0" w:color="auto"/>
        <w:right w:val="none" w:sz="0" w:space="0" w:color="auto"/>
      </w:divBdr>
    </w:div>
    <w:div w:id="991180195">
      <w:bodyDiv w:val="1"/>
      <w:marLeft w:val="0"/>
      <w:marRight w:val="0"/>
      <w:marTop w:val="0"/>
      <w:marBottom w:val="0"/>
      <w:divBdr>
        <w:top w:val="none" w:sz="0" w:space="0" w:color="auto"/>
        <w:left w:val="none" w:sz="0" w:space="0" w:color="auto"/>
        <w:bottom w:val="none" w:sz="0" w:space="0" w:color="auto"/>
        <w:right w:val="none" w:sz="0" w:space="0" w:color="auto"/>
      </w:divBdr>
    </w:div>
    <w:div w:id="992758891">
      <w:bodyDiv w:val="1"/>
      <w:marLeft w:val="0"/>
      <w:marRight w:val="0"/>
      <w:marTop w:val="0"/>
      <w:marBottom w:val="0"/>
      <w:divBdr>
        <w:top w:val="none" w:sz="0" w:space="0" w:color="auto"/>
        <w:left w:val="none" w:sz="0" w:space="0" w:color="auto"/>
        <w:bottom w:val="none" w:sz="0" w:space="0" w:color="auto"/>
        <w:right w:val="none" w:sz="0" w:space="0" w:color="auto"/>
      </w:divBdr>
    </w:div>
    <w:div w:id="993148516">
      <w:bodyDiv w:val="1"/>
      <w:marLeft w:val="0"/>
      <w:marRight w:val="0"/>
      <w:marTop w:val="0"/>
      <w:marBottom w:val="0"/>
      <w:divBdr>
        <w:top w:val="none" w:sz="0" w:space="0" w:color="auto"/>
        <w:left w:val="none" w:sz="0" w:space="0" w:color="auto"/>
        <w:bottom w:val="none" w:sz="0" w:space="0" w:color="auto"/>
        <w:right w:val="none" w:sz="0" w:space="0" w:color="auto"/>
      </w:divBdr>
    </w:div>
    <w:div w:id="996566363">
      <w:bodyDiv w:val="1"/>
      <w:marLeft w:val="0"/>
      <w:marRight w:val="0"/>
      <w:marTop w:val="0"/>
      <w:marBottom w:val="0"/>
      <w:divBdr>
        <w:top w:val="none" w:sz="0" w:space="0" w:color="auto"/>
        <w:left w:val="none" w:sz="0" w:space="0" w:color="auto"/>
        <w:bottom w:val="none" w:sz="0" w:space="0" w:color="auto"/>
        <w:right w:val="none" w:sz="0" w:space="0" w:color="auto"/>
      </w:divBdr>
    </w:div>
    <w:div w:id="1004553737">
      <w:bodyDiv w:val="1"/>
      <w:marLeft w:val="0"/>
      <w:marRight w:val="0"/>
      <w:marTop w:val="0"/>
      <w:marBottom w:val="0"/>
      <w:divBdr>
        <w:top w:val="none" w:sz="0" w:space="0" w:color="auto"/>
        <w:left w:val="none" w:sz="0" w:space="0" w:color="auto"/>
        <w:bottom w:val="none" w:sz="0" w:space="0" w:color="auto"/>
        <w:right w:val="none" w:sz="0" w:space="0" w:color="auto"/>
      </w:divBdr>
    </w:div>
    <w:div w:id="1004746677">
      <w:bodyDiv w:val="1"/>
      <w:marLeft w:val="0"/>
      <w:marRight w:val="0"/>
      <w:marTop w:val="0"/>
      <w:marBottom w:val="0"/>
      <w:divBdr>
        <w:top w:val="none" w:sz="0" w:space="0" w:color="auto"/>
        <w:left w:val="none" w:sz="0" w:space="0" w:color="auto"/>
        <w:bottom w:val="none" w:sz="0" w:space="0" w:color="auto"/>
        <w:right w:val="none" w:sz="0" w:space="0" w:color="auto"/>
      </w:divBdr>
    </w:div>
    <w:div w:id="1006320155">
      <w:bodyDiv w:val="1"/>
      <w:marLeft w:val="0"/>
      <w:marRight w:val="0"/>
      <w:marTop w:val="0"/>
      <w:marBottom w:val="0"/>
      <w:divBdr>
        <w:top w:val="none" w:sz="0" w:space="0" w:color="auto"/>
        <w:left w:val="none" w:sz="0" w:space="0" w:color="auto"/>
        <w:bottom w:val="none" w:sz="0" w:space="0" w:color="auto"/>
        <w:right w:val="none" w:sz="0" w:space="0" w:color="auto"/>
      </w:divBdr>
    </w:div>
    <w:div w:id="1019428562">
      <w:bodyDiv w:val="1"/>
      <w:marLeft w:val="0"/>
      <w:marRight w:val="0"/>
      <w:marTop w:val="0"/>
      <w:marBottom w:val="0"/>
      <w:divBdr>
        <w:top w:val="none" w:sz="0" w:space="0" w:color="auto"/>
        <w:left w:val="none" w:sz="0" w:space="0" w:color="auto"/>
        <w:bottom w:val="none" w:sz="0" w:space="0" w:color="auto"/>
        <w:right w:val="none" w:sz="0" w:space="0" w:color="auto"/>
      </w:divBdr>
    </w:div>
    <w:div w:id="1023476846">
      <w:bodyDiv w:val="1"/>
      <w:marLeft w:val="0"/>
      <w:marRight w:val="0"/>
      <w:marTop w:val="0"/>
      <w:marBottom w:val="0"/>
      <w:divBdr>
        <w:top w:val="none" w:sz="0" w:space="0" w:color="auto"/>
        <w:left w:val="none" w:sz="0" w:space="0" w:color="auto"/>
        <w:bottom w:val="none" w:sz="0" w:space="0" w:color="auto"/>
        <w:right w:val="none" w:sz="0" w:space="0" w:color="auto"/>
      </w:divBdr>
    </w:div>
    <w:div w:id="1025062964">
      <w:bodyDiv w:val="1"/>
      <w:marLeft w:val="0"/>
      <w:marRight w:val="0"/>
      <w:marTop w:val="0"/>
      <w:marBottom w:val="0"/>
      <w:divBdr>
        <w:top w:val="none" w:sz="0" w:space="0" w:color="auto"/>
        <w:left w:val="none" w:sz="0" w:space="0" w:color="auto"/>
        <w:bottom w:val="none" w:sz="0" w:space="0" w:color="auto"/>
        <w:right w:val="none" w:sz="0" w:space="0" w:color="auto"/>
      </w:divBdr>
    </w:div>
    <w:div w:id="1025598697">
      <w:bodyDiv w:val="1"/>
      <w:marLeft w:val="0"/>
      <w:marRight w:val="0"/>
      <w:marTop w:val="0"/>
      <w:marBottom w:val="0"/>
      <w:divBdr>
        <w:top w:val="none" w:sz="0" w:space="0" w:color="auto"/>
        <w:left w:val="none" w:sz="0" w:space="0" w:color="auto"/>
        <w:bottom w:val="none" w:sz="0" w:space="0" w:color="auto"/>
        <w:right w:val="none" w:sz="0" w:space="0" w:color="auto"/>
      </w:divBdr>
    </w:div>
    <w:div w:id="1033961502">
      <w:bodyDiv w:val="1"/>
      <w:marLeft w:val="0"/>
      <w:marRight w:val="0"/>
      <w:marTop w:val="0"/>
      <w:marBottom w:val="0"/>
      <w:divBdr>
        <w:top w:val="none" w:sz="0" w:space="0" w:color="auto"/>
        <w:left w:val="none" w:sz="0" w:space="0" w:color="auto"/>
        <w:bottom w:val="none" w:sz="0" w:space="0" w:color="auto"/>
        <w:right w:val="none" w:sz="0" w:space="0" w:color="auto"/>
      </w:divBdr>
    </w:div>
    <w:div w:id="1034696540">
      <w:bodyDiv w:val="1"/>
      <w:marLeft w:val="0"/>
      <w:marRight w:val="0"/>
      <w:marTop w:val="0"/>
      <w:marBottom w:val="0"/>
      <w:divBdr>
        <w:top w:val="none" w:sz="0" w:space="0" w:color="auto"/>
        <w:left w:val="none" w:sz="0" w:space="0" w:color="auto"/>
        <w:bottom w:val="none" w:sz="0" w:space="0" w:color="auto"/>
        <w:right w:val="none" w:sz="0" w:space="0" w:color="auto"/>
      </w:divBdr>
    </w:div>
    <w:div w:id="1036546619">
      <w:bodyDiv w:val="1"/>
      <w:marLeft w:val="0"/>
      <w:marRight w:val="0"/>
      <w:marTop w:val="0"/>
      <w:marBottom w:val="0"/>
      <w:divBdr>
        <w:top w:val="none" w:sz="0" w:space="0" w:color="auto"/>
        <w:left w:val="none" w:sz="0" w:space="0" w:color="auto"/>
        <w:bottom w:val="none" w:sz="0" w:space="0" w:color="auto"/>
        <w:right w:val="none" w:sz="0" w:space="0" w:color="auto"/>
      </w:divBdr>
    </w:div>
    <w:div w:id="1041251786">
      <w:bodyDiv w:val="1"/>
      <w:marLeft w:val="0"/>
      <w:marRight w:val="0"/>
      <w:marTop w:val="0"/>
      <w:marBottom w:val="0"/>
      <w:divBdr>
        <w:top w:val="none" w:sz="0" w:space="0" w:color="auto"/>
        <w:left w:val="none" w:sz="0" w:space="0" w:color="auto"/>
        <w:bottom w:val="none" w:sz="0" w:space="0" w:color="auto"/>
        <w:right w:val="none" w:sz="0" w:space="0" w:color="auto"/>
      </w:divBdr>
    </w:div>
    <w:div w:id="1043486709">
      <w:bodyDiv w:val="1"/>
      <w:marLeft w:val="0"/>
      <w:marRight w:val="0"/>
      <w:marTop w:val="0"/>
      <w:marBottom w:val="0"/>
      <w:divBdr>
        <w:top w:val="none" w:sz="0" w:space="0" w:color="auto"/>
        <w:left w:val="none" w:sz="0" w:space="0" w:color="auto"/>
        <w:bottom w:val="none" w:sz="0" w:space="0" w:color="auto"/>
        <w:right w:val="none" w:sz="0" w:space="0" w:color="auto"/>
      </w:divBdr>
    </w:div>
    <w:div w:id="1050611269">
      <w:bodyDiv w:val="1"/>
      <w:marLeft w:val="0"/>
      <w:marRight w:val="0"/>
      <w:marTop w:val="0"/>
      <w:marBottom w:val="0"/>
      <w:divBdr>
        <w:top w:val="none" w:sz="0" w:space="0" w:color="auto"/>
        <w:left w:val="none" w:sz="0" w:space="0" w:color="auto"/>
        <w:bottom w:val="none" w:sz="0" w:space="0" w:color="auto"/>
        <w:right w:val="none" w:sz="0" w:space="0" w:color="auto"/>
      </w:divBdr>
    </w:div>
    <w:div w:id="1053769403">
      <w:bodyDiv w:val="1"/>
      <w:marLeft w:val="0"/>
      <w:marRight w:val="0"/>
      <w:marTop w:val="0"/>
      <w:marBottom w:val="0"/>
      <w:divBdr>
        <w:top w:val="none" w:sz="0" w:space="0" w:color="auto"/>
        <w:left w:val="none" w:sz="0" w:space="0" w:color="auto"/>
        <w:bottom w:val="none" w:sz="0" w:space="0" w:color="auto"/>
        <w:right w:val="none" w:sz="0" w:space="0" w:color="auto"/>
      </w:divBdr>
    </w:div>
    <w:div w:id="1062170983">
      <w:bodyDiv w:val="1"/>
      <w:marLeft w:val="0"/>
      <w:marRight w:val="0"/>
      <w:marTop w:val="0"/>
      <w:marBottom w:val="0"/>
      <w:divBdr>
        <w:top w:val="none" w:sz="0" w:space="0" w:color="auto"/>
        <w:left w:val="none" w:sz="0" w:space="0" w:color="auto"/>
        <w:bottom w:val="none" w:sz="0" w:space="0" w:color="auto"/>
        <w:right w:val="none" w:sz="0" w:space="0" w:color="auto"/>
      </w:divBdr>
    </w:div>
    <w:div w:id="1065686393">
      <w:bodyDiv w:val="1"/>
      <w:marLeft w:val="0"/>
      <w:marRight w:val="0"/>
      <w:marTop w:val="0"/>
      <w:marBottom w:val="0"/>
      <w:divBdr>
        <w:top w:val="none" w:sz="0" w:space="0" w:color="auto"/>
        <w:left w:val="none" w:sz="0" w:space="0" w:color="auto"/>
        <w:bottom w:val="none" w:sz="0" w:space="0" w:color="auto"/>
        <w:right w:val="none" w:sz="0" w:space="0" w:color="auto"/>
      </w:divBdr>
    </w:div>
    <w:div w:id="1066994728">
      <w:bodyDiv w:val="1"/>
      <w:marLeft w:val="0"/>
      <w:marRight w:val="0"/>
      <w:marTop w:val="0"/>
      <w:marBottom w:val="0"/>
      <w:divBdr>
        <w:top w:val="none" w:sz="0" w:space="0" w:color="auto"/>
        <w:left w:val="none" w:sz="0" w:space="0" w:color="auto"/>
        <w:bottom w:val="none" w:sz="0" w:space="0" w:color="auto"/>
        <w:right w:val="none" w:sz="0" w:space="0" w:color="auto"/>
      </w:divBdr>
    </w:div>
    <w:div w:id="1067071634">
      <w:bodyDiv w:val="1"/>
      <w:marLeft w:val="0"/>
      <w:marRight w:val="0"/>
      <w:marTop w:val="0"/>
      <w:marBottom w:val="0"/>
      <w:divBdr>
        <w:top w:val="none" w:sz="0" w:space="0" w:color="auto"/>
        <w:left w:val="none" w:sz="0" w:space="0" w:color="auto"/>
        <w:bottom w:val="none" w:sz="0" w:space="0" w:color="auto"/>
        <w:right w:val="none" w:sz="0" w:space="0" w:color="auto"/>
      </w:divBdr>
    </w:div>
    <w:div w:id="1067533531">
      <w:bodyDiv w:val="1"/>
      <w:marLeft w:val="0"/>
      <w:marRight w:val="0"/>
      <w:marTop w:val="0"/>
      <w:marBottom w:val="0"/>
      <w:divBdr>
        <w:top w:val="none" w:sz="0" w:space="0" w:color="auto"/>
        <w:left w:val="none" w:sz="0" w:space="0" w:color="auto"/>
        <w:bottom w:val="none" w:sz="0" w:space="0" w:color="auto"/>
        <w:right w:val="none" w:sz="0" w:space="0" w:color="auto"/>
      </w:divBdr>
    </w:div>
    <w:div w:id="1068962206">
      <w:bodyDiv w:val="1"/>
      <w:marLeft w:val="0"/>
      <w:marRight w:val="0"/>
      <w:marTop w:val="0"/>
      <w:marBottom w:val="0"/>
      <w:divBdr>
        <w:top w:val="none" w:sz="0" w:space="0" w:color="auto"/>
        <w:left w:val="none" w:sz="0" w:space="0" w:color="auto"/>
        <w:bottom w:val="none" w:sz="0" w:space="0" w:color="auto"/>
        <w:right w:val="none" w:sz="0" w:space="0" w:color="auto"/>
      </w:divBdr>
    </w:div>
    <w:div w:id="1071076096">
      <w:bodyDiv w:val="1"/>
      <w:marLeft w:val="0"/>
      <w:marRight w:val="0"/>
      <w:marTop w:val="0"/>
      <w:marBottom w:val="0"/>
      <w:divBdr>
        <w:top w:val="none" w:sz="0" w:space="0" w:color="auto"/>
        <w:left w:val="none" w:sz="0" w:space="0" w:color="auto"/>
        <w:bottom w:val="none" w:sz="0" w:space="0" w:color="auto"/>
        <w:right w:val="none" w:sz="0" w:space="0" w:color="auto"/>
      </w:divBdr>
    </w:div>
    <w:div w:id="1076904673">
      <w:bodyDiv w:val="1"/>
      <w:marLeft w:val="0"/>
      <w:marRight w:val="0"/>
      <w:marTop w:val="0"/>
      <w:marBottom w:val="0"/>
      <w:divBdr>
        <w:top w:val="none" w:sz="0" w:space="0" w:color="auto"/>
        <w:left w:val="none" w:sz="0" w:space="0" w:color="auto"/>
        <w:bottom w:val="none" w:sz="0" w:space="0" w:color="auto"/>
        <w:right w:val="none" w:sz="0" w:space="0" w:color="auto"/>
      </w:divBdr>
    </w:div>
    <w:div w:id="1077820176">
      <w:bodyDiv w:val="1"/>
      <w:marLeft w:val="0"/>
      <w:marRight w:val="0"/>
      <w:marTop w:val="0"/>
      <w:marBottom w:val="0"/>
      <w:divBdr>
        <w:top w:val="none" w:sz="0" w:space="0" w:color="auto"/>
        <w:left w:val="none" w:sz="0" w:space="0" w:color="auto"/>
        <w:bottom w:val="none" w:sz="0" w:space="0" w:color="auto"/>
        <w:right w:val="none" w:sz="0" w:space="0" w:color="auto"/>
      </w:divBdr>
    </w:div>
    <w:div w:id="1077937746">
      <w:bodyDiv w:val="1"/>
      <w:marLeft w:val="0"/>
      <w:marRight w:val="0"/>
      <w:marTop w:val="0"/>
      <w:marBottom w:val="0"/>
      <w:divBdr>
        <w:top w:val="none" w:sz="0" w:space="0" w:color="auto"/>
        <w:left w:val="none" w:sz="0" w:space="0" w:color="auto"/>
        <w:bottom w:val="none" w:sz="0" w:space="0" w:color="auto"/>
        <w:right w:val="none" w:sz="0" w:space="0" w:color="auto"/>
      </w:divBdr>
    </w:div>
    <w:div w:id="1080251596">
      <w:bodyDiv w:val="1"/>
      <w:marLeft w:val="0"/>
      <w:marRight w:val="0"/>
      <w:marTop w:val="0"/>
      <w:marBottom w:val="0"/>
      <w:divBdr>
        <w:top w:val="none" w:sz="0" w:space="0" w:color="auto"/>
        <w:left w:val="none" w:sz="0" w:space="0" w:color="auto"/>
        <w:bottom w:val="none" w:sz="0" w:space="0" w:color="auto"/>
        <w:right w:val="none" w:sz="0" w:space="0" w:color="auto"/>
      </w:divBdr>
      <w:divsChild>
        <w:div w:id="63914724">
          <w:marLeft w:val="0"/>
          <w:marRight w:val="0"/>
          <w:marTop w:val="0"/>
          <w:marBottom w:val="0"/>
          <w:divBdr>
            <w:top w:val="none" w:sz="0" w:space="0" w:color="auto"/>
            <w:left w:val="none" w:sz="0" w:space="0" w:color="auto"/>
            <w:bottom w:val="none" w:sz="0" w:space="0" w:color="auto"/>
            <w:right w:val="none" w:sz="0" w:space="0" w:color="auto"/>
          </w:divBdr>
        </w:div>
        <w:div w:id="685446025">
          <w:marLeft w:val="0"/>
          <w:marRight w:val="0"/>
          <w:marTop w:val="0"/>
          <w:marBottom w:val="0"/>
          <w:divBdr>
            <w:top w:val="none" w:sz="0" w:space="0" w:color="auto"/>
            <w:left w:val="none" w:sz="0" w:space="0" w:color="auto"/>
            <w:bottom w:val="none" w:sz="0" w:space="0" w:color="auto"/>
            <w:right w:val="none" w:sz="0" w:space="0" w:color="auto"/>
          </w:divBdr>
        </w:div>
        <w:div w:id="843858160">
          <w:marLeft w:val="0"/>
          <w:marRight w:val="0"/>
          <w:marTop w:val="0"/>
          <w:marBottom w:val="0"/>
          <w:divBdr>
            <w:top w:val="none" w:sz="0" w:space="0" w:color="auto"/>
            <w:left w:val="none" w:sz="0" w:space="0" w:color="auto"/>
            <w:bottom w:val="none" w:sz="0" w:space="0" w:color="auto"/>
            <w:right w:val="none" w:sz="0" w:space="0" w:color="auto"/>
          </w:divBdr>
        </w:div>
        <w:div w:id="1255019997">
          <w:marLeft w:val="0"/>
          <w:marRight w:val="0"/>
          <w:marTop w:val="0"/>
          <w:marBottom w:val="0"/>
          <w:divBdr>
            <w:top w:val="none" w:sz="0" w:space="0" w:color="auto"/>
            <w:left w:val="none" w:sz="0" w:space="0" w:color="auto"/>
            <w:bottom w:val="none" w:sz="0" w:space="0" w:color="auto"/>
            <w:right w:val="none" w:sz="0" w:space="0" w:color="auto"/>
          </w:divBdr>
        </w:div>
        <w:div w:id="1839684819">
          <w:marLeft w:val="0"/>
          <w:marRight w:val="0"/>
          <w:marTop w:val="0"/>
          <w:marBottom w:val="0"/>
          <w:divBdr>
            <w:top w:val="none" w:sz="0" w:space="0" w:color="auto"/>
            <w:left w:val="none" w:sz="0" w:space="0" w:color="auto"/>
            <w:bottom w:val="none" w:sz="0" w:space="0" w:color="auto"/>
            <w:right w:val="none" w:sz="0" w:space="0" w:color="auto"/>
          </w:divBdr>
        </w:div>
      </w:divsChild>
    </w:div>
    <w:div w:id="1083380183">
      <w:bodyDiv w:val="1"/>
      <w:marLeft w:val="0"/>
      <w:marRight w:val="0"/>
      <w:marTop w:val="0"/>
      <w:marBottom w:val="0"/>
      <w:divBdr>
        <w:top w:val="none" w:sz="0" w:space="0" w:color="auto"/>
        <w:left w:val="none" w:sz="0" w:space="0" w:color="auto"/>
        <w:bottom w:val="none" w:sz="0" w:space="0" w:color="auto"/>
        <w:right w:val="none" w:sz="0" w:space="0" w:color="auto"/>
      </w:divBdr>
    </w:div>
    <w:div w:id="1085225295">
      <w:bodyDiv w:val="1"/>
      <w:marLeft w:val="0"/>
      <w:marRight w:val="0"/>
      <w:marTop w:val="0"/>
      <w:marBottom w:val="0"/>
      <w:divBdr>
        <w:top w:val="none" w:sz="0" w:space="0" w:color="auto"/>
        <w:left w:val="none" w:sz="0" w:space="0" w:color="auto"/>
        <w:bottom w:val="none" w:sz="0" w:space="0" w:color="auto"/>
        <w:right w:val="none" w:sz="0" w:space="0" w:color="auto"/>
      </w:divBdr>
    </w:div>
    <w:div w:id="1085540932">
      <w:bodyDiv w:val="1"/>
      <w:marLeft w:val="0"/>
      <w:marRight w:val="0"/>
      <w:marTop w:val="0"/>
      <w:marBottom w:val="0"/>
      <w:divBdr>
        <w:top w:val="none" w:sz="0" w:space="0" w:color="auto"/>
        <w:left w:val="none" w:sz="0" w:space="0" w:color="auto"/>
        <w:bottom w:val="none" w:sz="0" w:space="0" w:color="auto"/>
        <w:right w:val="none" w:sz="0" w:space="0" w:color="auto"/>
      </w:divBdr>
    </w:div>
    <w:div w:id="1096026008">
      <w:bodyDiv w:val="1"/>
      <w:marLeft w:val="0"/>
      <w:marRight w:val="0"/>
      <w:marTop w:val="0"/>
      <w:marBottom w:val="0"/>
      <w:divBdr>
        <w:top w:val="none" w:sz="0" w:space="0" w:color="auto"/>
        <w:left w:val="none" w:sz="0" w:space="0" w:color="auto"/>
        <w:bottom w:val="none" w:sz="0" w:space="0" w:color="auto"/>
        <w:right w:val="none" w:sz="0" w:space="0" w:color="auto"/>
      </w:divBdr>
    </w:div>
    <w:div w:id="1096251357">
      <w:bodyDiv w:val="1"/>
      <w:marLeft w:val="0"/>
      <w:marRight w:val="0"/>
      <w:marTop w:val="0"/>
      <w:marBottom w:val="0"/>
      <w:divBdr>
        <w:top w:val="none" w:sz="0" w:space="0" w:color="auto"/>
        <w:left w:val="none" w:sz="0" w:space="0" w:color="auto"/>
        <w:bottom w:val="none" w:sz="0" w:space="0" w:color="auto"/>
        <w:right w:val="none" w:sz="0" w:space="0" w:color="auto"/>
      </w:divBdr>
    </w:div>
    <w:div w:id="1098868715">
      <w:bodyDiv w:val="1"/>
      <w:marLeft w:val="0"/>
      <w:marRight w:val="0"/>
      <w:marTop w:val="0"/>
      <w:marBottom w:val="0"/>
      <w:divBdr>
        <w:top w:val="none" w:sz="0" w:space="0" w:color="auto"/>
        <w:left w:val="none" w:sz="0" w:space="0" w:color="auto"/>
        <w:bottom w:val="none" w:sz="0" w:space="0" w:color="auto"/>
        <w:right w:val="none" w:sz="0" w:space="0" w:color="auto"/>
      </w:divBdr>
    </w:div>
    <w:div w:id="1107434017">
      <w:bodyDiv w:val="1"/>
      <w:marLeft w:val="0"/>
      <w:marRight w:val="0"/>
      <w:marTop w:val="0"/>
      <w:marBottom w:val="0"/>
      <w:divBdr>
        <w:top w:val="none" w:sz="0" w:space="0" w:color="auto"/>
        <w:left w:val="none" w:sz="0" w:space="0" w:color="auto"/>
        <w:bottom w:val="none" w:sz="0" w:space="0" w:color="auto"/>
        <w:right w:val="none" w:sz="0" w:space="0" w:color="auto"/>
      </w:divBdr>
    </w:div>
    <w:div w:id="1115177503">
      <w:bodyDiv w:val="1"/>
      <w:marLeft w:val="0"/>
      <w:marRight w:val="0"/>
      <w:marTop w:val="0"/>
      <w:marBottom w:val="0"/>
      <w:divBdr>
        <w:top w:val="none" w:sz="0" w:space="0" w:color="auto"/>
        <w:left w:val="none" w:sz="0" w:space="0" w:color="auto"/>
        <w:bottom w:val="none" w:sz="0" w:space="0" w:color="auto"/>
        <w:right w:val="none" w:sz="0" w:space="0" w:color="auto"/>
      </w:divBdr>
    </w:div>
    <w:div w:id="1118060875">
      <w:bodyDiv w:val="1"/>
      <w:marLeft w:val="0"/>
      <w:marRight w:val="0"/>
      <w:marTop w:val="0"/>
      <w:marBottom w:val="0"/>
      <w:divBdr>
        <w:top w:val="none" w:sz="0" w:space="0" w:color="auto"/>
        <w:left w:val="none" w:sz="0" w:space="0" w:color="auto"/>
        <w:bottom w:val="none" w:sz="0" w:space="0" w:color="auto"/>
        <w:right w:val="none" w:sz="0" w:space="0" w:color="auto"/>
      </w:divBdr>
    </w:div>
    <w:div w:id="1135293001">
      <w:bodyDiv w:val="1"/>
      <w:marLeft w:val="0"/>
      <w:marRight w:val="0"/>
      <w:marTop w:val="0"/>
      <w:marBottom w:val="0"/>
      <w:divBdr>
        <w:top w:val="none" w:sz="0" w:space="0" w:color="auto"/>
        <w:left w:val="none" w:sz="0" w:space="0" w:color="auto"/>
        <w:bottom w:val="none" w:sz="0" w:space="0" w:color="auto"/>
        <w:right w:val="none" w:sz="0" w:space="0" w:color="auto"/>
      </w:divBdr>
    </w:div>
    <w:div w:id="1136754523">
      <w:bodyDiv w:val="1"/>
      <w:marLeft w:val="0"/>
      <w:marRight w:val="0"/>
      <w:marTop w:val="0"/>
      <w:marBottom w:val="0"/>
      <w:divBdr>
        <w:top w:val="none" w:sz="0" w:space="0" w:color="auto"/>
        <w:left w:val="none" w:sz="0" w:space="0" w:color="auto"/>
        <w:bottom w:val="none" w:sz="0" w:space="0" w:color="auto"/>
        <w:right w:val="none" w:sz="0" w:space="0" w:color="auto"/>
      </w:divBdr>
    </w:div>
    <w:div w:id="1137070905">
      <w:bodyDiv w:val="1"/>
      <w:marLeft w:val="0"/>
      <w:marRight w:val="0"/>
      <w:marTop w:val="0"/>
      <w:marBottom w:val="0"/>
      <w:divBdr>
        <w:top w:val="none" w:sz="0" w:space="0" w:color="auto"/>
        <w:left w:val="none" w:sz="0" w:space="0" w:color="auto"/>
        <w:bottom w:val="none" w:sz="0" w:space="0" w:color="auto"/>
        <w:right w:val="none" w:sz="0" w:space="0" w:color="auto"/>
      </w:divBdr>
    </w:div>
    <w:div w:id="1139957134">
      <w:bodyDiv w:val="1"/>
      <w:marLeft w:val="0"/>
      <w:marRight w:val="0"/>
      <w:marTop w:val="0"/>
      <w:marBottom w:val="0"/>
      <w:divBdr>
        <w:top w:val="none" w:sz="0" w:space="0" w:color="auto"/>
        <w:left w:val="none" w:sz="0" w:space="0" w:color="auto"/>
        <w:bottom w:val="none" w:sz="0" w:space="0" w:color="auto"/>
        <w:right w:val="none" w:sz="0" w:space="0" w:color="auto"/>
      </w:divBdr>
    </w:div>
    <w:div w:id="1143498326">
      <w:bodyDiv w:val="1"/>
      <w:marLeft w:val="0"/>
      <w:marRight w:val="0"/>
      <w:marTop w:val="0"/>
      <w:marBottom w:val="0"/>
      <w:divBdr>
        <w:top w:val="none" w:sz="0" w:space="0" w:color="auto"/>
        <w:left w:val="none" w:sz="0" w:space="0" w:color="auto"/>
        <w:bottom w:val="none" w:sz="0" w:space="0" w:color="auto"/>
        <w:right w:val="none" w:sz="0" w:space="0" w:color="auto"/>
      </w:divBdr>
    </w:div>
    <w:div w:id="1144272970">
      <w:bodyDiv w:val="1"/>
      <w:marLeft w:val="0"/>
      <w:marRight w:val="0"/>
      <w:marTop w:val="0"/>
      <w:marBottom w:val="0"/>
      <w:divBdr>
        <w:top w:val="none" w:sz="0" w:space="0" w:color="auto"/>
        <w:left w:val="none" w:sz="0" w:space="0" w:color="auto"/>
        <w:bottom w:val="none" w:sz="0" w:space="0" w:color="auto"/>
        <w:right w:val="none" w:sz="0" w:space="0" w:color="auto"/>
      </w:divBdr>
    </w:div>
    <w:div w:id="1155536235">
      <w:bodyDiv w:val="1"/>
      <w:marLeft w:val="0"/>
      <w:marRight w:val="0"/>
      <w:marTop w:val="0"/>
      <w:marBottom w:val="0"/>
      <w:divBdr>
        <w:top w:val="none" w:sz="0" w:space="0" w:color="auto"/>
        <w:left w:val="none" w:sz="0" w:space="0" w:color="auto"/>
        <w:bottom w:val="none" w:sz="0" w:space="0" w:color="auto"/>
        <w:right w:val="none" w:sz="0" w:space="0" w:color="auto"/>
      </w:divBdr>
    </w:div>
    <w:div w:id="1161384064">
      <w:bodyDiv w:val="1"/>
      <w:marLeft w:val="0"/>
      <w:marRight w:val="0"/>
      <w:marTop w:val="0"/>
      <w:marBottom w:val="0"/>
      <w:divBdr>
        <w:top w:val="none" w:sz="0" w:space="0" w:color="auto"/>
        <w:left w:val="none" w:sz="0" w:space="0" w:color="auto"/>
        <w:bottom w:val="none" w:sz="0" w:space="0" w:color="auto"/>
        <w:right w:val="none" w:sz="0" w:space="0" w:color="auto"/>
      </w:divBdr>
    </w:div>
    <w:div w:id="1164780869">
      <w:bodyDiv w:val="1"/>
      <w:marLeft w:val="0"/>
      <w:marRight w:val="0"/>
      <w:marTop w:val="0"/>
      <w:marBottom w:val="0"/>
      <w:divBdr>
        <w:top w:val="none" w:sz="0" w:space="0" w:color="auto"/>
        <w:left w:val="none" w:sz="0" w:space="0" w:color="auto"/>
        <w:bottom w:val="none" w:sz="0" w:space="0" w:color="auto"/>
        <w:right w:val="none" w:sz="0" w:space="0" w:color="auto"/>
      </w:divBdr>
    </w:div>
    <w:div w:id="1174732953">
      <w:bodyDiv w:val="1"/>
      <w:marLeft w:val="0"/>
      <w:marRight w:val="0"/>
      <w:marTop w:val="0"/>
      <w:marBottom w:val="0"/>
      <w:divBdr>
        <w:top w:val="none" w:sz="0" w:space="0" w:color="auto"/>
        <w:left w:val="none" w:sz="0" w:space="0" w:color="auto"/>
        <w:bottom w:val="none" w:sz="0" w:space="0" w:color="auto"/>
        <w:right w:val="none" w:sz="0" w:space="0" w:color="auto"/>
      </w:divBdr>
    </w:div>
    <w:div w:id="1176310333">
      <w:bodyDiv w:val="1"/>
      <w:marLeft w:val="0"/>
      <w:marRight w:val="0"/>
      <w:marTop w:val="0"/>
      <w:marBottom w:val="0"/>
      <w:divBdr>
        <w:top w:val="none" w:sz="0" w:space="0" w:color="auto"/>
        <w:left w:val="none" w:sz="0" w:space="0" w:color="auto"/>
        <w:bottom w:val="none" w:sz="0" w:space="0" w:color="auto"/>
        <w:right w:val="none" w:sz="0" w:space="0" w:color="auto"/>
      </w:divBdr>
    </w:div>
    <w:div w:id="1179546596">
      <w:bodyDiv w:val="1"/>
      <w:marLeft w:val="0"/>
      <w:marRight w:val="0"/>
      <w:marTop w:val="0"/>
      <w:marBottom w:val="0"/>
      <w:divBdr>
        <w:top w:val="none" w:sz="0" w:space="0" w:color="auto"/>
        <w:left w:val="none" w:sz="0" w:space="0" w:color="auto"/>
        <w:bottom w:val="none" w:sz="0" w:space="0" w:color="auto"/>
        <w:right w:val="none" w:sz="0" w:space="0" w:color="auto"/>
      </w:divBdr>
    </w:div>
    <w:div w:id="1183515823">
      <w:bodyDiv w:val="1"/>
      <w:marLeft w:val="0"/>
      <w:marRight w:val="0"/>
      <w:marTop w:val="0"/>
      <w:marBottom w:val="0"/>
      <w:divBdr>
        <w:top w:val="none" w:sz="0" w:space="0" w:color="auto"/>
        <w:left w:val="none" w:sz="0" w:space="0" w:color="auto"/>
        <w:bottom w:val="none" w:sz="0" w:space="0" w:color="auto"/>
        <w:right w:val="none" w:sz="0" w:space="0" w:color="auto"/>
      </w:divBdr>
    </w:div>
    <w:div w:id="1184707417">
      <w:bodyDiv w:val="1"/>
      <w:marLeft w:val="0"/>
      <w:marRight w:val="0"/>
      <w:marTop w:val="0"/>
      <w:marBottom w:val="0"/>
      <w:divBdr>
        <w:top w:val="none" w:sz="0" w:space="0" w:color="auto"/>
        <w:left w:val="none" w:sz="0" w:space="0" w:color="auto"/>
        <w:bottom w:val="none" w:sz="0" w:space="0" w:color="auto"/>
        <w:right w:val="none" w:sz="0" w:space="0" w:color="auto"/>
      </w:divBdr>
    </w:div>
    <w:div w:id="1194732849">
      <w:bodyDiv w:val="1"/>
      <w:marLeft w:val="0"/>
      <w:marRight w:val="0"/>
      <w:marTop w:val="0"/>
      <w:marBottom w:val="0"/>
      <w:divBdr>
        <w:top w:val="none" w:sz="0" w:space="0" w:color="auto"/>
        <w:left w:val="none" w:sz="0" w:space="0" w:color="auto"/>
        <w:bottom w:val="none" w:sz="0" w:space="0" w:color="auto"/>
        <w:right w:val="none" w:sz="0" w:space="0" w:color="auto"/>
      </w:divBdr>
    </w:div>
    <w:div w:id="1199708792">
      <w:bodyDiv w:val="1"/>
      <w:marLeft w:val="0"/>
      <w:marRight w:val="0"/>
      <w:marTop w:val="0"/>
      <w:marBottom w:val="0"/>
      <w:divBdr>
        <w:top w:val="none" w:sz="0" w:space="0" w:color="auto"/>
        <w:left w:val="none" w:sz="0" w:space="0" w:color="auto"/>
        <w:bottom w:val="none" w:sz="0" w:space="0" w:color="auto"/>
        <w:right w:val="none" w:sz="0" w:space="0" w:color="auto"/>
      </w:divBdr>
    </w:div>
    <w:div w:id="1200245445">
      <w:bodyDiv w:val="1"/>
      <w:marLeft w:val="0"/>
      <w:marRight w:val="0"/>
      <w:marTop w:val="0"/>
      <w:marBottom w:val="0"/>
      <w:divBdr>
        <w:top w:val="none" w:sz="0" w:space="0" w:color="auto"/>
        <w:left w:val="none" w:sz="0" w:space="0" w:color="auto"/>
        <w:bottom w:val="none" w:sz="0" w:space="0" w:color="auto"/>
        <w:right w:val="none" w:sz="0" w:space="0" w:color="auto"/>
      </w:divBdr>
    </w:div>
    <w:div w:id="1201624577">
      <w:bodyDiv w:val="1"/>
      <w:marLeft w:val="0"/>
      <w:marRight w:val="0"/>
      <w:marTop w:val="0"/>
      <w:marBottom w:val="0"/>
      <w:divBdr>
        <w:top w:val="none" w:sz="0" w:space="0" w:color="auto"/>
        <w:left w:val="none" w:sz="0" w:space="0" w:color="auto"/>
        <w:bottom w:val="none" w:sz="0" w:space="0" w:color="auto"/>
        <w:right w:val="none" w:sz="0" w:space="0" w:color="auto"/>
      </w:divBdr>
    </w:div>
    <w:div w:id="1204054150">
      <w:bodyDiv w:val="1"/>
      <w:marLeft w:val="0"/>
      <w:marRight w:val="0"/>
      <w:marTop w:val="0"/>
      <w:marBottom w:val="0"/>
      <w:divBdr>
        <w:top w:val="none" w:sz="0" w:space="0" w:color="auto"/>
        <w:left w:val="none" w:sz="0" w:space="0" w:color="auto"/>
        <w:bottom w:val="none" w:sz="0" w:space="0" w:color="auto"/>
        <w:right w:val="none" w:sz="0" w:space="0" w:color="auto"/>
      </w:divBdr>
    </w:div>
    <w:div w:id="1211264070">
      <w:bodyDiv w:val="1"/>
      <w:marLeft w:val="0"/>
      <w:marRight w:val="0"/>
      <w:marTop w:val="0"/>
      <w:marBottom w:val="0"/>
      <w:divBdr>
        <w:top w:val="none" w:sz="0" w:space="0" w:color="auto"/>
        <w:left w:val="none" w:sz="0" w:space="0" w:color="auto"/>
        <w:bottom w:val="none" w:sz="0" w:space="0" w:color="auto"/>
        <w:right w:val="none" w:sz="0" w:space="0" w:color="auto"/>
      </w:divBdr>
    </w:div>
    <w:div w:id="1212377621">
      <w:bodyDiv w:val="1"/>
      <w:marLeft w:val="0"/>
      <w:marRight w:val="0"/>
      <w:marTop w:val="0"/>
      <w:marBottom w:val="0"/>
      <w:divBdr>
        <w:top w:val="none" w:sz="0" w:space="0" w:color="auto"/>
        <w:left w:val="none" w:sz="0" w:space="0" w:color="auto"/>
        <w:bottom w:val="none" w:sz="0" w:space="0" w:color="auto"/>
        <w:right w:val="none" w:sz="0" w:space="0" w:color="auto"/>
      </w:divBdr>
    </w:div>
    <w:div w:id="1214929083">
      <w:bodyDiv w:val="1"/>
      <w:marLeft w:val="0"/>
      <w:marRight w:val="0"/>
      <w:marTop w:val="0"/>
      <w:marBottom w:val="0"/>
      <w:divBdr>
        <w:top w:val="none" w:sz="0" w:space="0" w:color="auto"/>
        <w:left w:val="none" w:sz="0" w:space="0" w:color="auto"/>
        <w:bottom w:val="none" w:sz="0" w:space="0" w:color="auto"/>
        <w:right w:val="none" w:sz="0" w:space="0" w:color="auto"/>
      </w:divBdr>
    </w:div>
    <w:div w:id="1215118696">
      <w:bodyDiv w:val="1"/>
      <w:marLeft w:val="0"/>
      <w:marRight w:val="0"/>
      <w:marTop w:val="0"/>
      <w:marBottom w:val="0"/>
      <w:divBdr>
        <w:top w:val="none" w:sz="0" w:space="0" w:color="auto"/>
        <w:left w:val="none" w:sz="0" w:space="0" w:color="auto"/>
        <w:bottom w:val="none" w:sz="0" w:space="0" w:color="auto"/>
        <w:right w:val="none" w:sz="0" w:space="0" w:color="auto"/>
      </w:divBdr>
    </w:div>
    <w:div w:id="1217281760">
      <w:bodyDiv w:val="1"/>
      <w:marLeft w:val="0"/>
      <w:marRight w:val="0"/>
      <w:marTop w:val="0"/>
      <w:marBottom w:val="0"/>
      <w:divBdr>
        <w:top w:val="none" w:sz="0" w:space="0" w:color="auto"/>
        <w:left w:val="none" w:sz="0" w:space="0" w:color="auto"/>
        <w:bottom w:val="none" w:sz="0" w:space="0" w:color="auto"/>
        <w:right w:val="none" w:sz="0" w:space="0" w:color="auto"/>
      </w:divBdr>
    </w:div>
    <w:div w:id="1220433583">
      <w:bodyDiv w:val="1"/>
      <w:marLeft w:val="0"/>
      <w:marRight w:val="0"/>
      <w:marTop w:val="0"/>
      <w:marBottom w:val="0"/>
      <w:divBdr>
        <w:top w:val="none" w:sz="0" w:space="0" w:color="auto"/>
        <w:left w:val="none" w:sz="0" w:space="0" w:color="auto"/>
        <w:bottom w:val="none" w:sz="0" w:space="0" w:color="auto"/>
        <w:right w:val="none" w:sz="0" w:space="0" w:color="auto"/>
      </w:divBdr>
    </w:div>
    <w:div w:id="1225096916">
      <w:bodyDiv w:val="1"/>
      <w:marLeft w:val="0"/>
      <w:marRight w:val="0"/>
      <w:marTop w:val="0"/>
      <w:marBottom w:val="0"/>
      <w:divBdr>
        <w:top w:val="none" w:sz="0" w:space="0" w:color="auto"/>
        <w:left w:val="none" w:sz="0" w:space="0" w:color="auto"/>
        <w:bottom w:val="none" w:sz="0" w:space="0" w:color="auto"/>
        <w:right w:val="none" w:sz="0" w:space="0" w:color="auto"/>
      </w:divBdr>
    </w:div>
    <w:div w:id="1232891780">
      <w:bodyDiv w:val="1"/>
      <w:marLeft w:val="0"/>
      <w:marRight w:val="0"/>
      <w:marTop w:val="0"/>
      <w:marBottom w:val="0"/>
      <w:divBdr>
        <w:top w:val="none" w:sz="0" w:space="0" w:color="auto"/>
        <w:left w:val="none" w:sz="0" w:space="0" w:color="auto"/>
        <w:bottom w:val="none" w:sz="0" w:space="0" w:color="auto"/>
        <w:right w:val="none" w:sz="0" w:space="0" w:color="auto"/>
      </w:divBdr>
    </w:div>
    <w:div w:id="1238397542">
      <w:bodyDiv w:val="1"/>
      <w:marLeft w:val="0"/>
      <w:marRight w:val="0"/>
      <w:marTop w:val="0"/>
      <w:marBottom w:val="0"/>
      <w:divBdr>
        <w:top w:val="none" w:sz="0" w:space="0" w:color="auto"/>
        <w:left w:val="none" w:sz="0" w:space="0" w:color="auto"/>
        <w:bottom w:val="none" w:sz="0" w:space="0" w:color="auto"/>
        <w:right w:val="none" w:sz="0" w:space="0" w:color="auto"/>
      </w:divBdr>
    </w:div>
    <w:div w:id="1238399631">
      <w:bodyDiv w:val="1"/>
      <w:marLeft w:val="0"/>
      <w:marRight w:val="0"/>
      <w:marTop w:val="0"/>
      <w:marBottom w:val="0"/>
      <w:divBdr>
        <w:top w:val="none" w:sz="0" w:space="0" w:color="auto"/>
        <w:left w:val="none" w:sz="0" w:space="0" w:color="auto"/>
        <w:bottom w:val="none" w:sz="0" w:space="0" w:color="auto"/>
        <w:right w:val="none" w:sz="0" w:space="0" w:color="auto"/>
      </w:divBdr>
    </w:div>
    <w:div w:id="1238974294">
      <w:bodyDiv w:val="1"/>
      <w:marLeft w:val="0"/>
      <w:marRight w:val="0"/>
      <w:marTop w:val="0"/>
      <w:marBottom w:val="0"/>
      <w:divBdr>
        <w:top w:val="none" w:sz="0" w:space="0" w:color="auto"/>
        <w:left w:val="none" w:sz="0" w:space="0" w:color="auto"/>
        <w:bottom w:val="none" w:sz="0" w:space="0" w:color="auto"/>
        <w:right w:val="none" w:sz="0" w:space="0" w:color="auto"/>
      </w:divBdr>
    </w:div>
    <w:div w:id="1245727146">
      <w:bodyDiv w:val="1"/>
      <w:marLeft w:val="0"/>
      <w:marRight w:val="0"/>
      <w:marTop w:val="0"/>
      <w:marBottom w:val="0"/>
      <w:divBdr>
        <w:top w:val="none" w:sz="0" w:space="0" w:color="auto"/>
        <w:left w:val="none" w:sz="0" w:space="0" w:color="auto"/>
        <w:bottom w:val="none" w:sz="0" w:space="0" w:color="auto"/>
        <w:right w:val="none" w:sz="0" w:space="0" w:color="auto"/>
      </w:divBdr>
    </w:div>
    <w:div w:id="1247031137">
      <w:bodyDiv w:val="1"/>
      <w:marLeft w:val="0"/>
      <w:marRight w:val="0"/>
      <w:marTop w:val="0"/>
      <w:marBottom w:val="0"/>
      <w:divBdr>
        <w:top w:val="none" w:sz="0" w:space="0" w:color="auto"/>
        <w:left w:val="none" w:sz="0" w:space="0" w:color="auto"/>
        <w:bottom w:val="none" w:sz="0" w:space="0" w:color="auto"/>
        <w:right w:val="none" w:sz="0" w:space="0" w:color="auto"/>
      </w:divBdr>
    </w:div>
    <w:div w:id="1248611526">
      <w:bodyDiv w:val="1"/>
      <w:marLeft w:val="0"/>
      <w:marRight w:val="0"/>
      <w:marTop w:val="0"/>
      <w:marBottom w:val="0"/>
      <w:divBdr>
        <w:top w:val="none" w:sz="0" w:space="0" w:color="auto"/>
        <w:left w:val="none" w:sz="0" w:space="0" w:color="auto"/>
        <w:bottom w:val="none" w:sz="0" w:space="0" w:color="auto"/>
        <w:right w:val="none" w:sz="0" w:space="0" w:color="auto"/>
      </w:divBdr>
    </w:div>
    <w:div w:id="1252471169">
      <w:bodyDiv w:val="1"/>
      <w:marLeft w:val="0"/>
      <w:marRight w:val="0"/>
      <w:marTop w:val="0"/>
      <w:marBottom w:val="0"/>
      <w:divBdr>
        <w:top w:val="none" w:sz="0" w:space="0" w:color="auto"/>
        <w:left w:val="none" w:sz="0" w:space="0" w:color="auto"/>
        <w:bottom w:val="none" w:sz="0" w:space="0" w:color="auto"/>
        <w:right w:val="none" w:sz="0" w:space="0" w:color="auto"/>
      </w:divBdr>
    </w:div>
    <w:div w:id="1255240220">
      <w:bodyDiv w:val="1"/>
      <w:marLeft w:val="0"/>
      <w:marRight w:val="0"/>
      <w:marTop w:val="0"/>
      <w:marBottom w:val="0"/>
      <w:divBdr>
        <w:top w:val="none" w:sz="0" w:space="0" w:color="auto"/>
        <w:left w:val="none" w:sz="0" w:space="0" w:color="auto"/>
        <w:bottom w:val="none" w:sz="0" w:space="0" w:color="auto"/>
        <w:right w:val="none" w:sz="0" w:space="0" w:color="auto"/>
      </w:divBdr>
    </w:div>
    <w:div w:id="1257521073">
      <w:bodyDiv w:val="1"/>
      <w:marLeft w:val="0"/>
      <w:marRight w:val="0"/>
      <w:marTop w:val="0"/>
      <w:marBottom w:val="0"/>
      <w:divBdr>
        <w:top w:val="none" w:sz="0" w:space="0" w:color="auto"/>
        <w:left w:val="none" w:sz="0" w:space="0" w:color="auto"/>
        <w:bottom w:val="none" w:sz="0" w:space="0" w:color="auto"/>
        <w:right w:val="none" w:sz="0" w:space="0" w:color="auto"/>
      </w:divBdr>
    </w:div>
    <w:div w:id="1257594301">
      <w:bodyDiv w:val="1"/>
      <w:marLeft w:val="0"/>
      <w:marRight w:val="0"/>
      <w:marTop w:val="0"/>
      <w:marBottom w:val="0"/>
      <w:divBdr>
        <w:top w:val="none" w:sz="0" w:space="0" w:color="auto"/>
        <w:left w:val="none" w:sz="0" w:space="0" w:color="auto"/>
        <w:bottom w:val="none" w:sz="0" w:space="0" w:color="auto"/>
        <w:right w:val="none" w:sz="0" w:space="0" w:color="auto"/>
      </w:divBdr>
    </w:div>
    <w:div w:id="1266383636">
      <w:bodyDiv w:val="1"/>
      <w:marLeft w:val="0"/>
      <w:marRight w:val="0"/>
      <w:marTop w:val="0"/>
      <w:marBottom w:val="0"/>
      <w:divBdr>
        <w:top w:val="none" w:sz="0" w:space="0" w:color="auto"/>
        <w:left w:val="none" w:sz="0" w:space="0" w:color="auto"/>
        <w:bottom w:val="none" w:sz="0" w:space="0" w:color="auto"/>
        <w:right w:val="none" w:sz="0" w:space="0" w:color="auto"/>
      </w:divBdr>
    </w:div>
    <w:div w:id="1274558654">
      <w:bodyDiv w:val="1"/>
      <w:marLeft w:val="0"/>
      <w:marRight w:val="0"/>
      <w:marTop w:val="0"/>
      <w:marBottom w:val="0"/>
      <w:divBdr>
        <w:top w:val="none" w:sz="0" w:space="0" w:color="auto"/>
        <w:left w:val="none" w:sz="0" w:space="0" w:color="auto"/>
        <w:bottom w:val="none" w:sz="0" w:space="0" w:color="auto"/>
        <w:right w:val="none" w:sz="0" w:space="0" w:color="auto"/>
      </w:divBdr>
    </w:div>
    <w:div w:id="1279262773">
      <w:bodyDiv w:val="1"/>
      <w:marLeft w:val="0"/>
      <w:marRight w:val="0"/>
      <w:marTop w:val="0"/>
      <w:marBottom w:val="0"/>
      <w:divBdr>
        <w:top w:val="none" w:sz="0" w:space="0" w:color="auto"/>
        <w:left w:val="none" w:sz="0" w:space="0" w:color="auto"/>
        <w:bottom w:val="none" w:sz="0" w:space="0" w:color="auto"/>
        <w:right w:val="none" w:sz="0" w:space="0" w:color="auto"/>
      </w:divBdr>
    </w:div>
    <w:div w:id="1279265210">
      <w:bodyDiv w:val="1"/>
      <w:marLeft w:val="0"/>
      <w:marRight w:val="0"/>
      <w:marTop w:val="0"/>
      <w:marBottom w:val="0"/>
      <w:divBdr>
        <w:top w:val="none" w:sz="0" w:space="0" w:color="auto"/>
        <w:left w:val="none" w:sz="0" w:space="0" w:color="auto"/>
        <w:bottom w:val="none" w:sz="0" w:space="0" w:color="auto"/>
        <w:right w:val="none" w:sz="0" w:space="0" w:color="auto"/>
      </w:divBdr>
    </w:div>
    <w:div w:id="1285042218">
      <w:bodyDiv w:val="1"/>
      <w:marLeft w:val="0"/>
      <w:marRight w:val="0"/>
      <w:marTop w:val="0"/>
      <w:marBottom w:val="0"/>
      <w:divBdr>
        <w:top w:val="none" w:sz="0" w:space="0" w:color="auto"/>
        <w:left w:val="none" w:sz="0" w:space="0" w:color="auto"/>
        <w:bottom w:val="none" w:sz="0" w:space="0" w:color="auto"/>
        <w:right w:val="none" w:sz="0" w:space="0" w:color="auto"/>
      </w:divBdr>
    </w:div>
    <w:div w:id="1285501308">
      <w:bodyDiv w:val="1"/>
      <w:marLeft w:val="0"/>
      <w:marRight w:val="0"/>
      <w:marTop w:val="0"/>
      <w:marBottom w:val="0"/>
      <w:divBdr>
        <w:top w:val="none" w:sz="0" w:space="0" w:color="auto"/>
        <w:left w:val="none" w:sz="0" w:space="0" w:color="auto"/>
        <w:bottom w:val="none" w:sz="0" w:space="0" w:color="auto"/>
        <w:right w:val="none" w:sz="0" w:space="0" w:color="auto"/>
      </w:divBdr>
    </w:div>
    <w:div w:id="1289315193">
      <w:bodyDiv w:val="1"/>
      <w:marLeft w:val="0"/>
      <w:marRight w:val="0"/>
      <w:marTop w:val="0"/>
      <w:marBottom w:val="0"/>
      <w:divBdr>
        <w:top w:val="none" w:sz="0" w:space="0" w:color="auto"/>
        <w:left w:val="none" w:sz="0" w:space="0" w:color="auto"/>
        <w:bottom w:val="none" w:sz="0" w:space="0" w:color="auto"/>
        <w:right w:val="none" w:sz="0" w:space="0" w:color="auto"/>
      </w:divBdr>
    </w:div>
    <w:div w:id="1293360654">
      <w:bodyDiv w:val="1"/>
      <w:marLeft w:val="0"/>
      <w:marRight w:val="0"/>
      <w:marTop w:val="0"/>
      <w:marBottom w:val="0"/>
      <w:divBdr>
        <w:top w:val="none" w:sz="0" w:space="0" w:color="auto"/>
        <w:left w:val="none" w:sz="0" w:space="0" w:color="auto"/>
        <w:bottom w:val="none" w:sz="0" w:space="0" w:color="auto"/>
        <w:right w:val="none" w:sz="0" w:space="0" w:color="auto"/>
      </w:divBdr>
    </w:div>
    <w:div w:id="1294170759">
      <w:bodyDiv w:val="1"/>
      <w:marLeft w:val="0"/>
      <w:marRight w:val="0"/>
      <w:marTop w:val="0"/>
      <w:marBottom w:val="0"/>
      <w:divBdr>
        <w:top w:val="none" w:sz="0" w:space="0" w:color="auto"/>
        <w:left w:val="none" w:sz="0" w:space="0" w:color="auto"/>
        <w:bottom w:val="none" w:sz="0" w:space="0" w:color="auto"/>
        <w:right w:val="none" w:sz="0" w:space="0" w:color="auto"/>
      </w:divBdr>
    </w:div>
    <w:div w:id="1294798320">
      <w:bodyDiv w:val="1"/>
      <w:marLeft w:val="0"/>
      <w:marRight w:val="0"/>
      <w:marTop w:val="0"/>
      <w:marBottom w:val="0"/>
      <w:divBdr>
        <w:top w:val="none" w:sz="0" w:space="0" w:color="auto"/>
        <w:left w:val="none" w:sz="0" w:space="0" w:color="auto"/>
        <w:bottom w:val="none" w:sz="0" w:space="0" w:color="auto"/>
        <w:right w:val="none" w:sz="0" w:space="0" w:color="auto"/>
      </w:divBdr>
    </w:div>
    <w:div w:id="1295019311">
      <w:bodyDiv w:val="1"/>
      <w:marLeft w:val="0"/>
      <w:marRight w:val="0"/>
      <w:marTop w:val="0"/>
      <w:marBottom w:val="0"/>
      <w:divBdr>
        <w:top w:val="none" w:sz="0" w:space="0" w:color="auto"/>
        <w:left w:val="none" w:sz="0" w:space="0" w:color="auto"/>
        <w:bottom w:val="none" w:sz="0" w:space="0" w:color="auto"/>
        <w:right w:val="none" w:sz="0" w:space="0" w:color="auto"/>
      </w:divBdr>
    </w:div>
    <w:div w:id="1298141293">
      <w:bodyDiv w:val="1"/>
      <w:marLeft w:val="0"/>
      <w:marRight w:val="0"/>
      <w:marTop w:val="0"/>
      <w:marBottom w:val="0"/>
      <w:divBdr>
        <w:top w:val="none" w:sz="0" w:space="0" w:color="auto"/>
        <w:left w:val="none" w:sz="0" w:space="0" w:color="auto"/>
        <w:bottom w:val="none" w:sz="0" w:space="0" w:color="auto"/>
        <w:right w:val="none" w:sz="0" w:space="0" w:color="auto"/>
      </w:divBdr>
    </w:div>
    <w:div w:id="1299189731">
      <w:bodyDiv w:val="1"/>
      <w:marLeft w:val="0"/>
      <w:marRight w:val="0"/>
      <w:marTop w:val="0"/>
      <w:marBottom w:val="0"/>
      <w:divBdr>
        <w:top w:val="none" w:sz="0" w:space="0" w:color="auto"/>
        <w:left w:val="none" w:sz="0" w:space="0" w:color="auto"/>
        <w:bottom w:val="none" w:sz="0" w:space="0" w:color="auto"/>
        <w:right w:val="none" w:sz="0" w:space="0" w:color="auto"/>
      </w:divBdr>
    </w:div>
    <w:div w:id="1299844653">
      <w:bodyDiv w:val="1"/>
      <w:marLeft w:val="0"/>
      <w:marRight w:val="0"/>
      <w:marTop w:val="0"/>
      <w:marBottom w:val="0"/>
      <w:divBdr>
        <w:top w:val="none" w:sz="0" w:space="0" w:color="auto"/>
        <w:left w:val="none" w:sz="0" w:space="0" w:color="auto"/>
        <w:bottom w:val="none" w:sz="0" w:space="0" w:color="auto"/>
        <w:right w:val="none" w:sz="0" w:space="0" w:color="auto"/>
      </w:divBdr>
    </w:div>
    <w:div w:id="1300066008">
      <w:bodyDiv w:val="1"/>
      <w:marLeft w:val="0"/>
      <w:marRight w:val="0"/>
      <w:marTop w:val="0"/>
      <w:marBottom w:val="0"/>
      <w:divBdr>
        <w:top w:val="none" w:sz="0" w:space="0" w:color="auto"/>
        <w:left w:val="none" w:sz="0" w:space="0" w:color="auto"/>
        <w:bottom w:val="none" w:sz="0" w:space="0" w:color="auto"/>
        <w:right w:val="none" w:sz="0" w:space="0" w:color="auto"/>
      </w:divBdr>
    </w:div>
    <w:div w:id="1302072696">
      <w:bodyDiv w:val="1"/>
      <w:marLeft w:val="0"/>
      <w:marRight w:val="0"/>
      <w:marTop w:val="0"/>
      <w:marBottom w:val="0"/>
      <w:divBdr>
        <w:top w:val="none" w:sz="0" w:space="0" w:color="auto"/>
        <w:left w:val="none" w:sz="0" w:space="0" w:color="auto"/>
        <w:bottom w:val="none" w:sz="0" w:space="0" w:color="auto"/>
        <w:right w:val="none" w:sz="0" w:space="0" w:color="auto"/>
      </w:divBdr>
    </w:div>
    <w:div w:id="1304655715">
      <w:bodyDiv w:val="1"/>
      <w:marLeft w:val="0"/>
      <w:marRight w:val="0"/>
      <w:marTop w:val="0"/>
      <w:marBottom w:val="0"/>
      <w:divBdr>
        <w:top w:val="none" w:sz="0" w:space="0" w:color="auto"/>
        <w:left w:val="none" w:sz="0" w:space="0" w:color="auto"/>
        <w:bottom w:val="none" w:sz="0" w:space="0" w:color="auto"/>
        <w:right w:val="none" w:sz="0" w:space="0" w:color="auto"/>
      </w:divBdr>
    </w:div>
    <w:div w:id="1317998744">
      <w:bodyDiv w:val="1"/>
      <w:marLeft w:val="0"/>
      <w:marRight w:val="0"/>
      <w:marTop w:val="0"/>
      <w:marBottom w:val="0"/>
      <w:divBdr>
        <w:top w:val="none" w:sz="0" w:space="0" w:color="auto"/>
        <w:left w:val="none" w:sz="0" w:space="0" w:color="auto"/>
        <w:bottom w:val="none" w:sz="0" w:space="0" w:color="auto"/>
        <w:right w:val="none" w:sz="0" w:space="0" w:color="auto"/>
      </w:divBdr>
    </w:div>
    <w:div w:id="1318419225">
      <w:bodyDiv w:val="1"/>
      <w:marLeft w:val="0"/>
      <w:marRight w:val="0"/>
      <w:marTop w:val="0"/>
      <w:marBottom w:val="0"/>
      <w:divBdr>
        <w:top w:val="none" w:sz="0" w:space="0" w:color="auto"/>
        <w:left w:val="none" w:sz="0" w:space="0" w:color="auto"/>
        <w:bottom w:val="none" w:sz="0" w:space="0" w:color="auto"/>
        <w:right w:val="none" w:sz="0" w:space="0" w:color="auto"/>
      </w:divBdr>
    </w:div>
    <w:div w:id="1320503911">
      <w:bodyDiv w:val="1"/>
      <w:marLeft w:val="0"/>
      <w:marRight w:val="0"/>
      <w:marTop w:val="0"/>
      <w:marBottom w:val="0"/>
      <w:divBdr>
        <w:top w:val="none" w:sz="0" w:space="0" w:color="auto"/>
        <w:left w:val="none" w:sz="0" w:space="0" w:color="auto"/>
        <w:bottom w:val="none" w:sz="0" w:space="0" w:color="auto"/>
        <w:right w:val="none" w:sz="0" w:space="0" w:color="auto"/>
      </w:divBdr>
    </w:div>
    <w:div w:id="1321497961">
      <w:bodyDiv w:val="1"/>
      <w:marLeft w:val="0"/>
      <w:marRight w:val="0"/>
      <w:marTop w:val="0"/>
      <w:marBottom w:val="0"/>
      <w:divBdr>
        <w:top w:val="none" w:sz="0" w:space="0" w:color="auto"/>
        <w:left w:val="none" w:sz="0" w:space="0" w:color="auto"/>
        <w:bottom w:val="none" w:sz="0" w:space="0" w:color="auto"/>
        <w:right w:val="none" w:sz="0" w:space="0" w:color="auto"/>
      </w:divBdr>
    </w:div>
    <w:div w:id="1333265616">
      <w:bodyDiv w:val="1"/>
      <w:marLeft w:val="0"/>
      <w:marRight w:val="0"/>
      <w:marTop w:val="0"/>
      <w:marBottom w:val="0"/>
      <w:divBdr>
        <w:top w:val="none" w:sz="0" w:space="0" w:color="auto"/>
        <w:left w:val="none" w:sz="0" w:space="0" w:color="auto"/>
        <w:bottom w:val="none" w:sz="0" w:space="0" w:color="auto"/>
        <w:right w:val="none" w:sz="0" w:space="0" w:color="auto"/>
      </w:divBdr>
    </w:div>
    <w:div w:id="1333994889">
      <w:bodyDiv w:val="1"/>
      <w:marLeft w:val="0"/>
      <w:marRight w:val="0"/>
      <w:marTop w:val="0"/>
      <w:marBottom w:val="0"/>
      <w:divBdr>
        <w:top w:val="none" w:sz="0" w:space="0" w:color="auto"/>
        <w:left w:val="none" w:sz="0" w:space="0" w:color="auto"/>
        <w:bottom w:val="none" w:sz="0" w:space="0" w:color="auto"/>
        <w:right w:val="none" w:sz="0" w:space="0" w:color="auto"/>
      </w:divBdr>
    </w:div>
    <w:div w:id="1336305338">
      <w:bodyDiv w:val="1"/>
      <w:marLeft w:val="0"/>
      <w:marRight w:val="0"/>
      <w:marTop w:val="0"/>
      <w:marBottom w:val="0"/>
      <w:divBdr>
        <w:top w:val="none" w:sz="0" w:space="0" w:color="auto"/>
        <w:left w:val="none" w:sz="0" w:space="0" w:color="auto"/>
        <w:bottom w:val="none" w:sz="0" w:space="0" w:color="auto"/>
        <w:right w:val="none" w:sz="0" w:space="0" w:color="auto"/>
      </w:divBdr>
    </w:div>
    <w:div w:id="1337155367">
      <w:bodyDiv w:val="1"/>
      <w:marLeft w:val="0"/>
      <w:marRight w:val="0"/>
      <w:marTop w:val="0"/>
      <w:marBottom w:val="0"/>
      <w:divBdr>
        <w:top w:val="none" w:sz="0" w:space="0" w:color="auto"/>
        <w:left w:val="none" w:sz="0" w:space="0" w:color="auto"/>
        <w:bottom w:val="none" w:sz="0" w:space="0" w:color="auto"/>
        <w:right w:val="none" w:sz="0" w:space="0" w:color="auto"/>
      </w:divBdr>
    </w:div>
    <w:div w:id="1340235593">
      <w:bodyDiv w:val="1"/>
      <w:marLeft w:val="0"/>
      <w:marRight w:val="0"/>
      <w:marTop w:val="0"/>
      <w:marBottom w:val="0"/>
      <w:divBdr>
        <w:top w:val="none" w:sz="0" w:space="0" w:color="auto"/>
        <w:left w:val="none" w:sz="0" w:space="0" w:color="auto"/>
        <w:bottom w:val="none" w:sz="0" w:space="0" w:color="auto"/>
        <w:right w:val="none" w:sz="0" w:space="0" w:color="auto"/>
      </w:divBdr>
    </w:div>
    <w:div w:id="1346907633">
      <w:bodyDiv w:val="1"/>
      <w:marLeft w:val="0"/>
      <w:marRight w:val="0"/>
      <w:marTop w:val="0"/>
      <w:marBottom w:val="0"/>
      <w:divBdr>
        <w:top w:val="none" w:sz="0" w:space="0" w:color="auto"/>
        <w:left w:val="none" w:sz="0" w:space="0" w:color="auto"/>
        <w:bottom w:val="none" w:sz="0" w:space="0" w:color="auto"/>
        <w:right w:val="none" w:sz="0" w:space="0" w:color="auto"/>
      </w:divBdr>
    </w:div>
    <w:div w:id="1348828518">
      <w:bodyDiv w:val="1"/>
      <w:marLeft w:val="0"/>
      <w:marRight w:val="0"/>
      <w:marTop w:val="0"/>
      <w:marBottom w:val="0"/>
      <w:divBdr>
        <w:top w:val="none" w:sz="0" w:space="0" w:color="auto"/>
        <w:left w:val="none" w:sz="0" w:space="0" w:color="auto"/>
        <w:bottom w:val="none" w:sz="0" w:space="0" w:color="auto"/>
        <w:right w:val="none" w:sz="0" w:space="0" w:color="auto"/>
      </w:divBdr>
    </w:div>
    <w:div w:id="1349064540">
      <w:bodyDiv w:val="1"/>
      <w:marLeft w:val="0"/>
      <w:marRight w:val="0"/>
      <w:marTop w:val="0"/>
      <w:marBottom w:val="0"/>
      <w:divBdr>
        <w:top w:val="none" w:sz="0" w:space="0" w:color="auto"/>
        <w:left w:val="none" w:sz="0" w:space="0" w:color="auto"/>
        <w:bottom w:val="none" w:sz="0" w:space="0" w:color="auto"/>
        <w:right w:val="none" w:sz="0" w:space="0" w:color="auto"/>
      </w:divBdr>
    </w:div>
    <w:div w:id="1350107580">
      <w:bodyDiv w:val="1"/>
      <w:marLeft w:val="0"/>
      <w:marRight w:val="0"/>
      <w:marTop w:val="0"/>
      <w:marBottom w:val="0"/>
      <w:divBdr>
        <w:top w:val="none" w:sz="0" w:space="0" w:color="auto"/>
        <w:left w:val="none" w:sz="0" w:space="0" w:color="auto"/>
        <w:bottom w:val="none" w:sz="0" w:space="0" w:color="auto"/>
        <w:right w:val="none" w:sz="0" w:space="0" w:color="auto"/>
      </w:divBdr>
    </w:div>
    <w:div w:id="1353916826">
      <w:bodyDiv w:val="1"/>
      <w:marLeft w:val="0"/>
      <w:marRight w:val="0"/>
      <w:marTop w:val="0"/>
      <w:marBottom w:val="0"/>
      <w:divBdr>
        <w:top w:val="none" w:sz="0" w:space="0" w:color="auto"/>
        <w:left w:val="none" w:sz="0" w:space="0" w:color="auto"/>
        <w:bottom w:val="none" w:sz="0" w:space="0" w:color="auto"/>
        <w:right w:val="none" w:sz="0" w:space="0" w:color="auto"/>
      </w:divBdr>
    </w:div>
    <w:div w:id="1356689511">
      <w:bodyDiv w:val="1"/>
      <w:marLeft w:val="0"/>
      <w:marRight w:val="0"/>
      <w:marTop w:val="0"/>
      <w:marBottom w:val="0"/>
      <w:divBdr>
        <w:top w:val="none" w:sz="0" w:space="0" w:color="auto"/>
        <w:left w:val="none" w:sz="0" w:space="0" w:color="auto"/>
        <w:bottom w:val="none" w:sz="0" w:space="0" w:color="auto"/>
        <w:right w:val="none" w:sz="0" w:space="0" w:color="auto"/>
      </w:divBdr>
    </w:div>
    <w:div w:id="1356929616">
      <w:bodyDiv w:val="1"/>
      <w:marLeft w:val="0"/>
      <w:marRight w:val="0"/>
      <w:marTop w:val="0"/>
      <w:marBottom w:val="0"/>
      <w:divBdr>
        <w:top w:val="none" w:sz="0" w:space="0" w:color="auto"/>
        <w:left w:val="none" w:sz="0" w:space="0" w:color="auto"/>
        <w:bottom w:val="none" w:sz="0" w:space="0" w:color="auto"/>
        <w:right w:val="none" w:sz="0" w:space="0" w:color="auto"/>
      </w:divBdr>
    </w:div>
    <w:div w:id="1363634266">
      <w:bodyDiv w:val="1"/>
      <w:marLeft w:val="0"/>
      <w:marRight w:val="0"/>
      <w:marTop w:val="0"/>
      <w:marBottom w:val="0"/>
      <w:divBdr>
        <w:top w:val="none" w:sz="0" w:space="0" w:color="auto"/>
        <w:left w:val="none" w:sz="0" w:space="0" w:color="auto"/>
        <w:bottom w:val="none" w:sz="0" w:space="0" w:color="auto"/>
        <w:right w:val="none" w:sz="0" w:space="0" w:color="auto"/>
      </w:divBdr>
    </w:div>
    <w:div w:id="1364787431">
      <w:bodyDiv w:val="1"/>
      <w:marLeft w:val="0"/>
      <w:marRight w:val="0"/>
      <w:marTop w:val="0"/>
      <w:marBottom w:val="0"/>
      <w:divBdr>
        <w:top w:val="none" w:sz="0" w:space="0" w:color="auto"/>
        <w:left w:val="none" w:sz="0" w:space="0" w:color="auto"/>
        <w:bottom w:val="none" w:sz="0" w:space="0" w:color="auto"/>
        <w:right w:val="none" w:sz="0" w:space="0" w:color="auto"/>
      </w:divBdr>
    </w:div>
    <w:div w:id="1366059353">
      <w:bodyDiv w:val="1"/>
      <w:marLeft w:val="0"/>
      <w:marRight w:val="0"/>
      <w:marTop w:val="0"/>
      <w:marBottom w:val="0"/>
      <w:divBdr>
        <w:top w:val="none" w:sz="0" w:space="0" w:color="auto"/>
        <w:left w:val="none" w:sz="0" w:space="0" w:color="auto"/>
        <w:bottom w:val="none" w:sz="0" w:space="0" w:color="auto"/>
        <w:right w:val="none" w:sz="0" w:space="0" w:color="auto"/>
      </w:divBdr>
    </w:div>
    <w:div w:id="1366171987">
      <w:bodyDiv w:val="1"/>
      <w:marLeft w:val="0"/>
      <w:marRight w:val="0"/>
      <w:marTop w:val="0"/>
      <w:marBottom w:val="0"/>
      <w:divBdr>
        <w:top w:val="none" w:sz="0" w:space="0" w:color="auto"/>
        <w:left w:val="none" w:sz="0" w:space="0" w:color="auto"/>
        <w:bottom w:val="none" w:sz="0" w:space="0" w:color="auto"/>
        <w:right w:val="none" w:sz="0" w:space="0" w:color="auto"/>
      </w:divBdr>
    </w:div>
    <w:div w:id="1375694415">
      <w:bodyDiv w:val="1"/>
      <w:marLeft w:val="0"/>
      <w:marRight w:val="0"/>
      <w:marTop w:val="0"/>
      <w:marBottom w:val="0"/>
      <w:divBdr>
        <w:top w:val="none" w:sz="0" w:space="0" w:color="auto"/>
        <w:left w:val="none" w:sz="0" w:space="0" w:color="auto"/>
        <w:bottom w:val="none" w:sz="0" w:space="0" w:color="auto"/>
        <w:right w:val="none" w:sz="0" w:space="0" w:color="auto"/>
      </w:divBdr>
    </w:div>
    <w:div w:id="1378550430">
      <w:bodyDiv w:val="1"/>
      <w:marLeft w:val="0"/>
      <w:marRight w:val="0"/>
      <w:marTop w:val="0"/>
      <w:marBottom w:val="0"/>
      <w:divBdr>
        <w:top w:val="none" w:sz="0" w:space="0" w:color="auto"/>
        <w:left w:val="none" w:sz="0" w:space="0" w:color="auto"/>
        <w:bottom w:val="none" w:sz="0" w:space="0" w:color="auto"/>
        <w:right w:val="none" w:sz="0" w:space="0" w:color="auto"/>
      </w:divBdr>
    </w:div>
    <w:div w:id="1379165569">
      <w:bodyDiv w:val="1"/>
      <w:marLeft w:val="0"/>
      <w:marRight w:val="0"/>
      <w:marTop w:val="0"/>
      <w:marBottom w:val="0"/>
      <w:divBdr>
        <w:top w:val="none" w:sz="0" w:space="0" w:color="auto"/>
        <w:left w:val="none" w:sz="0" w:space="0" w:color="auto"/>
        <w:bottom w:val="none" w:sz="0" w:space="0" w:color="auto"/>
        <w:right w:val="none" w:sz="0" w:space="0" w:color="auto"/>
      </w:divBdr>
    </w:div>
    <w:div w:id="1382286280">
      <w:bodyDiv w:val="1"/>
      <w:marLeft w:val="0"/>
      <w:marRight w:val="0"/>
      <w:marTop w:val="0"/>
      <w:marBottom w:val="0"/>
      <w:divBdr>
        <w:top w:val="none" w:sz="0" w:space="0" w:color="auto"/>
        <w:left w:val="none" w:sz="0" w:space="0" w:color="auto"/>
        <w:bottom w:val="none" w:sz="0" w:space="0" w:color="auto"/>
        <w:right w:val="none" w:sz="0" w:space="0" w:color="auto"/>
      </w:divBdr>
    </w:div>
    <w:div w:id="1383948008">
      <w:bodyDiv w:val="1"/>
      <w:marLeft w:val="0"/>
      <w:marRight w:val="0"/>
      <w:marTop w:val="0"/>
      <w:marBottom w:val="0"/>
      <w:divBdr>
        <w:top w:val="none" w:sz="0" w:space="0" w:color="auto"/>
        <w:left w:val="none" w:sz="0" w:space="0" w:color="auto"/>
        <w:bottom w:val="none" w:sz="0" w:space="0" w:color="auto"/>
        <w:right w:val="none" w:sz="0" w:space="0" w:color="auto"/>
      </w:divBdr>
    </w:div>
    <w:div w:id="1384136477">
      <w:bodyDiv w:val="1"/>
      <w:marLeft w:val="0"/>
      <w:marRight w:val="0"/>
      <w:marTop w:val="0"/>
      <w:marBottom w:val="0"/>
      <w:divBdr>
        <w:top w:val="none" w:sz="0" w:space="0" w:color="auto"/>
        <w:left w:val="none" w:sz="0" w:space="0" w:color="auto"/>
        <w:bottom w:val="none" w:sz="0" w:space="0" w:color="auto"/>
        <w:right w:val="none" w:sz="0" w:space="0" w:color="auto"/>
      </w:divBdr>
    </w:div>
    <w:div w:id="1393583091">
      <w:bodyDiv w:val="1"/>
      <w:marLeft w:val="0"/>
      <w:marRight w:val="0"/>
      <w:marTop w:val="0"/>
      <w:marBottom w:val="0"/>
      <w:divBdr>
        <w:top w:val="none" w:sz="0" w:space="0" w:color="auto"/>
        <w:left w:val="none" w:sz="0" w:space="0" w:color="auto"/>
        <w:bottom w:val="none" w:sz="0" w:space="0" w:color="auto"/>
        <w:right w:val="none" w:sz="0" w:space="0" w:color="auto"/>
      </w:divBdr>
    </w:div>
    <w:div w:id="1394888064">
      <w:bodyDiv w:val="1"/>
      <w:marLeft w:val="0"/>
      <w:marRight w:val="0"/>
      <w:marTop w:val="0"/>
      <w:marBottom w:val="0"/>
      <w:divBdr>
        <w:top w:val="none" w:sz="0" w:space="0" w:color="auto"/>
        <w:left w:val="none" w:sz="0" w:space="0" w:color="auto"/>
        <w:bottom w:val="none" w:sz="0" w:space="0" w:color="auto"/>
        <w:right w:val="none" w:sz="0" w:space="0" w:color="auto"/>
      </w:divBdr>
    </w:div>
    <w:div w:id="1395472495">
      <w:bodyDiv w:val="1"/>
      <w:marLeft w:val="0"/>
      <w:marRight w:val="0"/>
      <w:marTop w:val="0"/>
      <w:marBottom w:val="0"/>
      <w:divBdr>
        <w:top w:val="none" w:sz="0" w:space="0" w:color="auto"/>
        <w:left w:val="none" w:sz="0" w:space="0" w:color="auto"/>
        <w:bottom w:val="none" w:sz="0" w:space="0" w:color="auto"/>
        <w:right w:val="none" w:sz="0" w:space="0" w:color="auto"/>
      </w:divBdr>
    </w:div>
    <w:div w:id="1403797414">
      <w:bodyDiv w:val="1"/>
      <w:marLeft w:val="0"/>
      <w:marRight w:val="0"/>
      <w:marTop w:val="0"/>
      <w:marBottom w:val="0"/>
      <w:divBdr>
        <w:top w:val="none" w:sz="0" w:space="0" w:color="auto"/>
        <w:left w:val="none" w:sz="0" w:space="0" w:color="auto"/>
        <w:bottom w:val="none" w:sz="0" w:space="0" w:color="auto"/>
        <w:right w:val="none" w:sz="0" w:space="0" w:color="auto"/>
      </w:divBdr>
    </w:div>
    <w:div w:id="1403986508">
      <w:bodyDiv w:val="1"/>
      <w:marLeft w:val="0"/>
      <w:marRight w:val="0"/>
      <w:marTop w:val="0"/>
      <w:marBottom w:val="0"/>
      <w:divBdr>
        <w:top w:val="none" w:sz="0" w:space="0" w:color="auto"/>
        <w:left w:val="none" w:sz="0" w:space="0" w:color="auto"/>
        <w:bottom w:val="none" w:sz="0" w:space="0" w:color="auto"/>
        <w:right w:val="none" w:sz="0" w:space="0" w:color="auto"/>
      </w:divBdr>
    </w:div>
    <w:div w:id="1413431167">
      <w:bodyDiv w:val="1"/>
      <w:marLeft w:val="0"/>
      <w:marRight w:val="0"/>
      <w:marTop w:val="0"/>
      <w:marBottom w:val="0"/>
      <w:divBdr>
        <w:top w:val="none" w:sz="0" w:space="0" w:color="auto"/>
        <w:left w:val="none" w:sz="0" w:space="0" w:color="auto"/>
        <w:bottom w:val="none" w:sz="0" w:space="0" w:color="auto"/>
        <w:right w:val="none" w:sz="0" w:space="0" w:color="auto"/>
      </w:divBdr>
    </w:div>
    <w:div w:id="1416510471">
      <w:bodyDiv w:val="1"/>
      <w:marLeft w:val="0"/>
      <w:marRight w:val="0"/>
      <w:marTop w:val="0"/>
      <w:marBottom w:val="0"/>
      <w:divBdr>
        <w:top w:val="none" w:sz="0" w:space="0" w:color="auto"/>
        <w:left w:val="none" w:sz="0" w:space="0" w:color="auto"/>
        <w:bottom w:val="none" w:sz="0" w:space="0" w:color="auto"/>
        <w:right w:val="none" w:sz="0" w:space="0" w:color="auto"/>
      </w:divBdr>
    </w:div>
    <w:div w:id="1416704990">
      <w:bodyDiv w:val="1"/>
      <w:marLeft w:val="0"/>
      <w:marRight w:val="0"/>
      <w:marTop w:val="0"/>
      <w:marBottom w:val="0"/>
      <w:divBdr>
        <w:top w:val="none" w:sz="0" w:space="0" w:color="auto"/>
        <w:left w:val="none" w:sz="0" w:space="0" w:color="auto"/>
        <w:bottom w:val="none" w:sz="0" w:space="0" w:color="auto"/>
        <w:right w:val="none" w:sz="0" w:space="0" w:color="auto"/>
      </w:divBdr>
    </w:div>
    <w:div w:id="1418672555">
      <w:bodyDiv w:val="1"/>
      <w:marLeft w:val="0"/>
      <w:marRight w:val="0"/>
      <w:marTop w:val="0"/>
      <w:marBottom w:val="0"/>
      <w:divBdr>
        <w:top w:val="none" w:sz="0" w:space="0" w:color="auto"/>
        <w:left w:val="none" w:sz="0" w:space="0" w:color="auto"/>
        <w:bottom w:val="none" w:sz="0" w:space="0" w:color="auto"/>
        <w:right w:val="none" w:sz="0" w:space="0" w:color="auto"/>
      </w:divBdr>
    </w:div>
    <w:div w:id="1421099372">
      <w:bodyDiv w:val="1"/>
      <w:marLeft w:val="0"/>
      <w:marRight w:val="0"/>
      <w:marTop w:val="0"/>
      <w:marBottom w:val="0"/>
      <w:divBdr>
        <w:top w:val="none" w:sz="0" w:space="0" w:color="auto"/>
        <w:left w:val="none" w:sz="0" w:space="0" w:color="auto"/>
        <w:bottom w:val="none" w:sz="0" w:space="0" w:color="auto"/>
        <w:right w:val="none" w:sz="0" w:space="0" w:color="auto"/>
      </w:divBdr>
    </w:div>
    <w:div w:id="1423449270">
      <w:bodyDiv w:val="1"/>
      <w:marLeft w:val="0"/>
      <w:marRight w:val="0"/>
      <w:marTop w:val="0"/>
      <w:marBottom w:val="0"/>
      <w:divBdr>
        <w:top w:val="none" w:sz="0" w:space="0" w:color="auto"/>
        <w:left w:val="none" w:sz="0" w:space="0" w:color="auto"/>
        <w:bottom w:val="none" w:sz="0" w:space="0" w:color="auto"/>
        <w:right w:val="none" w:sz="0" w:space="0" w:color="auto"/>
      </w:divBdr>
    </w:div>
    <w:div w:id="1426921711">
      <w:bodyDiv w:val="1"/>
      <w:marLeft w:val="0"/>
      <w:marRight w:val="0"/>
      <w:marTop w:val="0"/>
      <w:marBottom w:val="0"/>
      <w:divBdr>
        <w:top w:val="none" w:sz="0" w:space="0" w:color="auto"/>
        <w:left w:val="none" w:sz="0" w:space="0" w:color="auto"/>
        <w:bottom w:val="none" w:sz="0" w:space="0" w:color="auto"/>
        <w:right w:val="none" w:sz="0" w:space="0" w:color="auto"/>
      </w:divBdr>
    </w:div>
    <w:div w:id="1427775520">
      <w:bodyDiv w:val="1"/>
      <w:marLeft w:val="0"/>
      <w:marRight w:val="0"/>
      <w:marTop w:val="0"/>
      <w:marBottom w:val="0"/>
      <w:divBdr>
        <w:top w:val="none" w:sz="0" w:space="0" w:color="auto"/>
        <w:left w:val="none" w:sz="0" w:space="0" w:color="auto"/>
        <w:bottom w:val="none" w:sz="0" w:space="0" w:color="auto"/>
        <w:right w:val="none" w:sz="0" w:space="0" w:color="auto"/>
      </w:divBdr>
    </w:div>
    <w:div w:id="1429082994">
      <w:bodyDiv w:val="1"/>
      <w:marLeft w:val="0"/>
      <w:marRight w:val="0"/>
      <w:marTop w:val="0"/>
      <w:marBottom w:val="0"/>
      <w:divBdr>
        <w:top w:val="none" w:sz="0" w:space="0" w:color="auto"/>
        <w:left w:val="none" w:sz="0" w:space="0" w:color="auto"/>
        <w:bottom w:val="none" w:sz="0" w:space="0" w:color="auto"/>
        <w:right w:val="none" w:sz="0" w:space="0" w:color="auto"/>
      </w:divBdr>
    </w:div>
    <w:div w:id="1443181621">
      <w:bodyDiv w:val="1"/>
      <w:marLeft w:val="0"/>
      <w:marRight w:val="0"/>
      <w:marTop w:val="0"/>
      <w:marBottom w:val="0"/>
      <w:divBdr>
        <w:top w:val="none" w:sz="0" w:space="0" w:color="auto"/>
        <w:left w:val="none" w:sz="0" w:space="0" w:color="auto"/>
        <w:bottom w:val="none" w:sz="0" w:space="0" w:color="auto"/>
        <w:right w:val="none" w:sz="0" w:space="0" w:color="auto"/>
      </w:divBdr>
    </w:div>
    <w:div w:id="1443762728">
      <w:bodyDiv w:val="1"/>
      <w:marLeft w:val="0"/>
      <w:marRight w:val="0"/>
      <w:marTop w:val="0"/>
      <w:marBottom w:val="0"/>
      <w:divBdr>
        <w:top w:val="none" w:sz="0" w:space="0" w:color="auto"/>
        <w:left w:val="none" w:sz="0" w:space="0" w:color="auto"/>
        <w:bottom w:val="none" w:sz="0" w:space="0" w:color="auto"/>
        <w:right w:val="none" w:sz="0" w:space="0" w:color="auto"/>
      </w:divBdr>
    </w:div>
    <w:div w:id="1443843621">
      <w:bodyDiv w:val="1"/>
      <w:marLeft w:val="0"/>
      <w:marRight w:val="0"/>
      <w:marTop w:val="0"/>
      <w:marBottom w:val="0"/>
      <w:divBdr>
        <w:top w:val="none" w:sz="0" w:space="0" w:color="auto"/>
        <w:left w:val="none" w:sz="0" w:space="0" w:color="auto"/>
        <w:bottom w:val="none" w:sz="0" w:space="0" w:color="auto"/>
        <w:right w:val="none" w:sz="0" w:space="0" w:color="auto"/>
      </w:divBdr>
    </w:div>
    <w:div w:id="1445072746">
      <w:bodyDiv w:val="1"/>
      <w:marLeft w:val="0"/>
      <w:marRight w:val="0"/>
      <w:marTop w:val="0"/>
      <w:marBottom w:val="0"/>
      <w:divBdr>
        <w:top w:val="none" w:sz="0" w:space="0" w:color="auto"/>
        <w:left w:val="none" w:sz="0" w:space="0" w:color="auto"/>
        <w:bottom w:val="none" w:sz="0" w:space="0" w:color="auto"/>
        <w:right w:val="none" w:sz="0" w:space="0" w:color="auto"/>
      </w:divBdr>
    </w:div>
    <w:div w:id="1445081330">
      <w:bodyDiv w:val="1"/>
      <w:marLeft w:val="0"/>
      <w:marRight w:val="0"/>
      <w:marTop w:val="0"/>
      <w:marBottom w:val="0"/>
      <w:divBdr>
        <w:top w:val="none" w:sz="0" w:space="0" w:color="auto"/>
        <w:left w:val="none" w:sz="0" w:space="0" w:color="auto"/>
        <w:bottom w:val="none" w:sz="0" w:space="0" w:color="auto"/>
        <w:right w:val="none" w:sz="0" w:space="0" w:color="auto"/>
      </w:divBdr>
    </w:div>
    <w:div w:id="1445609639">
      <w:bodyDiv w:val="1"/>
      <w:marLeft w:val="0"/>
      <w:marRight w:val="0"/>
      <w:marTop w:val="0"/>
      <w:marBottom w:val="0"/>
      <w:divBdr>
        <w:top w:val="none" w:sz="0" w:space="0" w:color="auto"/>
        <w:left w:val="none" w:sz="0" w:space="0" w:color="auto"/>
        <w:bottom w:val="none" w:sz="0" w:space="0" w:color="auto"/>
        <w:right w:val="none" w:sz="0" w:space="0" w:color="auto"/>
      </w:divBdr>
    </w:div>
    <w:div w:id="1448424386">
      <w:bodyDiv w:val="1"/>
      <w:marLeft w:val="0"/>
      <w:marRight w:val="0"/>
      <w:marTop w:val="0"/>
      <w:marBottom w:val="0"/>
      <w:divBdr>
        <w:top w:val="none" w:sz="0" w:space="0" w:color="auto"/>
        <w:left w:val="none" w:sz="0" w:space="0" w:color="auto"/>
        <w:bottom w:val="none" w:sz="0" w:space="0" w:color="auto"/>
        <w:right w:val="none" w:sz="0" w:space="0" w:color="auto"/>
      </w:divBdr>
    </w:div>
    <w:div w:id="1448543874">
      <w:bodyDiv w:val="1"/>
      <w:marLeft w:val="0"/>
      <w:marRight w:val="0"/>
      <w:marTop w:val="0"/>
      <w:marBottom w:val="0"/>
      <w:divBdr>
        <w:top w:val="none" w:sz="0" w:space="0" w:color="auto"/>
        <w:left w:val="none" w:sz="0" w:space="0" w:color="auto"/>
        <w:bottom w:val="none" w:sz="0" w:space="0" w:color="auto"/>
        <w:right w:val="none" w:sz="0" w:space="0" w:color="auto"/>
      </w:divBdr>
    </w:div>
    <w:div w:id="1449082521">
      <w:bodyDiv w:val="1"/>
      <w:marLeft w:val="0"/>
      <w:marRight w:val="0"/>
      <w:marTop w:val="0"/>
      <w:marBottom w:val="0"/>
      <w:divBdr>
        <w:top w:val="none" w:sz="0" w:space="0" w:color="auto"/>
        <w:left w:val="none" w:sz="0" w:space="0" w:color="auto"/>
        <w:bottom w:val="none" w:sz="0" w:space="0" w:color="auto"/>
        <w:right w:val="none" w:sz="0" w:space="0" w:color="auto"/>
      </w:divBdr>
    </w:div>
    <w:div w:id="1449742355">
      <w:bodyDiv w:val="1"/>
      <w:marLeft w:val="0"/>
      <w:marRight w:val="0"/>
      <w:marTop w:val="0"/>
      <w:marBottom w:val="0"/>
      <w:divBdr>
        <w:top w:val="none" w:sz="0" w:space="0" w:color="auto"/>
        <w:left w:val="none" w:sz="0" w:space="0" w:color="auto"/>
        <w:bottom w:val="none" w:sz="0" w:space="0" w:color="auto"/>
        <w:right w:val="none" w:sz="0" w:space="0" w:color="auto"/>
      </w:divBdr>
    </w:div>
    <w:div w:id="1451434293">
      <w:bodyDiv w:val="1"/>
      <w:marLeft w:val="0"/>
      <w:marRight w:val="0"/>
      <w:marTop w:val="0"/>
      <w:marBottom w:val="0"/>
      <w:divBdr>
        <w:top w:val="none" w:sz="0" w:space="0" w:color="auto"/>
        <w:left w:val="none" w:sz="0" w:space="0" w:color="auto"/>
        <w:bottom w:val="none" w:sz="0" w:space="0" w:color="auto"/>
        <w:right w:val="none" w:sz="0" w:space="0" w:color="auto"/>
      </w:divBdr>
    </w:div>
    <w:div w:id="1453209691">
      <w:bodyDiv w:val="1"/>
      <w:marLeft w:val="0"/>
      <w:marRight w:val="0"/>
      <w:marTop w:val="0"/>
      <w:marBottom w:val="0"/>
      <w:divBdr>
        <w:top w:val="none" w:sz="0" w:space="0" w:color="auto"/>
        <w:left w:val="none" w:sz="0" w:space="0" w:color="auto"/>
        <w:bottom w:val="none" w:sz="0" w:space="0" w:color="auto"/>
        <w:right w:val="none" w:sz="0" w:space="0" w:color="auto"/>
      </w:divBdr>
    </w:div>
    <w:div w:id="1453859777">
      <w:bodyDiv w:val="1"/>
      <w:marLeft w:val="0"/>
      <w:marRight w:val="0"/>
      <w:marTop w:val="0"/>
      <w:marBottom w:val="0"/>
      <w:divBdr>
        <w:top w:val="none" w:sz="0" w:space="0" w:color="auto"/>
        <w:left w:val="none" w:sz="0" w:space="0" w:color="auto"/>
        <w:bottom w:val="none" w:sz="0" w:space="0" w:color="auto"/>
        <w:right w:val="none" w:sz="0" w:space="0" w:color="auto"/>
      </w:divBdr>
    </w:div>
    <w:div w:id="1454210743">
      <w:bodyDiv w:val="1"/>
      <w:marLeft w:val="0"/>
      <w:marRight w:val="0"/>
      <w:marTop w:val="0"/>
      <w:marBottom w:val="0"/>
      <w:divBdr>
        <w:top w:val="none" w:sz="0" w:space="0" w:color="auto"/>
        <w:left w:val="none" w:sz="0" w:space="0" w:color="auto"/>
        <w:bottom w:val="none" w:sz="0" w:space="0" w:color="auto"/>
        <w:right w:val="none" w:sz="0" w:space="0" w:color="auto"/>
      </w:divBdr>
    </w:div>
    <w:div w:id="1455514018">
      <w:bodyDiv w:val="1"/>
      <w:marLeft w:val="0"/>
      <w:marRight w:val="0"/>
      <w:marTop w:val="0"/>
      <w:marBottom w:val="0"/>
      <w:divBdr>
        <w:top w:val="none" w:sz="0" w:space="0" w:color="auto"/>
        <w:left w:val="none" w:sz="0" w:space="0" w:color="auto"/>
        <w:bottom w:val="none" w:sz="0" w:space="0" w:color="auto"/>
        <w:right w:val="none" w:sz="0" w:space="0" w:color="auto"/>
      </w:divBdr>
    </w:div>
    <w:div w:id="1461878064">
      <w:bodyDiv w:val="1"/>
      <w:marLeft w:val="0"/>
      <w:marRight w:val="0"/>
      <w:marTop w:val="0"/>
      <w:marBottom w:val="0"/>
      <w:divBdr>
        <w:top w:val="none" w:sz="0" w:space="0" w:color="auto"/>
        <w:left w:val="none" w:sz="0" w:space="0" w:color="auto"/>
        <w:bottom w:val="none" w:sz="0" w:space="0" w:color="auto"/>
        <w:right w:val="none" w:sz="0" w:space="0" w:color="auto"/>
      </w:divBdr>
    </w:div>
    <w:div w:id="1469056271">
      <w:bodyDiv w:val="1"/>
      <w:marLeft w:val="0"/>
      <w:marRight w:val="0"/>
      <w:marTop w:val="0"/>
      <w:marBottom w:val="0"/>
      <w:divBdr>
        <w:top w:val="none" w:sz="0" w:space="0" w:color="auto"/>
        <w:left w:val="none" w:sz="0" w:space="0" w:color="auto"/>
        <w:bottom w:val="none" w:sz="0" w:space="0" w:color="auto"/>
        <w:right w:val="none" w:sz="0" w:space="0" w:color="auto"/>
      </w:divBdr>
    </w:div>
    <w:div w:id="1474521627">
      <w:bodyDiv w:val="1"/>
      <w:marLeft w:val="0"/>
      <w:marRight w:val="0"/>
      <w:marTop w:val="0"/>
      <w:marBottom w:val="0"/>
      <w:divBdr>
        <w:top w:val="none" w:sz="0" w:space="0" w:color="auto"/>
        <w:left w:val="none" w:sz="0" w:space="0" w:color="auto"/>
        <w:bottom w:val="none" w:sz="0" w:space="0" w:color="auto"/>
        <w:right w:val="none" w:sz="0" w:space="0" w:color="auto"/>
      </w:divBdr>
    </w:div>
    <w:div w:id="1475173639">
      <w:bodyDiv w:val="1"/>
      <w:marLeft w:val="0"/>
      <w:marRight w:val="0"/>
      <w:marTop w:val="0"/>
      <w:marBottom w:val="0"/>
      <w:divBdr>
        <w:top w:val="none" w:sz="0" w:space="0" w:color="auto"/>
        <w:left w:val="none" w:sz="0" w:space="0" w:color="auto"/>
        <w:bottom w:val="none" w:sz="0" w:space="0" w:color="auto"/>
        <w:right w:val="none" w:sz="0" w:space="0" w:color="auto"/>
      </w:divBdr>
    </w:div>
    <w:div w:id="1479876547">
      <w:bodyDiv w:val="1"/>
      <w:marLeft w:val="0"/>
      <w:marRight w:val="0"/>
      <w:marTop w:val="0"/>
      <w:marBottom w:val="0"/>
      <w:divBdr>
        <w:top w:val="none" w:sz="0" w:space="0" w:color="auto"/>
        <w:left w:val="none" w:sz="0" w:space="0" w:color="auto"/>
        <w:bottom w:val="none" w:sz="0" w:space="0" w:color="auto"/>
        <w:right w:val="none" w:sz="0" w:space="0" w:color="auto"/>
      </w:divBdr>
    </w:div>
    <w:div w:id="1484858789">
      <w:bodyDiv w:val="1"/>
      <w:marLeft w:val="0"/>
      <w:marRight w:val="0"/>
      <w:marTop w:val="0"/>
      <w:marBottom w:val="0"/>
      <w:divBdr>
        <w:top w:val="none" w:sz="0" w:space="0" w:color="auto"/>
        <w:left w:val="none" w:sz="0" w:space="0" w:color="auto"/>
        <w:bottom w:val="none" w:sz="0" w:space="0" w:color="auto"/>
        <w:right w:val="none" w:sz="0" w:space="0" w:color="auto"/>
      </w:divBdr>
    </w:div>
    <w:div w:id="1489519272">
      <w:bodyDiv w:val="1"/>
      <w:marLeft w:val="0"/>
      <w:marRight w:val="0"/>
      <w:marTop w:val="0"/>
      <w:marBottom w:val="0"/>
      <w:divBdr>
        <w:top w:val="none" w:sz="0" w:space="0" w:color="auto"/>
        <w:left w:val="none" w:sz="0" w:space="0" w:color="auto"/>
        <w:bottom w:val="none" w:sz="0" w:space="0" w:color="auto"/>
        <w:right w:val="none" w:sz="0" w:space="0" w:color="auto"/>
      </w:divBdr>
    </w:div>
    <w:div w:id="1490175027">
      <w:bodyDiv w:val="1"/>
      <w:marLeft w:val="0"/>
      <w:marRight w:val="0"/>
      <w:marTop w:val="0"/>
      <w:marBottom w:val="0"/>
      <w:divBdr>
        <w:top w:val="none" w:sz="0" w:space="0" w:color="auto"/>
        <w:left w:val="none" w:sz="0" w:space="0" w:color="auto"/>
        <w:bottom w:val="none" w:sz="0" w:space="0" w:color="auto"/>
        <w:right w:val="none" w:sz="0" w:space="0" w:color="auto"/>
      </w:divBdr>
    </w:div>
    <w:div w:id="1493644209">
      <w:bodyDiv w:val="1"/>
      <w:marLeft w:val="0"/>
      <w:marRight w:val="0"/>
      <w:marTop w:val="0"/>
      <w:marBottom w:val="0"/>
      <w:divBdr>
        <w:top w:val="none" w:sz="0" w:space="0" w:color="auto"/>
        <w:left w:val="none" w:sz="0" w:space="0" w:color="auto"/>
        <w:bottom w:val="none" w:sz="0" w:space="0" w:color="auto"/>
        <w:right w:val="none" w:sz="0" w:space="0" w:color="auto"/>
      </w:divBdr>
    </w:div>
    <w:div w:id="1495343625">
      <w:bodyDiv w:val="1"/>
      <w:marLeft w:val="0"/>
      <w:marRight w:val="0"/>
      <w:marTop w:val="0"/>
      <w:marBottom w:val="0"/>
      <w:divBdr>
        <w:top w:val="none" w:sz="0" w:space="0" w:color="auto"/>
        <w:left w:val="none" w:sz="0" w:space="0" w:color="auto"/>
        <w:bottom w:val="none" w:sz="0" w:space="0" w:color="auto"/>
        <w:right w:val="none" w:sz="0" w:space="0" w:color="auto"/>
      </w:divBdr>
    </w:div>
    <w:div w:id="1496260319">
      <w:bodyDiv w:val="1"/>
      <w:marLeft w:val="0"/>
      <w:marRight w:val="0"/>
      <w:marTop w:val="0"/>
      <w:marBottom w:val="0"/>
      <w:divBdr>
        <w:top w:val="none" w:sz="0" w:space="0" w:color="auto"/>
        <w:left w:val="none" w:sz="0" w:space="0" w:color="auto"/>
        <w:bottom w:val="none" w:sz="0" w:space="0" w:color="auto"/>
        <w:right w:val="none" w:sz="0" w:space="0" w:color="auto"/>
      </w:divBdr>
    </w:div>
    <w:div w:id="1497383810">
      <w:bodyDiv w:val="1"/>
      <w:marLeft w:val="0"/>
      <w:marRight w:val="0"/>
      <w:marTop w:val="0"/>
      <w:marBottom w:val="0"/>
      <w:divBdr>
        <w:top w:val="none" w:sz="0" w:space="0" w:color="auto"/>
        <w:left w:val="none" w:sz="0" w:space="0" w:color="auto"/>
        <w:bottom w:val="none" w:sz="0" w:space="0" w:color="auto"/>
        <w:right w:val="none" w:sz="0" w:space="0" w:color="auto"/>
      </w:divBdr>
    </w:div>
    <w:div w:id="1501776909">
      <w:bodyDiv w:val="1"/>
      <w:marLeft w:val="0"/>
      <w:marRight w:val="0"/>
      <w:marTop w:val="0"/>
      <w:marBottom w:val="0"/>
      <w:divBdr>
        <w:top w:val="none" w:sz="0" w:space="0" w:color="auto"/>
        <w:left w:val="none" w:sz="0" w:space="0" w:color="auto"/>
        <w:bottom w:val="none" w:sz="0" w:space="0" w:color="auto"/>
        <w:right w:val="none" w:sz="0" w:space="0" w:color="auto"/>
      </w:divBdr>
    </w:div>
    <w:div w:id="1504203772">
      <w:bodyDiv w:val="1"/>
      <w:marLeft w:val="0"/>
      <w:marRight w:val="0"/>
      <w:marTop w:val="0"/>
      <w:marBottom w:val="0"/>
      <w:divBdr>
        <w:top w:val="none" w:sz="0" w:space="0" w:color="auto"/>
        <w:left w:val="none" w:sz="0" w:space="0" w:color="auto"/>
        <w:bottom w:val="none" w:sz="0" w:space="0" w:color="auto"/>
        <w:right w:val="none" w:sz="0" w:space="0" w:color="auto"/>
      </w:divBdr>
    </w:div>
    <w:div w:id="1504971217">
      <w:bodyDiv w:val="1"/>
      <w:marLeft w:val="0"/>
      <w:marRight w:val="0"/>
      <w:marTop w:val="0"/>
      <w:marBottom w:val="0"/>
      <w:divBdr>
        <w:top w:val="none" w:sz="0" w:space="0" w:color="auto"/>
        <w:left w:val="none" w:sz="0" w:space="0" w:color="auto"/>
        <w:bottom w:val="none" w:sz="0" w:space="0" w:color="auto"/>
        <w:right w:val="none" w:sz="0" w:space="0" w:color="auto"/>
      </w:divBdr>
    </w:div>
    <w:div w:id="1506281404">
      <w:bodyDiv w:val="1"/>
      <w:marLeft w:val="0"/>
      <w:marRight w:val="0"/>
      <w:marTop w:val="0"/>
      <w:marBottom w:val="0"/>
      <w:divBdr>
        <w:top w:val="none" w:sz="0" w:space="0" w:color="auto"/>
        <w:left w:val="none" w:sz="0" w:space="0" w:color="auto"/>
        <w:bottom w:val="none" w:sz="0" w:space="0" w:color="auto"/>
        <w:right w:val="none" w:sz="0" w:space="0" w:color="auto"/>
      </w:divBdr>
    </w:div>
    <w:div w:id="1516382966">
      <w:bodyDiv w:val="1"/>
      <w:marLeft w:val="0"/>
      <w:marRight w:val="0"/>
      <w:marTop w:val="0"/>
      <w:marBottom w:val="0"/>
      <w:divBdr>
        <w:top w:val="none" w:sz="0" w:space="0" w:color="auto"/>
        <w:left w:val="none" w:sz="0" w:space="0" w:color="auto"/>
        <w:bottom w:val="none" w:sz="0" w:space="0" w:color="auto"/>
        <w:right w:val="none" w:sz="0" w:space="0" w:color="auto"/>
      </w:divBdr>
    </w:div>
    <w:div w:id="1520855846">
      <w:bodyDiv w:val="1"/>
      <w:marLeft w:val="0"/>
      <w:marRight w:val="0"/>
      <w:marTop w:val="0"/>
      <w:marBottom w:val="0"/>
      <w:divBdr>
        <w:top w:val="none" w:sz="0" w:space="0" w:color="auto"/>
        <w:left w:val="none" w:sz="0" w:space="0" w:color="auto"/>
        <w:bottom w:val="none" w:sz="0" w:space="0" w:color="auto"/>
        <w:right w:val="none" w:sz="0" w:space="0" w:color="auto"/>
      </w:divBdr>
    </w:div>
    <w:div w:id="1524637470">
      <w:bodyDiv w:val="1"/>
      <w:marLeft w:val="0"/>
      <w:marRight w:val="0"/>
      <w:marTop w:val="0"/>
      <w:marBottom w:val="0"/>
      <w:divBdr>
        <w:top w:val="none" w:sz="0" w:space="0" w:color="auto"/>
        <w:left w:val="none" w:sz="0" w:space="0" w:color="auto"/>
        <w:bottom w:val="none" w:sz="0" w:space="0" w:color="auto"/>
        <w:right w:val="none" w:sz="0" w:space="0" w:color="auto"/>
      </w:divBdr>
    </w:div>
    <w:div w:id="1525510599">
      <w:bodyDiv w:val="1"/>
      <w:marLeft w:val="0"/>
      <w:marRight w:val="0"/>
      <w:marTop w:val="0"/>
      <w:marBottom w:val="0"/>
      <w:divBdr>
        <w:top w:val="none" w:sz="0" w:space="0" w:color="auto"/>
        <w:left w:val="none" w:sz="0" w:space="0" w:color="auto"/>
        <w:bottom w:val="none" w:sz="0" w:space="0" w:color="auto"/>
        <w:right w:val="none" w:sz="0" w:space="0" w:color="auto"/>
      </w:divBdr>
    </w:div>
    <w:div w:id="1526166665">
      <w:bodyDiv w:val="1"/>
      <w:marLeft w:val="0"/>
      <w:marRight w:val="0"/>
      <w:marTop w:val="0"/>
      <w:marBottom w:val="0"/>
      <w:divBdr>
        <w:top w:val="none" w:sz="0" w:space="0" w:color="auto"/>
        <w:left w:val="none" w:sz="0" w:space="0" w:color="auto"/>
        <w:bottom w:val="none" w:sz="0" w:space="0" w:color="auto"/>
        <w:right w:val="none" w:sz="0" w:space="0" w:color="auto"/>
      </w:divBdr>
    </w:div>
    <w:div w:id="1533808791">
      <w:bodyDiv w:val="1"/>
      <w:marLeft w:val="0"/>
      <w:marRight w:val="0"/>
      <w:marTop w:val="0"/>
      <w:marBottom w:val="0"/>
      <w:divBdr>
        <w:top w:val="none" w:sz="0" w:space="0" w:color="auto"/>
        <w:left w:val="none" w:sz="0" w:space="0" w:color="auto"/>
        <w:bottom w:val="none" w:sz="0" w:space="0" w:color="auto"/>
        <w:right w:val="none" w:sz="0" w:space="0" w:color="auto"/>
      </w:divBdr>
    </w:div>
    <w:div w:id="1534222211">
      <w:bodyDiv w:val="1"/>
      <w:marLeft w:val="0"/>
      <w:marRight w:val="0"/>
      <w:marTop w:val="0"/>
      <w:marBottom w:val="0"/>
      <w:divBdr>
        <w:top w:val="none" w:sz="0" w:space="0" w:color="auto"/>
        <w:left w:val="none" w:sz="0" w:space="0" w:color="auto"/>
        <w:bottom w:val="none" w:sz="0" w:space="0" w:color="auto"/>
        <w:right w:val="none" w:sz="0" w:space="0" w:color="auto"/>
      </w:divBdr>
    </w:div>
    <w:div w:id="1538351735">
      <w:bodyDiv w:val="1"/>
      <w:marLeft w:val="0"/>
      <w:marRight w:val="0"/>
      <w:marTop w:val="0"/>
      <w:marBottom w:val="0"/>
      <w:divBdr>
        <w:top w:val="none" w:sz="0" w:space="0" w:color="auto"/>
        <w:left w:val="none" w:sz="0" w:space="0" w:color="auto"/>
        <w:bottom w:val="none" w:sz="0" w:space="0" w:color="auto"/>
        <w:right w:val="none" w:sz="0" w:space="0" w:color="auto"/>
      </w:divBdr>
    </w:div>
    <w:div w:id="1540778013">
      <w:bodyDiv w:val="1"/>
      <w:marLeft w:val="0"/>
      <w:marRight w:val="0"/>
      <w:marTop w:val="0"/>
      <w:marBottom w:val="0"/>
      <w:divBdr>
        <w:top w:val="none" w:sz="0" w:space="0" w:color="auto"/>
        <w:left w:val="none" w:sz="0" w:space="0" w:color="auto"/>
        <w:bottom w:val="none" w:sz="0" w:space="0" w:color="auto"/>
        <w:right w:val="none" w:sz="0" w:space="0" w:color="auto"/>
      </w:divBdr>
    </w:div>
    <w:div w:id="1546214769">
      <w:bodyDiv w:val="1"/>
      <w:marLeft w:val="0"/>
      <w:marRight w:val="0"/>
      <w:marTop w:val="0"/>
      <w:marBottom w:val="0"/>
      <w:divBdr>
        <w:top w:val="none" w:sz="0" w:space="0" w:color="auto"/>
        <w:left w:val="none" w:sz="0" w:space="0" w:color="auto"/>
        <w:bottom w:val="none" w:sz="0" w:space="0" w:color="auto"/>
        <w:right w:val="none" w:sz="0" w:space="0" w:color="auto"/>
      </w:divBdr>
    </w:div>
    <w:div w:id="1549756170">
      <w:bodyDiv w:val="1"/>
      <w:marLeft w:val="0"/>
      <w:marRight w:val="0"/>
      <w:marTop w:val="0"/>
      <w:marBottom w:val="0"/>
      <w:divBdr>
        <w:top w:val="none" w:sz="0" w:space="0" w:color="auto"/>
        <w:left w:val="none" w:sz="0" w:space="0" w:color="auto"/>
        <w:bottom w:val="none" w:sz="0" w:space="0" w:color="auto"/>
        <w:right w:val="none" w:sz="0" w:space="0" w:color="auto"/>
      </w:divBdr>
    </w:div>
    <w:div w:id="1552768335">
      <w:bodyDiv w:val="1"/>
      <w:marLeft w:val="0"/>
      <w:marRight w:val="0"/>
      <w:marTop w:val="0"/>
      <w:marBottom w:val="0"/>
      <w:divBdr>
        <w:top w:val="none" w:sz="0" w:space="0" w:color="auto"/>
        <w:left w:val="none" w:sz="0" w:space="0" w:color="auto"/>
        <w:bottom w:val="none" w:sz="0" w:space="0" w:color="auto"/>
        <w:right w:val="none" w:sz="0" w:space="0" w:color="auto"/>
      </w:divBdr>
    </w:div>
    <w:div w:id="1554582842">
      <w:bodyDiv w:val="1"/>
      <w:marLeft w:val="0"/>
      <w:marRight w:val="0"/>
      <w:marTop w:val="0"/>
      <w:marBottom w:val="0"/>
      <w:divBdr>
        <w:top w:val="none" w:sz="0" w:space="0" w:color="auto"/>
        <w:left w:val="none" w:sz="0" w:space="0" w:color="auto"/>
        <w:bottom w:val="none" w:sz="0" w:space="0" w:color="auto"/>
        <w:right w:val="none" w:sz="0" w:space="0" w:color="auto"/>
      </w:divBdr>
    </w:div>
    <w:div w:id="1555002615">
      <w:bodyDiv w:val="1"/>
      <w:marLeft w:val="0"/>
      <w:marRight w:val="0"/>
      <w:marTop w:val="0"/>
      <w:marBottom w:val="0"/>
      <w:divBdr>
        <w:top w:val="none" w:sz="0" w:space="0" w:color="auto"/>
        <w:left w:val="none" w:sz="0" w:space="0" w:color="auto"/>
        <w:bottom w:val="none" w:sz="0" w:space="0" w:color="auto"/>
        <w:right w:val="none" w:sz="0" w:space="0" w:color="auto"/>
      </w:divBdr>
    </w:div>
    <w:div w:id="1556354639">
      <w:bodyDiv w:val="1"/>
      <w:marLeft w:val="0"/>
      <w:marRight w:val="0"/>
      <w:marTop w:val="0"/>
      <w:marBottom w:val="0"/>
      <w:divBdr>
        <w:top w:val="none" w:sz="0" w:space="0" w:color="auto"/>
        <w:left w:val="none" w:sz="0" w:space="0" w:color="auto"/>
        <w:bottom w:val="none" w:sz="0" w:space="0" w:color="auto"/>
        <w:right w:val="none" w:sz="0" w:space="0" w:color="auto"/>
      </w:divBdr>
    </w:div>
    <w:div w:id="1565599771">
      <w:bodyDiv w:val="1"/>
      <w:marLeft w:val="0"/>
      <w:marRight w:val="0"/>
      <w:marTop w:val="0"/>
      <w:marBottom w:val="0"/>
      <w:divBdr>
        <w:top w:val="none" w:sz="0" w:space="0" w:color="auto"/>
        <w:left w:val="none" w:sz="0" w:space="0" w:color="auto"/>
        <w:bottom w:val="none" w:sz="0" w:space="0" w:color="auto"/>
        <w:right w:val="none" w:sz="0" w:space="0" w:color="auto"/>
      </w:divBdr>
    </w:div>
    <w:div w:id="1567304818">
      <w:bodyDiv w:val="1"/>
      <w:marLeft w:val="0"/>
      <w:marRight w:val="0"/>
      <w:marTop w:val="0"/>
      <w:marBottom w:val="0"/>
      <w:divBdr>
        <w:top w:val="none" w:sz="0" w:space="0" w:color="auto"/>
        <w:left w:val="none" w:sz="0" w:space="0" w:color="auto"/>
        <w:bottom w:val="none" w:sz="0" w:space="0" w:color="auto"/>
        <w:right w:val="none" w:sz="0" w:space="0" w:color="auto"/>
      </w:divBdr>
    </w:div>
    <w:div w:id="1572158231">
      <w:bodyDiv w:val="1"/>
      <w:marLeft w:val="0"/>
      <w:marRight w:val="0"/>
      <w:marTop w:val="0"/>
      <w:marBottom w:val="0"/>
      <w:divBdr>
        <w:top w:val="none" w:sz="0" w:space="0" w:color="auto"/>
        <w:left w:val="none" w:sz="0" w:space="0" w:color="auto"/>
        <w:bottom w:val="none" w:sz="0" w:space="0" w:color="auto"/>
        <w:right w:val="none" w:sz="0" w:space="0" w:color="auto"/>
      </w:divBdr>
    </w:div>
    <w:div w:id="1573007405">
      <w:bodyDiv w:val="1"/>
      <w:marLeft w:val="0"/>
      <w:marRight w:val="0"/>
      <w:marTop w:val="0"/>
      <w:marBottom w:val="0"/>
      <w:divBdr>
        <w:top w:val="none" w:sz="0" w:space="0" w:color="auto"/>
        <w:left w:val="none" w:sz="0" w:space="0" w:color="auto"/>
        <w:bottom w:val="none" w:sz="0" w:space="0" w:color="auto"/>
        <w:right w:val="none" w:sz="0" w:space="0" w:color="auto"/>
      </w:divBdr>
    </w:div>
    <w:div w:id="1573081626">
      <w:bodyDiv w:val="1"/>
      <w:marLeft w:val="0"/>
      <w:marRight w:val="0"/>
      <w:marTop w:val="0"/>
      <w:marBottom w:val="0"/>
      <w:divBdr>
        <w:top w:val="none" w:sz="0" w:space="0" w:color="auto"/>
        <w:left w:val="none" w:sz="0" w:space="0" w:color="auto"/>
        <w:bottom w:val="none" w:sz="0" w:space="0" w:color="auto"/>
        <w:right w:val="none" w:sz="0" w:space="0" w:color="auto"/>
      </w:divBdr>
    </w:div>
    <w:div w:id="1573348115">
      <w:bodyDiv w:val="1"/>
      <w:marLeft w:val="0"/>
      <w:marRight w:val="0"/>
      <w:marTop w:val="0"/>
      <w:marBottom w:val="0"/>
      <w:divBdr>
        <w:top w:val="none" w:sz="0" w:space="0" w:color="auto"/>
        <w:left w:val="none" w:sz="0" w:space="0" w:color="auto"/>
        <w:bottom w:val="none" w:sz="0" w:space="0" w:color="auto"/>
        <w:right w:val="none" w:sz="0" w:space="0" w:color="auto"/>
      </w:divBdr>
    </w:div>
    <w:div w:id="1575119462">
      <w:bodyDiv w:val="1"/>
      <w:marLeft w:val="0"/>
      <w:marRight w:val="0"/>
      <w:marTop w:val="0"/>
      <w:marBottom w:val="0"/>
      <w:divBdr>
        <w:top w:val="none" w:sz="0" w:space="0" w:color="auto"/>
        <w:left w:val="none" w:sz="0" w:space="0" w:color="auto"/>
        <w:bottom w:val="none" w:sz="0" w:space="0" w:color="auto"/>
        <w:right w:val="none" w:sz="0" w:space="0" w:color="auto"/>
      </w:divBdr>
    </w:div>
    <w:div w:id="1579945988">
      <w:bodyDiv w:val="1"/>
      <w:marLeft w:val="0"/>
      <w:marRight w:val="0"/>
      <w:marTop w:val="0"/>
      <w:marBottom w:val="0"/>
      <w:divBdr>
        <w:top w:val="none" w:sz="0" w:space="0" w:color="auto"/>
        <w:left w:val="none" w:sz="0" w:space="0" w:color="auto"/>
        <w:bottom w:val="none" w:sz="0" w:space="0" w:color="auto"/>
        <w:right w:val="none" w:sz="0" w:space="0" w:color="auto"/>
      </w:divBdr>
    </w:div>
    <w:div w:id="1580096846">
      <w:bodyDiv w:val="1"/>
      <w:marLeft w:val="0"/>
      <w:marRight w:val="0"/>
      <w:marTop w:val="0"/>
      <w:marBottom w:val="0"/>
      <w:divBdr>
        <w:top w:val="none" w:sz="0" w:space="0" w:color="auto"/>
        <w:left w:val="none" w:sz="0" w:space="0" w:color="auto"/>
        <w:bottom w:val="none" w:sz="0" w:space="0" w:color="auto"/>
        <w:right w:val="none" w:sz="0" w:space="0" w:color="auto"/>
      </w:divBdr>
    </w:div>
    <w:div w:id="1581525041">
      <w:bodyDiv w:val="1"/>
      <w:marLeft w:val="0"/>
      <w:marRight w:val="0"/>
      <w:marTop w:val="0"/>
      <w:marBottom w:val="0"/>
      <w:divBdr>
        <w:top w:val="none" w:sz="0" w:space="0" w:color="auto"/>
        <w:left w:val="none" w:sz="0" w:space="0" w:color="auto"/>
        <w:bottom w:val="none" w:sz="0" w:space="0" w:color="auto"/>
        <w:right w:val="none" w:sz="0" w:space="0" w:color="auto"/>
      </w:divBdr>
    </w:div>
    <w:div w:id="1582447822">
      <w:bodyDiv w:val="1"/>
      <w:marLeft w:val="0"/>
      <w:marRight w:val="0"/>
      <w:marTop w:val="0"/>
      <w:marBottom w:val="0"/>
      <w:divBdr>
        <w:top w:val="none" w:sz="0" w:space="0" w:color="auto"/>
        <w:left w:val="none" w:sz="0" w:space="0" w:color="auto"/>
        <w:bottom w:val="none" w:sz="0" w:space="0" w:color="auto"/>
        <w:right w:val="none" w:sz="0" w:space="0" w:color="auto"/>
      </w:divBdr>
    </w:div>
    <w:div w:id="1583493132">
      <w:bodyDiv w:val="1"/>
      <w:marLeft w:val="0"/>
      <w:marRight w:val="0"/>
      <w:marTop w:val="0"/>
      <w:marBottom w:val="0"/>
      <w:divBdr>
        <w:top w:val="none" w:sz="0" w:space="0" w:color="auto"/>
        <w:left w:val="none" w:sz="0" w:space="0" w:color="auto"/>
        <w:bottom w:val="none" w:sz="0" w:space="0" w:color="auto"/>
        <w:right w:val="none" w:sz="0" w:space="0" w:color="auto"/>
      </w:divBdr>
    </w:div>
    <w:div w:id="1590696733">
      <w:bodyDiv w:val="1"/>
      <w:marLeft w:val="0"/>
      <w:marRight w:val="0"/>
      <w:marTop w:val="0"/>
      <w:marBottom w:val="0"/>
      <w:divBdr>
        <w:top w:val="none" w:sz="0" w:space="0" w:color="auto"/>
        <w:left w:val="none" w:sz="0" w:space="0" w:color="auto"/>
        <w:bottom w:val="none" w:sz="0" w:space="0" w:color="auto"/>
        <w:right w:val="none" w:sz="0" w:space="0" w:color="auto"/>
      </w:divBdr>
    </w:div>
    <w:div w:id="1603877718">
      <w:bodyDiv w:val="1"/>
      <w:marLeft w:val="0"/>
      <w:marRight w:val="0"/>
      <w:marTop w:val="0"/>
      <w:marBottom w:val="0"/>
      <w:divBdr>
        <w:top w:val="none" w:sz="0" w:space="0" w:color="auto"/>
        <w:left w:val="none" w:sz="0" w:space="0" w:color="auto"/>
        <w:bottom w:val="none" w:sz="0" w:space="0" w:color="auto"/>
        <w:right w:val="none" w:sz="0" w:space="0" w:color="auto"/>
      </w:divBdr>
    </w:div>
    <w:div w:id="1605529398">
      <w:bodyDiv w:val="1"/>
      <w:marLeft w:val="0"/>
      <w:marRight w:val="0"/>
      <w:marTop w:val="0"/>
      <w:marBottom w:val="0"/>
      <w:divBdr>
        <w:top w:val="none" w:sz="0" w:space="0" w:color="auto"/>
        <w:left w:val="none" w:sz="0" w:space="0" w:color="auto"/>
        <w:bottom w:val="none" w:sz="0" w:space="0" w:color="auto"/>
        <w:right w:val="none" w:sz="0" w:space="0" w:color="auto"/>
      </w:divBdr>
    </w:div>
    <w:div w:id="1609118674">
      <w:bodyDiv w:val="1"/>
      <w:marLeft w:val="0"/>
      <w:marRight w:val="0"/>
      <w:marTop w:val="0"/>
      <w:marBottom w:val="0"/>
      <w:divBdr>
        <w:top w:val="none" w:sz="0" w:space="0" w:color="auto"/>
        <w:left w:val="none" w:sz="0" w:space="0" w:color="auto"/>
        <w:bottom w:val="none" w:sz="0" w:space="0" w:color="auto"/>
        <w:right w:val="none" w:sz="0" w:space="0" w:color="auto"/>
      </w:divBdr>
    </w:div>
    <w:div w:id="1609313199">
      <w:bodyDiv w:val="1"/>
      <w:marLeft w:val="0"/>
      <w:marRight w:val="0"/>
      <w:marTop w:val="0"/>
      <w:marBottom w:val="0"/>
      <w:divBdr>
        <w:top w:val="none" w:sz="0" w:space="0" w:color="auto"/>
        <w:left w:val="none" w:sz="0" w:space="0" w:color="auto"/>
        <w:bottom w:val="none" w:sz="0" w:space="0" w:color="auto"/>
        <w:right w:val="none" w:sz="0" w:space="0" w:color="auto"/>
      </w:divBdr>
    </w:div>
    <w:div w:id="1615019792">
      <w:bodyDiv w:val="1"/>
      <w:marLeft w:val="0"/>
      <w:marRight w:val="0"/>
      <w:marTop w:val="0"/>
      <w:marBottom w:val="0"/>
      <w:divBdr>
        <w:top w:val="none" w:sz="0" w:space="0" w:color="auto"/>
        <w:left w:val="none" w:sz="0" w:space="0" w:color="auto"/>
        <w:bottom w:val="none" w:sz="0" w:space="0" w:color="auto"/>
        <w:right w:val="none" w:sz="0" w:space="0" w:color="auto"/>
      </w:divBdr>
    </w:div>
    <w:div w:id="1618176487">
      <w:bodyDiv w:val="1"/>
      <w:marLeft w:val="0"/>
      <w:marRight w:val="0"/>
      <w:marTop w:val="0"/>
      <w:marBottom w:val="0"/>
      <w:divBdr>
        <w:top w:val="none" w:sz="0" w:space="0" w:color="auto"/>
        <w:left w:val="none" w:sz="0" w:space="0" w:color="auto"/>
        <w:bottom w:val="none" w:sz="0" w:space="0" w:color="auto"/>
        <w:right w:val="none" w:sz="0" w:space="0" w:color="auto"/>
      </w:divBdr>
    </w:div>
    <w:div w:id="1618832620">
      <w:bodyDiv w:val="1"/>
      <w:marLeft w:val="0"/>
      <w:marRight w:val="0"/>
      <w:marTop w:val="0"/>
      <w:marBottom w:val="0"/>
      <w:divBdr>
        <w:top w:val="none" w:sz="0" w:space="0" w:color="auto"/>
        <w:left w:val="none" w:sz="0" w:space="0" w:color="auto"/>
        <w:bottom w:val="none" w:sz="0" w:space="0" w:color="auto"/>
        <w:right w:val="none" w:sz="0" w:space="0" w:color="auto"/>
      </w:divBdr>
    </w:div>
    <w:div w:id="1619097724">
      <w:bodyDiv w:val="1"/>
      <w:marLeft w:val="0"/>
      <w:marRight w:val="0"/>
      <w:marTop w:val="0"/>
      <w:marBottom w:val="0"/>
      <w:divBdr>
        <w:top w:val="none" w:sz="0" w:space="0" w:color="auto"/>
        <w:left w:val="none" w:sz="0" w:space="0" w:color="auto"/>
        <w:bottom w:val="none" w:sz="0" w:space="0" w:color="auto"/>
        <w:right w:val="none" w:sz="0" w:space="0" w:color="auto"/>
      </w:divBdr>
    </w:div>
    <w:div w:id="1619797328">
      <w:bodyDiv w:val="1"/>
      <w:marLeft w:val="0"/>
      <w:marRight w:val="0"/>
      <w:marTop w:val="0"/>
      <w:marBottom w:val="0"/>
      <w:divBdr>
        <w:top w:val="none" w:sz="0" w:space="0" w:color="auto"/>
        <w:left w:val="none" w:sz="0" w:space="0" w:color="auto"/>
        <w:bottom w:val="none" w:sz="0" w:space="0" w:color="auto"/>
        <w:right w:val="none" w:sz="0" w:space="0" w:color="auto"/>
      </w:divBdr>
    </w:div>
    <w:div w:id="1625456521">
      <w:bodyDiv w:val="1"/>
      <w:marLeft w:val="0"/>
      <w:marRight w:val="0"/>
      <w:marTop w:val="0"/>
      <w:marBottom w:val="0"/>
      <w:divBdr>
        <w:top w:val="none" w:sz="0" w:space="0" w:color="auto"/>
        <w:left w:val="none" w:sz="0" w:space="0" w:color="auto"/>
        <w:bottom w:val="none" w:sz="0" w:space="0" w:color="auto"/>
        <w:right w:val="none" w:sz="0" w:space="0" w:color="auto"/>
      </w:divBdr>
    </w:div>
    <w:div w:id="1626473052">
      <w:bodyDiv w:val="1"/>
      <w:marLeft w:val="0"/>
      <w:marRight w:val="0"/>
      <w:marTop w:val="0"/>
      <w:marBottom w:val="0"/>
      <w:divBdr>
        <w:top w:val="none" w:sz="0" w:space="0" w:color="auto"/>
        <w:left w:val="none" w:sz="0" w:space="0" w:color="auto"/>
        <w:bottom w:val="none" w:sz="0" w:space="0" w:color="auto"/>
        <w:right w:val="none" w:sz="0" w:space="0" w:color="auto"/>
      </w:divBdr>
    </w:div>
    <w:div w:id="1631550305">
      <w:bodyDiv w:val="1"/>
      <w:marLeft w:val="0"/>
      <w:marRight w:val="0"/>
      <w:marTop w:val="0"/>
      <w:marBottom w:val="0"/>
      <w:divBdr>
        <w:top w:val="none" w:sz="0" w:space="0" w:color="auto"/>
        <w:left w:val="none" w:sz="0" w:space="0" w:color="auto"/>
        <w:bottom w:val="none" w:sz="0" w:space="0" w:color="auto"/>
        <w:right w:val="none" w:sz="0" w:space="0" w:color="auto"/>
      </w:divBdr>
    </w:div>
    <w:div w:id="1641770112">
      <w:bodyDiv w:val="1"/>
      <w:marLeft w:val="0"/>
      <w:marRight w:val="0"/>
      <w:marTop w:val="0"/>
      <w:marBottom w:val="0"/>
      <w:divBdr>
        <w:top w:val="none" w:sz="0" w:space="0" w:color="auto"/>
        <w:left w:val="none" w:sz="0" w:space="0" w:color="auto"/>
        <w:bottom w:val="none" w:sz="0" w:space="0" w:color="auto"/>
        <w:right w:val="none" w:sz="0" w:space="0" w:color="auto"/>
      </w:divBdr>
    </w:div>
    <w:div w:id="1648392926">
      <w:bodyDiv w:val="1"/>
      <w:marLeft w:val="0"/>
      <w:marRight w:val="0"/>
      <w:marTop w:val="0"/>
      <w:marBottom w:val="0"/>
      <w:divBdr>
        <w:top w:val="none" w:sz="0" w:space="0" w:color="auto"/>
        <w:left w:val="none" w:sz="0" w:space="0" w:color="auto"/>
        <w:bottom w:val="none" w:sz="0" w:space="0" w:color="auto"/>
        <w:right w:val="none" w:sz="0" w:space="0" w:color="auto"/>
      </w:divBdr>
    </w:div>
    <w:div w:id="1651863793">
      <w:bodyDiv w:val="1"/>
      <w:marLeft w:val="0"/>
      <w:marRight w:val="0"/>
      <w:marTop w:val="0"/>
      <w:marBottom w:val="0"/>
      <w:divBdr>
        <w:top w:val="none" w:sz="0" w:space="0" w:color="auto"/>
        <w:left w:val="none" w:sz="0" w:space="0" w:color="auto"/>
        <w:bottom w:val="none" w:sz="0" w:space="0" w:color="auto"/>
        <w:right w:val="none" w:sz="0" w:space="0" w:color="auto"/>
      </w:divBdr>
    </w:div>
    <w:div w:id="1654485282">
      <w:bodyDiv w:val="1"/>
      <w:marLeft w:val="0"/>
      <w:marRight w:val="0"/>
      <w:marTop w:val="0"/>
      <w:marBottom w:val="0"/>
      <w:divBdr>
        <w:top w:val="none" w:sz="0" w:space="0" w:color="auto"/>
        <w:left w:val="none" w:sz="0" w:space="0" w:color="auto"/>
        <w:bottom w:val="none" w:sz="0" w:space="0" w:color="auto"/>
        <w:right w:val="none" w:sz="0" w:space="0" w:color="auto"/>
      </w:divBdr>
    </w:div>
    <w:div w:id="1654750218">
      <w:bodyDiv w:val="1"/>
      <w:marLeft w:val="0"/>
      <w:marRight w:val="0"/>
      <w:marTop w:val="0"/>
      <w:marBottom w:val="0"/>
      <w:divBdr>
        <w:top w:val="none" w:sz="0" w:space="0" w:color="auto"/>
        <w:left w:val="none" w:sz="0" w:space="0" w:color="auto"/>
        <w:bottom w:val="none" w:sz="0" w:space="0" w:color="auto"/>
        <w:right w:val="none" w:sz="0" w:space="0" w:color="auto"/>
      </w:divBdr>
    </w:div>
    <w:div w:id="1657762847">
      <w:bodyDiv w:val="1"/>
      <w:marLeft w:val="0"/>
      <w:marRight w:val="0"/>
      <w:marTop w:val="0"/>
      <w:marBottom w:val="0"/>
      <w:divBdr>
        <w:top w:val="none" w:sz="0" w:space="0" w:color="auto"/>
        <w:left w:val="none" w:sz="0" w:space="0" w:color="auto"/>
        <w:bottom w:val="none" w:sz="0" w:space="0" w:color="auto"/>
        <w:right w:val="none" w:sz="0" w:space="0" w:color="auto"/>
      </w:divBdr>
    </w:div>
    <w:div w:id="1660426187">
      <w:bodyDiv w:val="1"/>
      <w:marLeft w:val="0"/>
      <w:marRight w:val="0"/>
      <w:marTop w:val="0"/>
      <w:marBottom w:val="0"/>
      <w:divBdr>
        <w:top w:val="none" w:sz="0" w:space="0" w:color="auto"/>
        <w:left w:val="none" w:sz="0" w:space="0" w:color="auto"/>
        <w:bottom w:val="none" w:sz="0" w:space="0" w:color="auto"/>
        <w:right w:val="none" w:sz="0" w:space="0" w:color="auto"/>
      </w:divBdr>
    </w:div>
    <w:div w:id="1672754679">
      <w:bodyDiv w:val="1"/>
      <w:marLeft w:val="0"/>
      <w:marRight w:val="0"/>
      <w:marTop w:val="0"/>
      <w:marBottom w:val="0"/>
      <w:divBdr>
        <w:top w:val="none" w:sz="0" w:space="0" w:color="auto"/>
        <w:left w:val="none" w:sz="0" w:space="0" w:color="auto"/>
        <w:bottom w:val="none" w:sz="0" w:space="0" w:color="auto"/>
        <w:right w:val="none" w:sz="0" w:space="0" w:color="auto"/>
      </w:divBdr>
    </w:div>
    <w:div w:id="1675382288">
      <w:bodyDiv w:val="1"/>
      <w:marLeft w:val="0"/>
      <w:marRight w:val="0"/>
      <w:marTop w:val="0"/>
      <w:marBottom w:val="0"/>
      <w:divBdr>
        <w:top w:val="none" w:sz="0" w:space="0" w:color="auto"/>
        <w:left w:val="none" w:sz="0" w:space="0" w:color="auto"/>
        <w:bottom w:val="none" w:sz="0" w:space="0" w:color="auto"/>
        <w:right w:val="none" w:sz="0" w:space="0" w:color="auto"/>
      </w:divBdr>
    </w:div>
    <w:div w:id="1692684953">
      <w:bodyDiv w:val="1"/>
      <w:marLeft w:val="0"/>
      <w:marRight w:val="0"/>
      <w:marTop w:val="0"/>
      <w:marBottom w:val="0"/>
      <w:divBdr>
        <w:top w:val="none" w:sz="0" w:space="0" w:color="auto"/>
        <w:left w:val="none" w:sz="0" w:space="0" w:color="auto"/>
        <w:bottom w:val="none" w:sz="0" w:space="0" w:color="auto"/>
        <w:right w:val="none" w:sz="0" w:space="0" w:color="auto"/>
      </w:divBdr>
    </w:div>
    <w:div w:id="1700397850">
      <w:bodyDiv w:val="1"/>
      <w:marLeft w:val="0"/>
      <w:marRight w:val="0"/>
      <w:marTop w:val="0"/>
      <w:marBottom w:val="0"/>
      <w:divBdr>
        <w:top w:val="none" w:sz="0" w:space="0" w:color="auto"/>
        <w:left w:val="none" w:sz="0" w:space="0" w:color="auto"/>
        <w:bottom w:val="none" w:sz="0" w:space="0" w:color="auto"/>
        <w:right w:val="none" w:sz="0" w:space="0" w:color="auto"/>
      </w:divBdr>
    </w:div>
    <w:div w:id="1702707178">
      <w:bodyDiv w:val="1"/>
      <w:marLeft w:val="0"/>
      <w:marRight w:val="0"/>
      <w:marTop w:val="0"/>
      <w:marBottom w:val="0"/>
      <w:divBdr>
        <w:top w:val="none" w:sz="0" w:space="0" w:color="auto"/>
        <w:left w:val="none" w:sz="0" w:space="0" w:color="auto"/>
        <w:bottom w:val="none" w:sz="0" w:space="0" w:color="auto"/>
        <w:right w:val="none" w:sz="0" w:space="0" w:color="auto"/>
      </w:divBdr>
    </w:div>
    <w:div w:id="1707174084">
      <w:bodyDiv w:val="1"/>
      <w:marLeft w:val="0"/>
      <w:marRight w:val="0"/>
      <w:marTop w:val="0"/>
      <w:marBottom w:val="0"/>
      <w:divBdr>
        <w:top w:val="none" w:sz="0" w:space="0" w:color="auto"/>
        <w:left w:val="none" w:sz="0" w:space="0" w:color="auto"/>
        <w:bottom w:val="none" w:sz="0" w:space="0" w:color="auto"/>
        <w:right w:val="none" w:sz="0" w:space="0" w:color="auto"/>
      </w:divBdr>
    </w:div>
    <w:div w:id="1708555921">
      <w:bodyDiv w:val="1"/>
      <w:marLeft w:val="0"/>
      <w:marRight w:val="0"/>
      <w:marTop w:val="0"/>
      <w:marBottom w:val="0"/>
      <w:divBdr>
        <w:top w:val="none" w:sz="0" w:space="0" w:color="auto"/>
        <w:left w:val="none" w:sz="0" w:space="0" w:color="auto"/>
        <w:bottom w:val="none" w:sz="0" w:space="0" w:color="auto"/>
        <w:right w:val="none" w:sz="0" w:space="0" w:color="auto"/>
      </w:divBdr>
    </w:div>
    <w:div w:id="1710646551">
      <w:bodyDiv w:val="1"/>
      <w:marLeft w:val="0"/>
      <w:marRight w:val="0"/>
      <w:marTop w:val="0"/>
      <w:marBottom w:val="0"/>
      <w:divBdr>
        <w:top w:val="none" w:sz="0" w:space="0" w:color="auto"/>
        <w:left w:val="none" w:sz="0" w:space="0" w:color="auto"/>
        <w:bottom w:val="none" w:sz="0" w:space="0" w:color="auto"/>
        <w:right w:val="none" w:sz="0" w:space="0" w:color="auto"/>
      </w:divBdr>
    </w:div>
    <w:div w:id="1714846329">
      <w:bodyDiv w:val="1"/>
      <w:marLeft w:val="0"/>
      <w:marRight w:val="0"/>
      <w:marTop w:val="0"/>
      <w:marBottom w:val="0"/>
      <w:divBdr>
        <w:top w:val="none" w:sz="0" w:space="0" w:color="auto"/>
        <w:left w:val="none" w:sz="0" w:space="0" w:color="auto"/>
        <w:bottom w:val="none" w:sz="0" w:space="0" w:color="auto"/>
        <w:right w:val="none" w:sz="0" w:space="0" w:color="auto"/>
      </w:divBdr>
    </w:div>
    <w:div w:id="1716924771">
      <w:bodyDiv w:val="1"/>
      <w:marLeft w:val="0"/>
      <w:marRight w:val="0"/>
      <w:marTop w:val="0"/>
      <w:marBottom w:val="0"/>
      <w:divBdr>
        <w:top w:val="none" w:sz="0" w:space="0" w:color="auto"/>
        <w:left w:val="none" w:sz="0" w:space="0" w:color="auto"/>
        <w:bottom w:val="none" w:sz="0" w:space="0" w:color="auto"/>
        <w:right w:val="none" w:sz="0" w:space="0" w:color="auto"/>
      </w:divBdr>
    </w:div>
    <w:div w:id="1717897777">
      <w:bodyDiv w:val="1"/>
      <w:marLeft w:val="0"/>
      <w:marRight w:val="0"/>
      <w:marTop w:val="0"/>
      <w:marBottom w:val="0"/>
      <w:divBdr>
        <w:top w:val="none" w:sz="0" w:space="0" w:color="auto"/>
        <w:left w:val="none" w:sz="0" w:space="0" w:color="auto"/>
        <w:bottom w:val="none" w:sz="0" w:space="0" w:color="auto"/>
        <w:right w:val="none" w:sz="0" w:space="0" w:color="auto"/>
      </w:divBdr>
    </w:div>
    <w:div w:id="1734498560">
      <w:bodyDiv w:val="1"/>
      <w:marLeft w:val="0"/>
      <w:marRight w:val="0"/>
      <w:marTop w:val="0"/>
      <w:marBottom w:val="0"/>
      <w:divBdr>
        <w:top w:val="none" w:sz="0" w:space="0" w:color="auto"/>
        <w:left w:val="none" w:sz="0" w:space="0" w:color="auto"/>
        <w:bottom w:val="none" w:sz="0" w:space="0" w:color="auto"/>
        <w:right w:val="none" w:sz="0" w:space="0" w:color="auto"/>
      </w:divBdr>
    </w:div>
    <w:div w:id="1746757677">
      <w:bodyDiv w:val="1"/>
      <w:marLeft w:val="0"/>
      <w:marRight w:val="0"/>
      <w:marTop w:val="0"/>
      <w:marBottom w:val="0"/>
      <w:divBdr>
        <w:top w:val="none" w:sz="0" w:space="0" w:color="auto"/>
        <w:left w:val="none" w:sz="0" w:space="0" w:color="auto"/>
        <w:bottom w:val="none" w:sz="0" w:space="0" w:color="auto"/>
        <w:right w:val="none" w:sz="0" w:space="0" w:color="auto"/>
      </w:divBdr>
    </w:div>
    <w:div w:id="1748847147">
      <w:bodyDiv w:val="1"/>
      <w:marLeft w:val="0"/>
      <w:marRight w:val="0"/>
      <w:marTop w:val="0"/>
      <w:marBottom w:val="0"/>
      <w:divBdr>
        <w:top w:val="none" w:sz="0" w:space="0" w:color="auto"/>
        <w:left w:val="none" w:sz="0" w:space="0" w:color="auto"/>
        <w:bottom w:val="none" w:sz="0" w:space="0" w:color="auto"/>
        <w:right w:val="none" w:sz="0" w:space="0" w:color="auto"/>
      </w:divBdr>
    </w:div>
    <w:div w:id="1748914135">
      <w:bodyDiv w:val="1"/>
      <w:marLeft w:val="0"/>
      <w:marRight w:val="0"/>
      <w:marTop w:val="0"/>
      <w:marBottom w:val="0"/>
      <w:divBdr>
        <w:top w:val="none" w:sz="0" w:space="0" w:color="auto"/>
        <w:left w:val="none" w:sz="0" w:space="0" w:color="auto"/>
        <w:bottom w:val="none" w:sz="0" w:space="0" w:color="auto"/>
        <w:right w:val="none" w:sz="0" w:space="0" w:color="auto"/>
      </w:divBdr>
    </w:div>
    <w:div w:id="1750808679">
      <w:bodyDiv w:val="1"/>
      <w:marLeft w:val="0"/>
      <w:marRight w:val="0"/>
      <w:marTop w:val="0"/>
      <w:marBottom w:val="0"/>
      <w:divBdr>
        <w:top w:val="none" w:sz="0" w:space="0" w:color="auto"/>
        <w:left w:val="none" w:sz="0" w:space="0" w:color="auto"/>
        <w:bottom w:val="none" w:sz="0" w:space="0" w:color="auto"/>
        <w:right w:val="none" w:sz="0" w:space="0" w:color="auto"/>
      </w:divBdr>
    </w:div>
    <w:div w:id="1755054666">
      <w:bodyDiv w:val="1"/>
      <w:marLeft w:val="0"/>
      <w:marRight w:val="0"/>
      <w:marTop w:val="0"/>
      <w:marBottom w:val="0"/>
      <w:divBdr>
        <w:top w:val="none" w:sz="0" w:space="0" w:color="auto"/>
        <w:left w:val="none" w:sz="0" w:space="0" w:color="auto"/>
        <w:bottom w:val="none" w:sz="0" w:space="0" w:color="auto"/>
        <w:right w:val="none" w:sz="0" w:space="0" w:color="auto"/>
      </w:divBdr>
    </w:div>
    <w:div w:id="1761022547">
      <w:bodyDiv w:val="1"/>
      <w:marLeft w:val="0"/>
      <w:marRight w:val="0"/>
      <w:marTop w:val="0"/>
      <w:marBottom w:val="0"/>
      <w:divBdr>
        <w:top w:val="none" w:sz="0" w:space="0" w:color="auto"/>
        <w:left w:val="none" w:sz="0" w:space="0" w:color="auto"/>
        <w:bottom w:val="none" w:sz="0" w:space="0" w:color="auto"/>
        <w:right w:val="none" w:sz="0" w:space="0" w:color="auto"/>
      </w:divBdr>
    </w:div>
    <w:div w:id="1763331315">
      <w:bodyDiv w:val="1"/>
      <w:marLeft w:val="0"/>
      <w:marRight w:val="0"/>
      <w:marTop w:val="0"/>
      <w:marBottom w:val="0"/>
      <w:divBdr>
        <w:top w:val="none" w:sz="0" w:space="0" w:color="auto"/>
        <w:left w:val="none" w:sz="0" w:space="0" w:color="auto"/>
        <w:bottom w:val="none" w:sz="0" w:space="0" w:color="auto"/>
        <w:right w:val="none" w:sz="0" w:space="0" w:color="auto"/>
      </w:divBdr>
    </w:div>
    <w:div w:id="1767312827">
      <w:bodyDiv w:val="1"/>
      <w:marLeft w:val="0"/>
      <w:marRight w:val="0"/>
      <w:marTop w:val="0"/>
      <w:marBottom w:val="0"/>
      <w:divBdr>
        <w:top w:val="none" w:sz="0" w:space="0" w:color="auto"/>
        <w:left w:val="none" w:sz="0" w:space="0" w:color="auto"/>
        <w:bottom w:val="none" w:sz="0" w:space="0" w:color="auto"/>
        <w:right w:val="none" w:sz="0" w:space="0" w:color="auto"/>
      </w:divBdr>
    </w:div>
    <w:div w:id="1770346743">
      <w:bodyDiv w:val="1"/>
      <w:marLeft w:val="0"/>
      <w:marRight w:val="0"/>
      <w:marTop w:val="0"/>
      <w:marBottom w:val="0"/>
      <w:divBdr>
        <w:top w:val="none" w:sz="0" w:space="0" w:color="auto"/>
        <w:left w:val="none" w:sz="0" w:space="0" w:color="auto"/>
        <w:bottom w:val="none" w:sz="0" w:space="0" w:color="auto"/>
        <w:right w:val="none" w:sz="0" w:space="0" w:color="auto"/>
      </w:divBdr>
    </w:div>
    <w:div w:id="1776361401">
      <w:bodyDiv w:val="1"/>
      <w:marLeft w:val="0"/>
      <w:marRight w:val="0"/>
      <w:marTop w:val="0"/>
      <w:marBottom w:val="0"/>
      <w:divBdr>
        <w:top w:val="none" w:sz="0" w:space="0" w:color="auto"/>
        <w:left w:val="none" w:sz="0" w:space="0" w:color="auto"/>
        <w:bottom w:val="none" w:sz="0" w:space="0" w:color="auto"/>
        <w:right w:val="none" w:sz="0" w:space="0" w:color="auto"/>
      </w:divBdr>
    </w:div>
    <w:div w:id="1778020190">
      <w:bodyDiv w:val="1"/>
      <w:marLeft w:val="0"/>
      <w:marRight w:val="0"/>
      <w:marTop w:val="0"/>
      <w:marBottom w:val="0"/>
      <w:divBdr>
        <w:top w:val="none" w:sz="0" w:space="0" w:color="auto"/>
        <w:left w:val="none" w:sz="0" w:space="0" w:color="auto"/>
        <w:bottom w:val="none" w:sz="0" w:space="0" w:color="auto"/>
        <w:right w:val="none" w:sz="0" w:space="0" w:color="auto"/>
      </w:divBdr>
    </w:div>
    <w:div w:id="1780905989">
      <w:bodyDiv w:val="1"/>
      <w:marLeft w:val="0"/>
      <w:marRight w:val="0"/>
      <w:marTop w:val="0"/>
      <w:marBottom w:val="0"/>
      <w:divBdr>
        <w:top w:val="none" w:sz="0" w:space="0" w:color="auto"/>
        <w:left w:val="none" w:sz="0" w:space="0" w:color="auto"/>
        <w:bottom w:val="none" w:sz="0" w:space="0" w:color="auto"/>
        <w:right w:val="none" w:sz="0" w:space="0" w:color="auto"/>
      </w:divBdr>
    </w:div>
    <w:div w:id="1781799747">
      <w:bodyDiv w:val="1"/>
      <w:marLeft w:val="0"/>
      <w:marRight w:val="0"/>
      <w:marTop w:val="0"/>
      <w:marBottom w:val="0"/>
      <w:divBdr>
        <w:top w:val="none" w:sz="0" w:space="0" w:color="auto"/>
        <w:left w:val="none" w:sz="0" w:space="0" w:color="auto"/>
        <w:bottom w:val="none" w:sz="0" w:space="0" w:color="auto"/>
        <w:right w:val="none" w:sz="0" w:space="0" w:color="auto"/>
      </w:divBdr>
    </w:div>
    <w:div w:id="1786079767">
      <w:bodyDiv w:val="1"/>
      <w:marLeft w:val="0"/>
      <w:marRight w:val="0"/>
      <w:marTop w:val="0"/>
      <w:marBottom w:val="0"/>
      <w:divBdr>
        <w:top w:val="none" w:sz="0" w:space="0" w:color="auto"/>
        <w:left w:val="none" w:sz="0" w:space="0" w:color="auto"/>
        <w:bottom w:val="none" w:sz="0" w:space="0" w:color="auto"/>
        <w:right w:val="none" w:sz="0" w:space="0" w:color="auto"/>
      </w:divBdr>
    </w:div>
    <w:div w:id="1786994756">
      <w:bodyDiv w:val="1"/>
      <w:marLeft w:val="0"/>
      <w:marRight w:val="0"/>
      <w:marTop w:val="0"/>
      <w:marBottom w:val="0"/>
      <w:divBdr>
        <w:top w:val="none" w:sz="0" w:space="0" w:color="auto"/>
        <w:left w:val="none" w:sz="0" w:space="0" w:color="auto"/>
        <w:bottom w:val="none" w:sz="0" w:space="0" w:color="auto"/>
        <w:right w:val="none" w:sz="0" w:space="0" w:color="auto"/>
      </w:divBdr>
    </w:div>
    <w:div w:id="1790472246">
      <w:bodyDiv w:val="1"/>
      <w:marLeft w:val="0"/>
      <w:marRight w:val="0"/>
      <w:marTop w:val="0"/>
      <w:marBottom w:val="0"/>
      <w:divBdr>
        <w:top w:val="none" w:sz="0" w:space="0" w:color="auto"/>
        <w:left w:val="none" w:sz="0" w:space="0" w:color="auto"/>
        <w:bottom w:val="none" w:sz="0" w:space="0" w:color="auto"/>
        <w:right w:val="none" w:sz="0" w:space="0" w:color="auto"/>
      </w:divBdr>
    </w:div>
    <w:div w:id="1793282434">
      <w:bodyDiv w:val="1"/>
      <w:marLeft w:val="0"/>
      <w:marRight w:val="0"/>
      <w:marTop w:val="0"/>
      <w:marBottom w:val="0"/>
      <w:divBdr>
        <w:top w:val="none" w:sz="0" w:space="0" w:color="auto"/>
        <w:left w:val="none" w:sz="0" w:space="0" w:color="auto"/>
        <w:bottom w:val="none" w:sz="0" w:space="0" w:color="auto"/>
        <w:right w:val="none" w:sz="0" w:space="0" w:color="auto"/>
      </w:divBdr>
    </w:div>
    <w:div w:id="1802842560">
      <w:bodyDiv w:val="1"/>
      <w:marLeft w:val="0"/>
      <w:marRight w:val="0"/>
      <w:marTop w:val="0"/>
      <w:marBottom w:val="0"/>
      <w:divBdr>
        <w:top w:val="none" w:sz="0" w:space="0" w:color="auto"/>
        <w:left w:val="none" w:sz="0" w:space="0" w:color="auto"/>
        <w:bottom w:val="none" w:sz="0" w:space="0" w:color="auto"/>
        <w:right w:val="none" w:sz="0" w:space="0" w:color="auto"/>
      </w:divBdr>
    </w:div>
    <w:div w:id="1803116845">
      <w:bodyDiv w:val="1"/>
      <w:marLeft w:val="0"/>
      <w:marRight w:val="0"/>
      <w:marTop w:val="0"/>
      <w:marBottom w:val="0"/>
      <w:divBdr>
        <w:top w:val="none" w:sz="0" w:space="0" w:color="auto"/>
        <w:left w:val="none" w:sz="0" w:space="0" w:color="auto"/>
        <w:bottom w:val="none" w:sz="0" w:space="0" w:color="auto"/>
        <w:right w:val="none" w:sz="0" w:space="0" w:color="auto"/>
      </w:divBdr>
    </w:div>
    <w:div w:id="1806314679">
      <w:bodyDiv w:val="1"/>
      <w:marLeft w:val="0"/>
      <w:marRight w:val="0"/>
      <w:marTop w:val="0"/>
      <w:marBottom w:val="0"/>
      <w:divBdr>
        <w:top w:val="none" w:sz="0" w:space="0" w:color="auto"/>
        <w:left w:val="none" w:sz="0" w:space="0" w:color="auto"/>
        <w:bottom w:val="none" w:sz="0" w:space="0" w:color="auto"/>
        <w:right w:val="none" w:sz="0" w:space="0" w:color="auto"/>
      </w:divBdr>
    </w:div>
    <w:div w:id="1808281483">
      <w:bodyDiv w:val="1"/>
      <w:marLeft w:val="0"/>
      <w:marRight w:val="0"/>
      <w:marTop w:val="0"/>
      <w:marBottom w:val="0"/>
      <w:divBdr>
        <w:top w:val="none" w:sz="0" w:space="0" w:color="auto"/>
        <w:left w:val="none" w:sz="0" w:space="0" w:color="auto"/>
        <w:bottom w:val="none" w:sz="0" w:space="0" w:color="auto"/>
        <w:right w:val="none" w:sz="0" w:space="0" w:color="auto"/>
      </w:divBdr>
    </w:div>
    <w:div w:id="1811752287">
      <w:bodyDiv w:val="1"/>
      <w:marLeft w:val="0"/>
      <w:marRight w:val="0"/>
      <w:marTop w:val="0"/>
      <w:marBottom w:val="0"/>
      <w:divBdr>
        <w:top w:val="none" w:sz="0" w:space="0" w:color="auto"/>
        <w:left w:val="none" w:sz="0" w:space="0" w:color="auto"/>
        <w:bottom w:val="none" w:sz="0" w:space="0" w:color="auto"/>
        <w:right w:val="none" w:sz="0" w:space="0" w:color="auto"/>
      </w:divBdr>
    </w:div>
    <w:div w:id="1820144489">
      <w:bodyDiv w:val="1"/>
      <w:marLeft w:val="0"/>
      <w:marRight w:val="0"/>
      <w:marTop w:val="0"/>
      <w:marBottom w:val="0"/>
      <w:divBdr>
        <w:top w:val="none" w:sz="0" w:space="0" w:color="auto"/>
        <w:left w:val="none" w:sz="0" w:space="0" w:color="auto"/>
        <w:bottom w:val="none" w:sz="0" w:space="0" w:color="auto"/>
        <w:right w:val="none" w:sz="0" w:space="0" w:color="auto"/>
      </w:divBdr>
    </w:div>
    <w:div w:id="1821848543">
      <w:bodyDiv w:val="1"/>
      <w:marLeft w:val="0"/>
      <w:marRight w:val="0"/>
      <w:marTop w:val="0"/>
      <w:marBottom w:val="0"/>
      <w:divBdr>
        <w:top w:val="none" w:sz="0" w:space="0" w:color="auto"/>
        <w:left w:val="none" w:sz="0" w:space="0" w:color="auto"/>
        <w:bottom w:val="none" w:sz="0" w:space="0" w:color="auto"/>
        <w:right w:val="none" w:sz="0" w:space="0" w:color="auto"/>
      </w:divBdr>
    </w:div>
    <w:div w:id="1826044965">
      <w:bodyDiv w:val="1"/>
      <w:marLeft w:val="0"/>
      <w:marRight w:val="0"/>
      <w:marTop w:val="0"/>
      <w:marBottom w:val="0"/>
      <w:divBdr>
        <w:top w:val="none" w:sz="0" w:space="0" w:color="auto"/>
        <w:left w:val="none" w:sz="0" w:space="0" w:color="auto"/>
        <w:bottom w:val="none" w:sz="0" w:space="0" w:color="auto"/>
        <w:right w:val="none" w:sz="0" w:space="0" w:color="auto"/>
      </w:divBdr>
    </w:div>
    <w:div w:id="1826361596">
      <w:bodyDiv w:val="1"/>
      <w:marLeft w:val="0"/>
      <w:marRight w:val="0"/>
      <w:marTop w:val="0"/>
      <w:marBottom w:val="0"/>
      <w:divBdr>
        <w:top w:val="none" w:sz="0" w:space="0" w:color="auto"/>
        <w:left w:val="none" w:sz="0" w:space="0" w:color="auto"/>
        <w:bottom w:val="none" w:sz="0" w:space="0" w:color="auto"/>
        <w:right w:val="none" w:sz="0" w:space="0" w:color="auto"/>
      </w:divBdr>
    </w:div>
    <w:div w:id="1826585865">
      <w:bodyDiv w:val="1"/>
      <w:marLeft w:val="0"/>
      <w:marRight w:val="0"/>
      <w:marTop w:val="0"/>
      <w:marBottom w:val="0"/>
      <w:divBdr>
        <w:top w:val="none" w:sz="0" w:space="0" w:color="auto"/>
        <w:left w:val="none" w:sz="0" w:space="0" w:color="auto"/>
        <w:bottom w:val="none" w:sz="0" w:space="0" w:color="auto"/>
        <w:right w:val="none" w:sz="0" w:space="0" w:color="auto"/>
      </w:divBdr>
    </w:div>
    <w:div w:id="1828782537">
      <w:bodyDiv w:val="1"/>
      <w:marLeft w:val="0"/>
      <w:marRight w:val="0"/>
      <w:marTop w:val="0"/>
      <w:marBottom w:val="0"/>
      <w:divBdr>
        <w:top w:val="none" w:sz="0" w:space="0" w:color="auto"/>
        <w:left w:val="none" w:sz="0" w:space="0" w:color="auto"/>
        <w:bottom w:val="none" w:sz="0" w:space="0" w:color="auto"/>
        <w:right w:val="none" w:sz="0" w:space="0" w:color="auto"/>
      </w:divBdr>
    </w:div>
    <w:div w:id="1828861061">
      <w:bodyDiv w:val="1"/>
      <w:marLeft w:val="0"/>
      <w:marRight w:val="0"/>
      <w:marTop w:val="0"/>
      <w:marBottom w:val="0"/>
      <w:divBdr>
        <w:top w:val="none" w:sz="0" w:space="0" w:color="auto"/>
        <w:left w:val="none" w:sz="0" w:space="0" w:color="auto"/>
        <w:bottom w:val="none" w:sz="0" w:space="0" w:color="auto"/>
        <w:right w:val="none" w:sz="0" w:space="0" w:color="auto"/>
      </w:divBdr>
    </w:div>
    <w:div w:id="1829516268">
      <w:bodyDiv w:val="1"/>
      <w:marLeft w:val="0"/>
      <w:marRight w:val="0"/>
      <w:marTop w:val="0"/>
      <w:marBottom w:val="0"/>
      <w:divBdr>
        <w:top w:val="none" w:sz="0" w:space="0" w:color="auto"/>
        <w:left w:val="none" w:sz="0" w:space="0" w:color="auto"/>
        <w:bottom w:val="none" w:sz="0" w:space="0" w:color="auto"/>
        <w:right w:val="none" w:sz="0" w:space="0" w:color="auto"/>
      </w:divBdr>
    </w:div>
    <w:div w:id="1831556856">
      <w:bodyDiv w:val="1"/>
      <w:marLeft w:val="0"/>
      <w:marRight w:val="0"/>
      <w:marTop w:val="0"/>
      <w:marBottom w:val="0"/>
      <w:divBdr>
        <w:top w:val="none" w:sz="0" w:space="0" w:color="auto"/>
        <w:left w:val="none" w:sz="0" w:space="0" w:color="auto"/>
        <w:bottom w:val="none" w:sz="0" w:space="0" w:color="auto"/>
        <w:right w:val="none" w:sz="0" w:space="0" w:color="auto"/>
      </w:divBdr>
    </w:div>
    <w:div w:id="1836265887">
      <w:bodyDiv w:val="1"/>
      <w:marLeft w:val="0"/>
      <w:marRight w:val="0"/>
      <w:marTop w:val="0"/>
      <w:marBottom w:val="0"/>
      <w:divBdr>
        <w:top w:val="none" w:sz="0" w:space="0" w:color="auto"/>
        <w:left w:val="none" w:sz="0" w:space="0" w:color="auto"/>
        <w:bottom w:val="none" w:sz="0" w:space="0" w:color="auto"/>
        <w:right w:val="none" w:sz="0" w:space="0" w:color="auto"/>
      </w:divBdr>
    </w:div>
    <w:div w:id="1847934632">
      <w:bodyDiv w:val="1"/>
      <w:marLeft w:val="0"/>
      <w:marRight w:val="0"/>
      <w:marTop w:val="0"/>
      <w:marBottom w:val="0"/>
      <w:divBdr>
        <w:top w:val="none" w:sz="0" w:space="0" w:color="auto"/>
        <w:left w:val="none" w:sz="0" w:space="0" w:color="auto"/>
        <w:bottom w:val="none" w:sz="0" w:space="0" w:color="auto"/>
        <w:right w:val="none" w:sz="0" w:space="0" w:color="auto"/>
      </w:divBdr>
    </w:div>
    <w:div w:id="1848909831">
      <w:bodyDiv w:val="1"/>
      <w:marLeft w:val="0"/>
      <w:marRight w:val="0"/>
      <w:marTop w:val="0"/>
      <w:marBottom w:val="0"/>
      <w:divBdr>
        <w:top w:val="none" w:sz="0" w:space="0" w:color="auto"/>
        <w:left w:val="none" w:sz="0" w:space="0" w:color="auto"/>
        <w:bottom w:val="none" w:sz="0" w:space="0" w:color="auto"/>
        <w:right w:val="none" w:sz="0" w:space="0" w:color="auto"/>
      </w:divBdr>
    </w:div>
    <w:div w:id="1850170182">
      <w:bodyDiv w:val="1"/>
      <w:marLeft w:val="0"/>
      <w:marRight w:val="0"/>
      <w:marTop w:val="0"/>
      <w:marBottom w:val="0"/>
      <w:divBdr>
        <w:top w:val="none" w:sz="0" w:space="0" w:color="auto"/>
        <w:left w:val="none" w:sz="0" w:space="0" w:color="auto"/>
        <w:bottom w:val="none" w:sz="0" w:space="0" w:color="auto"/>
        <w:right w:val="none" w:sz="0" w:space="0" w:color="auto"/>
      </w:divBdr>
    </w:div>
    <w:div w:id="1852258750">
      <w:bodyDiv w:val="1"/>
      <w:marLeft w:val="0"/>
      <w:marRight w:val="0"/>
      <w:marTop w:val="0"/>
      <w:marBottom w:val="0"/>
      <w:divBdr>
        <w:top w:val="none" w:sz="0" w:space="0" w:color="auto"/>
        <w:left w:val="none" w:sz="0" w:space="0" w:color="auto"/>
        <w:bottom w:val="none" w:sz="0" w:space="0" w:color="auto"/>
        <w:right w:val="none" w:sz="0" w:space="0" w:color="auto"/>
      </w:divBdr>
    </w:div>
    <w:div w:id="1855344712">
      <w:bodyDiv w:val="1"/>
      <w:marLeft w:val="0"/>
      <w:marRight w:val="0"/>
      <w:marTop w:val="0"/>
      <w:marBottom w:val="0"/>
      <w:divBdr>
        <w:top w:val="none" w:sz="0" w:space="0" w:color="auto"/>
        <w:left w:val="none" w:sz="0" w:space="0" w:color="auto"/>
        <w:bottom w:val="none" w:sz="0" w:space="0" w:color="auto"/>
        <w:right w:val="none" w:sz="0" w:space="0" w:color="auto"/>
      </w:divBdr>
    </w:div>
    <w:div w:id="1863350928">
      <w:bodyDiv w:val="1"/>
      <w:marLeft w:val="0"/>
      <w:marRight w:val="0"/>
      <w:marTop w:val="0"/>
      <w:marBottom w:val="0"/>
      <w:divBdr>
        <w:top w:val="none" w:sz="0" w:space="0" w:color="auto"/>
        <w:left w:val="none" w:sz="0" w:space="0" w:color="auto"/>
        <w:bottom w:val="none" w:sz="0" w:space="0" w:color="auto"/>
        <w:right w:val="none" w:sz="0" w:space="0" w:color="auto"/>
      </w:divBdr>
    </w:div>
    <w:div w:id="1869026698">
      <w:bodyDiv w:val="1"/>
      <w:marLeft w:val="0"/>
      <w:marRight w:val="0"/>
      <w:marTop w:val="0"/>
      <w:marBottom w:val="0"/>
      <w:divBdr>
        <w:top w:val="none" w:sz="0" w:space="0" w:color="auto"/>
        <w:left w:val="none" w:sz="0" w:space="0" w:color="auto"/>
        <w:bottom w:val="none" w:sz="0" w:space="0" w:color="auto"/>
        <w:right w:val="none" w:sz="0" w:space="0" w:color="auto"/>
      </w:divBdr>
    </w:div>
    <w:div w:id="1871411999">
      <w:bodyDiv w:val="1"/>
      <w:marLeft w:val="0"/>
      <w:marRight w:val="0"/>
      <w:marTop w:val="0"/>
      <w:marBottom w:val="0"/>
      <w:divBdr>
        <w:top w:val="none" w:sz="0" w:space="0" w:color="auto"/>
        <w:left w:val="none" w:sz="0" w:space="0" w:color="auto"/>
        <w:bottom w:val="none" w:sz="0" w:space="0" w:color="auto"/>
        <w:right w:val="none" w:sz="0" w:space="0" w:color="auto"/>
      </w:divBdr>
    </w:div>
    <w:div w:id="1873685071">
      <w:bodyDiv w:val="1"/>
      <w:marLeft w:val="0"/>
      <w:marRight w:val="0"/>
      <w:marTop w:val="0"/>
      <w:marBottom w:val="0"/>
      <w:divBdr>
        <w:top w:val="none" w:sz="0" w:space="0" w:color="auto"/>
        <w:left w:val="none" w:sz="0" w:space="0" w:color="auto"/>
        <w:bottom w:val="none" w:sz="0" w:space="0" w:color="auto"/>
        <w:right w:val="none" w:sz="0" w:space="0" w:color="auto"/>
      </w:divBdr>
    </w:div>
    <w:div w:id="1876691131">
      <w:bodyDiv w:val="1"/>
      <w:marLeft w:val="0"/>
      <w:marRight w:val="0"/>
      <w:marTop w:val="0"/>
      <w:marBottom w:val="0"/>
      <w:divBdr>
        <w:top w:val="none" w:sz="0" w:space="0" w:color="auto"/>
        <w:left w:val="none" w:sz="0" w:space="0" w:color="auto"/>
        <w:bottom w:val="none" w:sz="0" w:space="0" w:color="auto"/>
        <w:right w:val="none" w:sz="0" w:space="0" w:color="auto"/>
      </w:divBdr>
    </w:div>
    <w:div w:id="1878007212">
      <w:bodyDiv w:val="1"/>
      <w:marLeft w:val="0"/>
      <w:marRight w:val="0"/>
      <w:marTop w:val="0"/>
      <w:marBottom w:val="0"/>
      <w:divBdr>
        <w:top w:val="none" w:sz="0" w:space="0" w:color="auto"/>
        <w:left w:val="none" w:sz="0" w:space="0" w:color="auto"/>
        <w:bottom w:val="none" w:sz="0" w:space="0" w:color="auto"/>
        <w:right w:val="none" w:sz="0" w:space="0" w:color="auto"/>
      </w:divBdr>
    </w:div>
    <w:div w:id="1878590461">
      <w:bodyDiv w:val="1"/>
      <w:marLeft w:val="0"/>
      <w:marRight w:val="0"/>
      <w:marTop w:val="0"/>
      <w:marBottom w:val="0"/>
      <w:divBdr>
        <w:top w:val="none" w:sz="0" w:space="0" w:color="auto"/>
        <w:left w:val="none" w:sz="0" w:space="0" w:color="auto"/>
        <w:bottom w:val="none" w:sz="0" w:space="0" w:color="auto"/>
        <w:right w:val="none" w:sz="0" w:space="0" w:color="auto"/>
      </w:divBdr>
    </w:div>
    <w:div w:id="1879735170">
      <w:bodyDiv w:val="1"/>
      <w:marLeft w:val="0"/>
      <w:marRight w:val="0"/>
      <w:marTop w:val="0"/>
      <w:marBottom w:val="0"/>
      <w:divBdr>
        <w:top w:val="none" w:sz="0" w:space="0" w:color="auto"/>
        <w:left w:val="none" w:sz="0" w:space="0" w:color="auto"/>
        <w:bottom w:val="none" w:sz="0" w:space="0" w:color="auto"/>
        <w:right w:val="none" w:sz="0" w:space="0" w:color="auto"/>
      </w:divBdr>
    </w:div>
    <w:div w:id="1881937865">
      <w:bodyDiv w:val="1"/>
      <w:marLeft w:val="0"/>
      <w:marRight w:val="0"/>
      <w:marTop w:val="0"/>
      <w:marBottom w:val="0"/>
      <w:divBdr>
        <w:top w:val="none" w:sz="0" w:space="0" w:color="auto"/>
        <w:left w:val="none" w:sz="0" w:space="0" w:color="auto"/>
        <w:bottom w:val="none" w:sz="0" w:space="0" w:color="auto"/>
        <w:right w:val="none" w:sz="0" w:space="0" w:color="auto"/>
      </w:divBdr>
    </w:div>
    <w:div w:id="1882784935">
      <w:bodyDiv w:val="1"/>
      <w:marLeft w:val="0"/>
      <w:marRight w:val="0"/>
      <w:marTop w:val="0"/>
      <w:marBottom w:val="0"/>
      <w:divBdr>
        <w:top w:val="none" w:sz="0" w:space="0" w:color="auto"/>
        <w:left w:val="none" w:sz="0" w:space="0" w:color="auto"/>
        <w:bottom w:val="none" w:sz="0" w:space="0" w:color="auto"/>
        <w:right w:val="none" w:sz="0" w:space="0" w:color="auto"/>
      </w:divBdr>
    </w:div>
    <w:div w:id="1884246985">
      <w:bodyDiv w:val="1"/>
      <w:marLeft w:val="0"/>
      <w:marRight w:val="0"/>
      <w:marTop w:val="0"/>
      <w:marBottom w:val="0"/>
      <w:divBdr>
        <w:top w:val="none" w:sz="0" w:space="0" w:color="auto"/>
        <w:left w:val="none" w:sz="0" w:space="0" w:color="auto"/>
        <w:bottom w:val="none" w:sz="0" w:space="0" w:color="auto"/>
        <w:right w:val="none" w:sz="0" w:space="0" w:color="auto"/>
      </w:divBdr>
    </w:div>
    <w:div w:id="1886065494">
      <w:bodyDiv w:val="1"/>
      <w:marLeft w:val="0"/>
      <w:marRight w:val="0"/>
      <w:marTop w:val="0"/>
      <w:marBottom w:val="0"/>
      <w:divBdr>
        <w:top w:val="none" w:sz="0" w:space="0" w:color="auto"/>
        <w:left w:val="none" w:sz="0" w:space="0" w:color="auto"/>
        <w:bottom w:val="none" w:sz="0" w:space="0" w:color="auto"/>
        <w:right w:val="none" w:sz="0" w:space="0" w:color="auto"/>
      </w:divBdr>
    </w:div>
    <w:div w:id="1887523982">
      <w:bodyDiv w:val="1"/>
      <w:marLeft w:val="0"/>
      <w:marRight w:val="0"/>
      <w:marTop w:val="0"/>
      <w:marBottom w:val="0"/>
      <w:divBdr>
        <w:top w:val="none" w:sz="0" w:space="0" w:color="auto"/>
        <w:left w:val="none" w:sz="0" w:space="0" w:color="auto"/>
        <w:bottom w:val="none" w:sz="0" w:space="0" w:color="auto"/>
        <w:right w:val="none" w:sz="0" w:space="0" w:color="auto"/>
      </w:divBdr>
    </w:div>
    <w:div w:id="1891069920">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701253">
      <w:bodyDiv w:val="1"/>
      <w:marLeft w:val="0"/>
      <w:marRight w:val="0"/>
      <w:marTop w:val="0"/>
      <w:marBottom w:val="0"/>
      <w:divBdr>
        <w:top w:val="none" w:sz="0" w:space="0" w:color="auto"/>
        <w:left w:val="none" w:sz="0" w:space="0" w:color="auto"/>
        <w:bottom w:val="none" w:sz="0" w:space="0" w:color="auto"/>
        <w:right w:val="none" w:sz="0" w:space="0" w:color="auto"/>
      </w:divBdr>
    </w:div>
    <w:div w:id="1900894288">
      <w:bodyDiv w:val="1"/>
      <w:marLeft w:val="0"/>
      <w:marRight w:val="0"/>
      <w:marTop w:val="0"/>
      <w:marBottom w:val="0"/>
      <w:divBdr>
        <w:top w:val="none" w:sz="0" w:space="0" w:color="auto"/>
        <w:left w:val="none" w:sz="0" w:space="0" w:color="auto"/>
        <w:bottom w:val="none" w:sz="0" w:space="0" w:color="auto"/>
        <w:right w:val="none" w:sz="0" w:space="0" w:color="auto"/>
      </w:divBdr>
    </w:div>
    <w:div w:id="1901362848">
      <w:bodyDiv w:val="1"/>
      <w:marLeft w:val="0"/>
      <w:marRight w:val="0"/>
      <w:marTop w:val="0"/>
      <w:marBottom w:val="0"/>
      <w:divBdr>
        <w:top w:val="none" w:sz="0" w:space="0" w:color="auto"/>
        <w:left w:val="none" w:sz="0" w:space="0" w:color="auto"/>
        <w:bottom w:val="none" w:sz="0" w:space="0" w:color="auto"/>
        <w:right w:val="none" w:sz="0" w:space="0" w:color="auto"/>
      </w:divBdr>
    </w:div>
    <w:div w:id="1903707770">
      <w:bodyDiv w:val="1"/>
      <w:marLeft w:val="0"/>
      <w:marRight w:val="0"/>
      <w:marTop w:val="0"/>
      <w:marBottom w:val="0"/>
      <w:divBdr>
        <w:top w:val="none" w:sz="0" w:space="0" w:color="auto"/>
        <w:left w:val="none" w:sz="0" w:space="0" w:color="auto"/>
        <w:bottom w:val="none" w:sz="0" w:space="0" w:color="auto"/>
        <w:right w:val="none" w:sz="0" w:space="0" w:color="auto"/>
      </w:divBdr>
    </w:div>
    <w:div w:id="1905023455">
      <w:bodyDiv w:val="1"/>
      <w:marLeft w:val="0"/>
      <w:marRight w:val="0"/>
      <w:marTop w:val="0"/>
      <w:marBottom w:val="0"/>
      <w:divBdr>
        <w:top w:val="none" w:sz="0" w:space="0" w:color="auto"/>
        <w:left w:val="none" w:sz="0" w:space="0" w:color="auto"/>
        <w:bottom w:val="none" w:sz="0" w:space="0" w:color="auto"/>
        <w:right w:val="none" w:sz="0" w:space="0" w:color="auto"/>
      </w:divBdr>
    </w:div>
    <w:div w:id="1917402393">
      <w:bodyDiv w:val="1"/>
      <w:marLeft w:val="0"/>
      <w:marRight w:val="0"/>
      <w:marTop w:val="0"/>
      <w:marBottom w:val="0"/>
      <w:divBdr>
        <w:top w:val="none" w:sz="0" w:space="0" w:color="auto"/>
        <w:left w:val="none" w:sz="0" w:space="0" w:color="auto"/>
        <w:bottom w:val="none" w:sz="0" w:space="0" w:color="auto"/>
        <w:right w:val="none" w:sz="0" w:space="0" w:color="auto"/>
      </w:divBdr>
    </w:div>
    <w:div w:id="1921788868">
      <w:bodyDiv w:val="1"/>
      <w:marLeft w:val="0"/>
      <w:marRight w:val="0"/>
      <w:marTop w:val="0"/>
      <w:marBottom w:val="0"/>
      <w:divBdr>
        <w:top w:val="none" w:sz="0" w:space="0" w:color="auto"/>
        <w:left w:val="none" w:sz="0" w:space="0" w:color="auto"/>
        <w:bottom w:val="none" w:sz="0" w:space="0" w:color="auto"/>
        <w:right w:val="none" w:sz="0" w:space="0" w:color="auto"/>
      </w:divBdr>
    </w:div>
    <w:div w:id="1921791688">
      <w:bodyDiv w:val="1"/>
      <w:marLeft w:val="0"/>
      <w:marRight w:val="0"/>
      <w:marTop w:val="0"/>
      <w:marBottom w:val="0"/>
      <w:divBdr>
        <w:top w:val="none" w:sz="0" w:space="0" w:color="auto"/>
        <w:left w:val="none" w:sz="0" w:space="0" w:color="auto"/>
        <w:bottom w:val="none" w:sz="0" w:space="0" w:color="auto"/>
        <w:right w:val="none" w:sz="0" w:space="0" w:color="auto"/>
      </w:divBdr>
    </w:div>
    <w:div w:id="1925454278">
      <w:bodyDiv w:val="1"/>
      <w:marLeft w:val="0"/>
      <w:marRight w:val="0"/>
      <w:marTop w:val="0"/>
      <w:marBottom w:val="0"/>
      <w:divBdr>
        <w:top w:val="none" w:sz="0" w:space="0" w:color="auto"/>
        <w:left w:val="none" w:sz="0" w:space="0" w:color="auto"/>
        <w:bottom w:val="none" w:sz="0" w:space="0" w:color="auto"/>
        <w:right w:val="none" w:sz="0" w:space="0" w:color="auto"/>
      </w:divBdr>
    </w:div>
    <w:div w:id="1927380560">
      <w:bodyDiv w:val="1"/>
      <w:marLeft w:val="0"/>
      <w:marRight w:val="0"/>
      <w:marTop w:val="0"/>
      <w:marBottom w:val="0"/>
      <w:divBdr>
        <w:top w:val="none" w:sz="0" w:space="0" w:color="auto"/>
        <w:left w:val="none" w:sz="0" w:space="0" w:color="auto"/>
        <w:bottom w:val="none" w:sz="0" w:space="0" w:color="auto"/>
        <w:right w:val="none" w:sz="0" w:space="0" w:color="auto"/>
      </w:divBdr>
    </w:div>
    <w:div w:id="1928491351">
      <w:bodyDiv w:val="1"/>
      <w:marLeft w:val="0"/>
      <w:marRight w:val="0"/>
      <w:marTop w:val="0"/>
      <w:marBottom w:val="0"/>
      <w:divBdr>
        <w:top w:val="none" w:sz="0" w:space="0" w:color="auto"/>
        <w:left w:val="none" w:sz="0" w:space="0" w:color="auto"/>
        <w:bottom w:val="none" w:sz="0" w:space="0" w:color="auto"/>
        <w:right w:val="none" w:sz="0" w:space="0" w:color="auto"/>
      </w:divBdr>
    </w:div>
    <w:div w:id="1938051767">
      <w:bodyDiv w:val="1"/>
      <w:marLeft w:val="0"/>
      <w:marRight w:val="0"/>
      <w:marTop w:val="0"/>
      <w:marBottom w:val="0"/>
      <w:divBdr>
        <w:top w:val="none" w:sz="0" w:space="0" w:color="auto"/>
        <w:left w:val="none" w:sz="0" w:space="0" w:color="auto"/>
        <w:bottom w:val="none" w:sz="0" w:space="0" w:color="auto"/>
        <w:right w:val="none" w:sz="0" w:space="0" w:color="auto"/>
      </w:divBdr>
    </w:div>
    <w:div w:id="1938515926">
      <w:bodyDiv w:val="1"/>
      <w:marLeft w:val="0"/>
      <w:marRight w:val="0"/>
      <w:marTop w:val="0"/>
      <w:marBottom w:val="0"/>
      <w:divBdr>
        <w:top w:val="none" w:sz="0" w:space="0" w:color="auto"/>
        <w:left w:val="none" w:sz="0" w:space="0" w:color="auto"/>
        <w:bottom w:val="none" w:sz="0" w:space="0" w:color="auto"/>
        <w:right w:val="none" w:sz="0" w:space="0" w:color="auto"/>
      </w:divBdr>
    </w:div>
    <w:div w:id="1942641699">
      <w:bodyDiv w:val="1"/>
      <w:marLeft w:val="0"/>
      <w:marRight w:val="0"/>
      <w:marTop w:val="0"/>
      <w:marBottom w:val="0"/>
      <w:divBdr>
        <w:top w:val="none" w:sz="0" w:space="0" w:color="auto"/>
        <w:left w:val="none" w:sz="0" w:space="0" w:color="auto"/>
        <w:bottom w:val="none" w:sz="0" w:space="0" w:color="auto"/>
        <w:right w:val="none" w:sz="0" w:space="0" w:color="auto"/>
      </w:divBdr>
    </w:div>
    <w:div w:id="1950776407">
      <w:bodyDiv w:val="1"/>
      <w:marLeft w:val="0"/>
      <w:marRight w:val="0"/>
      <w:marTop w:val="0"/>
      <w:marBottom w:val="0"/>
      <w:divBdr>
        <w:top w:val="none" w:sz="0" w:space="0" w:color="auto"/>
        <w:left w:val="none" w:sz="0" w:space="0" w:color="auto"/>
        <w:bottom w:val="none" w:sz="0" w:space="0" w:color="auto"/>
        <w:right w:val="none" w:sz="0" w:space="0" w:color="auto"/>
      </w:divBdr>
    </w:div>
    <w:div w:id="1953704823">
      <w:bodyDiv w:val="1"/>
      <w:marLeft w:val="0"/>
      <w:marRight w:val="0"/>
      <w:marTop w:val="0"/>
      <w:marBottom w:val="0"/>
      <w:divBdr>
        <w:top w:val="none" w:sz="0" w:space="0" w:color="auto"/>
        <w:left w:val="none" w:sz="0" w:space="0" w:color="auto"/>
        <w:bottom w:val="none" w:sz="0" w:space="0" w:color="auto"/>
        <w:right w:val="none" w:sz="0" w:space="0" w:color="auto"/>
      </w:divBdr>
    </w:div>
    <w:div w:id="1956475398">
      <w:bodyDiv w:val="1"/>
      <w:marLeft w:val="0"/>
      <w:marRight w:val="0"/>
      <w:marTop w:val="0"/>
      <w:marBottom w:val="0"/>
      <w:divBdr>
        <w:top w:val="none" w:sz="0" w:space="0" w:color="auto"/>
        <w:left w:val="none" w:sz="0" w:space="0" w:color="auto"/>
        <w:bottom w:val="none" w:sz="0" w:space="0" w:color="auto"/>
        <w:right w:val="none" w:sz="0" w:space="0" w:color="auto"/>
      </w:divBdr>
    </w:div>
    <w:div w:id="1962108196">
      <w:bodyDiv w:val="1"/>
      <w:marLeft w:val="0"/>
      <w:marRight w:val="0"/>
      <w:marTop w:val="0"/>
      <w:marBottom w:val="0"/>
      <w:divBdr>
        <w:top w:val="none" w:sz="0" w:space="0" w:color="auto"/>
        <w:left w:val="none" w:sz="0" w:space="0" w:color="auto"/>
        <w:bottom w:val="none" w:sz="0" w:space="0" w:color="auto"/>
        <w:right w:val="none" w:sz="0" w:space="0" w:color="auto"/>
      </w:divBdr>
    </w:div>
    <w:div w:id="1967541567">
      <w:bodyDiv w:val="1"/>
      <w:marLeft w:val="0"/>
      <w:marRight w:val="0"/>
      <w:marTop w:val="0"/>
      <w:marBottom w:val="0"/>
      <w:divBdr>
        <w:top w:val="none" w:sz="0" w:space="0" w:color="auto"/>
        <w:left w:val="none" w:sz="0" w:space="0" w:color="auto"/>
        <w:bottom w:val="none" w:sz="0" w:space="0" w:color="auto"/>
        <w:right w:val="none" w:sz="0" w:space="0" w:color="auto"/>
      </w:divBdr>
    </w:div>
    <w:div w:id="1967809831">
      <w:bodyDiv w:val="1"/>
      <w:marLeft w:val="0"/>
      <w:marRight w:val="0"/>
      <w:marTop w:val="0"/>
      <w:marBottom w:val="0"/>
      <w:divBdr>
        <w:top w:val="none" w:sz="0" w:space="0" w:color="auto"/>
        <w:left w:val="none" w:sz="0" w:space="0" w:color="auto"/>
        <w:bottom w:val="none" w:sz="0" w:space="0" w:color="auto"/>
        <w:right w:val="none" w:sz="0" w:space="0" w:color="auto"/>
      </w:divBdr>
    </w:div>
    <w:div w:id="1971207027">
      <w:bodyDiv w:val="1"/>
      <w:marLeft w:val="0"/>
      <w:marRight w:val="0"/>
      <w:marTop w:val="0"/>
      <w:marBottom w:val="0"/>
      <w:divBdr>
        <w:top w:val="none" w:sz="0" w:space="0" w:color="auto"/>
        <w:left w:val="none" w:sz="0" w:space="0" w:color="auto"/>
        <w:bottom w:val="none" w:sz="0" w:space="0" w:color="auto"/>
        <w:right w:val="none" w:sz="0" w:space="0" w:color="auto"/>
      </w:divBdr>
    </w:div>
    <w:div w:id="1972859802">
      <w:bodyDiv w:val="1"/>
      <w:marLeft w:val="0"/>
      <w:marRight w:val="0"/>
      <w:marTop w:val="0"/>
      <w:marBottom w:val="0"/>
      <w:divBdr>
        <w:top w:val="none" w:sz="0" w:space="0" w:color="auto"/>
        <w:left w:val="none" w:sz="0" w:space="0" w:color="auto"/>
        <w:bottom w:val="none" w:sz="0" w:space="0" w:color="auto"/>
        <w:right w:val="none" w:sz="0" w:space="0" w:color="auto"/>
      </w:divBdr>
    </w:div>
    <w:div w:id="1976061846">
      <w:bodyDiv w:val="1"/>
      <w:marLeft w:val="0"/>
      <w:marRight w:val="0"/>
      <w:marTop w:val="0"/>
      <w:marBottom w:val="0"/>
      <w:divBdr>
        <w:top w:val="none" w:sz="0" w:space="0" w:color="auto"/>
        <w:left w:val="none" w:sz="0" w:space="0" w:color="auto"/>
        <w:bottom w:val="none" w:sz="0" w:space="0" w:color="auto"/>
        <w:right w:val="none" w:sz="0" w:space="0" w:color="auto"/>
      </w:divBdr>
    </w:div>
    <w:div w:id="1980257430">
      <w:bodyDiv w:val="1"/>
      <w:marLeft w:val="0"/>
      <w:marRight w:val="0"/>
      <w:marTop w:val="0"/>
      <w:marBottom w:val="0"/>
      <w:divBdr>
        <w:top w:val="none" w:sz="0" w:space="0" w:color="auto"/>
        <w:left w:val="none" w:sz="0" w:space="0" w:color="auto"/>
        <w:bottom w:val="none" w:sz="0" w:space="0" w:color="auto"/>
        <w:right w:val="none" w:sz="0" w:space="0" w:color="auto"/>
      </w:divBdr>
    </w:div>
    <w:div w:id="1980456615">
      <w:bodyDiv w:val="1"/>
      <w:marLeft w:val="0"/>
      <w:marRight w:val="0"/>
      <w:marTop w:val="0"/>
      <w:marBottom w:val="0"/>
      <w:divBdr>
        <w:top w:val="none" w:sz="0" w:space="0" w:color="auto"/>
        <w:left w:val="none" w:sz="0" w:space="0" w:color="auto"/>
        <w:bottom w:val="none" w:sz="0" w:space="0" w:color="auto"/>
        <w:right w:val="none" w:sz="0" w:space="0" w:color="auto"/>
      </w:divBdr>
    </w:div>
    <w:div w:id="1983458671">
      <w:bodyDiv w:val="1"/>
      <w:marLeft w:val="0"/>
      <w:marRight w:val="0"/>
      <w:marTop w:val="0"/>
      <w:marBottom w:val="0"/>
      <w:divBdr>
        <w:top w:val="none" w:sz="0" w:space="0" w:color="auto"/>
        <w:left w:val="none" w:sz="0" w:space="0" w:color="auto"/>
        <w:bottom w:val="none" w:sz="0" w:space="0" w:color="auto"/>
        <w:right w:val="none" w:sz="0" w:space="0" w:color="auto"/>
      </w:divBdr>
    </w:div>
    <w:div w:id="1983727803">
      <w:bodyDiv w:val="1"/>
      <w:marLeft w:val="0"/>
      <w:marRight w:val="0"/>
      <w:marTop w:val="0"/>
      <w:marBottom w:val="0"/>
      <w:divBdr>
        <w:top w:val="none" w:sz="0" w:space="0" w:color="auto"/>
        <w:left w:val="none" w:sz="0" w:space="0" w:color="auto"/>
        <w:bottom w:val="none" w:sz="0" w:space="0" w:color="auto"/>
        <w:right w:val="none" w:sz="0" w:space="0" w:color="auto"/>
      </w:divBdr>
    </w:div>
    <w:div w:id="1985313879">
      <w:bodyDiv w:val="1"/>
      <w:marLeft w:val="0"/>
      <w:marRight w:val="0"/>
      <w:marTop w:val="0"/>
      <w:marBottom w:val="0"/>
      <w:divBdr>
        <w:top w:val="none" w:sz="0" w:space="0" w:color="auto"/>
        <w:left w:val="none" w:sz="0" w:space="0" w:color="auto"/>
        <w:bottom w:val="none" w:sz="0" w:space="0" w:color="auto"/>
        <w:right w:val="none" w:sz="0" w:space="0" w:color="auto"/>
      </w:divBdr>
    </w:div>
    <w:div w:id="1989438802">
      <w:bodyDiv w:val="1"/>
      <w:marLeft w:val="0"/>
      <w:marRight w:val="0"/>
      <w:marTop w:val="0"/>
      <w:marBottom w:val="0"/>
      <w:divBdr>
        <w:top w:val="none" w:sz="0" w:space="0" w:color="auto"/>
        <w:left w:val="none" w:sz="0" w:space="0" w:color="auto"/>
        <w:bottom w:val="none" w:sz="0" w:space="0" w:color="auto"/>
        <w:right w:val="none" w:sz="0" w:space="0" w:color="auto"/>
      </w:divBdr>
    </w:div>
    <w:div w:id="1990088077">
      <w:bodyDiv w:val="1"/>
      <w:marLeft w:val="0"/>
      <w:marRight w:val="0"/>
      <w:marTop w:val="0"/>
      <w:marBottom w:val="0"/>
      <w:divBdr>
        <w:top w:val="none" w:sz="0" w:space="0" w:color="auto"/>
        <w:left w:val="none" w:sz="0" w:space="0" w:color="auto"/>
        <w:bottom w:val="none" w:sz="0" w:space="0" w:color="auto"/>
        <w:right w:val="none" w:sz="0" w:space="0" w:color="auto"/>
      </w:divBdr>
    </w:div>
    <w:div w:id="1991716515">
      <w:bodyDiv w:val="1"/>
      <w:marLeft w:val="0"/>
      <w:marRight w:val="0"/>
      <w:marTop w:val="0"/>
      <w:marBottom w:val="0"/>
      <w:divBdr>
        <w:top w:val="none" w:sz="0" w:space="0" w:color="auto"/>
        <w:left w:val="none" w:sz="0" w:space="0" w:color="auto"/>
        <w:bottom w:val="none" w:sz="0" w:space="0" w:color="auto"/>
        <w:right w:val="none" w:sz="0" w:space="0" w:color="auto"/>
      </w:divBdr>
    </w:div>
    <w:div w:id="1997755470">
      <w:bodyDiv w:val="1"/>
      <w:marLeft w:val="0"/>
      <w:marRight w:val="0"/>
      <w:marTop w:val="0"/>
      <w:marBottom w:val="0"/>
      <w:divBdr>
        <w:top w:val="none" w:sz="0" w:space="0" w:color="auto"/>
        <w:left w:val="none" w:sz="0" w:space="0" w:color="auto"/>
        <w:bottom w:val="none" w:sz="0" w:space="0" w:color="auto"/>
        <w:right w:val="none" w:sz="0" w:space="0" w:color="auto"/>
      </w:divBdr>
    </w:div>
    <w:div w:id="1999266044">
      <w:bodyDiv w:val="1"/>
      <w:marLeft w:val="0"/>
      <w:marRight w:val="0"/>
      <w:marTop w:val="0"/>
      <w:marBottom w:val="0"/>
      <w:divBdr>
        <w:top w:val="none" w:sz="0" w:space="0" w:color="auto"/>
        <w:left w:val="none" w:sz="0" w:space="0" w:color="auto"/>
        <w:bottom w:val="none" w:sz="0" w:space="0" w:color="auto"/>
        <w:right w:val="none" w:sz="0" w:space="0" w:color="auto"/>
      </w:divBdr>
    </w:div>
    <w:div w:id="2000377623">
      <w:bodyDiv w:val="1"/>
      <w:marLeft w:val="0"/>
      <w:marRight w:val="0"/>
      <w:marTop w:val="0"/>
      <w:marBottom w:val="0"/>
      <w:divBdr>
        <w:top w:val="none" w:sz="0" w:space="0" w:color="auto"/>
        <w:left w:val="none" w:sz="0" w:space="0" w:color="auto"/>
        <w:bottom w:val="none" w:sz="0" w:space="0" w:color="auto"/>
        <w:right w:val="none" w:sz="0" w:space="0" w:color="auto"/>
      </w:divBdr>
    </w:div>
    <w:div w:id="2006858370">
      <w:bodyDiv w:val="1"/>
      <w:marLeft w:val="0"/>
      <w:marRight w:val="0"/>
      <w:marTop w:val="0"/>
      <w:marBottom w:val="0"/>
      <w:divBdr>
        <w:top w:val="none" w:sz="0" w:space="0" w:color="auto"/>
        <w:left w:val="none" w:sz="0" w:space="0" w:color="auto"/>
        <w:bottom w:val="none" w:sz="0" w:space="0" w:color="auto"/>
        <w:right w:val="none" w:sz="0" w:space="0" w:color="auto"/>
      </w:divBdr>
    </w:div>
    <w:div w:id="2013949702">
      <w:bodyDiv w:val="1"/>
      <w:marLeft w:val="0"/>
      <w:marRight w:val="0"/>
      <w:marTop w:val="0"/>
      <w:marBottom w:val="0"/>
      <w:divBdr>
        <w:top w:val="none" w:sz="0" w:space="0" w:color="auto"/>
        <w:left w:val="none" w:sz="0" w:space="0" w:color="auto"/>
        <w:bottom w:val="none" w:sz="0" w:space="0" w:color="auto"/>
        <w:right w:val="none" w:sz="0" w:space="0" w:color="auto"/>
      </w:divBdr>
    </w:div>
    <w:div w:id="2013950849">
      <w:bodyDiv w:val="1"/>
      <w:marLeft w:val="0"/>
      <w:marRight w:val="0"/>
      <w:marTop w:val="0"/>
      <w:marBottom w:val="0"/>
      <w:divBdr>
        <w:top w:val="none" w:sz="0" w:space="0" w:color="auto"/>
        <w:left w:val="none" w:sz="0" w:space="0" w:color="auto"/>
        <w:bottom w:val="none" w:sz="0" w:space="0" w:color="auto"/>
        <w:right w:val="none" w:sz="0" w:space="0" w:color="auto"/>
      </w:divBdr>
    </w:div>
    <w:div w:id="2014648920">
      <w:bodyDiv w:val="1"/>
      <w:marLeft w:val="0"/>
      <w:marRight w:val="0"/>
      <w:marTop w:val="0"/>
      <w:marBottom w:val="0"/>
      <w:divBdr>
        <w:top w:val="none" w:sz="0" w:space="0" w:color="auto"/>
        <w:left w:val="none" w:sz="0" w:space="0" w:color="auto"/>
        <w:bottom w:val="none" w:sz="0" w:space="0" w:color="auto"/>
        <w:right w:val="none" w:sz="0" w:space="0" w:color="auto"/>
      </w:divBdr>
    </w:div>
    <w:div w:id="2017489924">
      <w:bodyDiv w:val="1"/>
      <w:marLeft w:val="0"/>
      <w:marRight w:val="0"/>
      <w:marTop w:val="0"/>
      <w:marBottom w:val="0"/>
      <w:divBdr>
        <w:top w:val="none" w:sz="0" w:space="0" w:color="auto"/>
        <w:left w:val="none" w:sz="0" w:space="0" w:color="auto"/>
        <w:bottom w:val="none" w:sz="0" w:space="0" w:color="auto"/>
        <w:right w:val="none" w:sz="0" w:space="0" w:color="auto"/>
      </w:divBdr>
    </w:div>
    <w:div w:id="2019578441">
      <w:bodyDiv w:val="1"/>
      <w:marLeft w:val="0"/>
      <w:marRight w:val="0"/>
      <w:marTop w:val="0"/>
      <w:marBottom w:val="0"/>
      <w:divBdr>
        <w:top w:val="none" w:sz="0" w:space="0" w:color="auto"/>
        <w:left w:val="none" w:sz="0" w:space="0" w:color="auto"/>
        <w:bottom w:val="none" w:sz="0" w:space="0" w:color="auto"/>
        <w:right w:val="none" w:sz="0" w:space="0" w:color="auto"/>
      </w:divBdr>
    </w:div>
    <w:div w:id="2019892266">
      <w:bodyDiv w:val="1"/>
      <w:marLeft w:val="0"/>
      <w:marRight w:val="0"/>
      <w:marTop w:val="0"/>
      <w:marBottom w:val="0"/>
      <w:divBdr>
        <w:top w:val="none" w:sz="0" w:space="0" w:color="auto"/>
        <w:left w:val="none" w:sz="0" w:space="0" w:color="auto"/>
        <w:bottom w:val="none" w:sz="0" w:space="0" w:color="auto"/>
        <w:right w:val="none" w:sz="0" w:space="0" w:color="auto"/>
      </w:divBdr>
    </w:div>
    <w:div w:id="2024430761">
      <w:bodyDiv w:val="1"/>
      <w:marLeft w:val="0"/>
      <w:marRight w:val="0"/>
      <w:marTop w:val="0"/>
      <w:marBottom w:val="0"/>
      <w:divBdr>
        <w:top w:val="none" w:sz="0" w:space="0" w:color="auto"/>
        <w:left w:val="none" w:sz="0" w:space="0" w:color="auto"/>
        <w:bottom w:val="none" w:sz="0" w:space="0" w:color="auto"/>
        <w:right w:val="none" w:sz="0" w:space="0" w:color="auto"/>
      </w:divBdr>
    </w:div>
    <w:div w:id="2024623264">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4646903">
      <w:bodyDiv w:val="1"/>
      <w:marLeft w:val="0"/>
      <w:marRight w:val="0"/>
      <w:marTop w:val="0"/>
      <w:marBottom w:val="0"/>
      <w:divBdr>
        <w:top w:val="none" w:sz="0" w:space="0" w:color="auto"/>
        <w:left w:val="none" w:sz="0" w:space="0" w:color="auto"/>
        <w:bottom w:val="none" w:sz="0" w:space="0" w:color="auto"/>
        <w:right w:val="none" w:sz="0" w:space="0" w:color="auto"/>
      </w:divBdr>
    </w:div>
    <w:div w:id="2039118724">
      <w:bodyDiv w:val="1"/>
      <w:marLeft w:val="0"/>
      <w:marRight w:val="0"/>
      <w:marTop w:val="0"/>
      <w:marBottom w:val="0"/>
      <w:divBdr>
        <w:top w:val="none" w:sz="0" w:space="0" w:color="auto"/>
        <w:left w:val="none" w:sz="0" w:space="0" w:color="auto"/>
        <w:bottom w:val="none" w:sz="0" w:space="0" w:color="auto"/>
        <w:right w:val="none" w:sz="0" w:space="0" w:color="auto"/>
      </w:divBdr>
    </w:div>
    <w:div w:id="2043020037">
      <w:bodyDiv w:val="1"/>
      <w:marLeft w:val="0"/>
      <w:marRight w:val="0"/>
      <w:marTop w:val="0"/>
      <w:marBottom w:val="0"/>
      <w:divBdr>
        <w:top w:val="none" w:sz="0" w:space="0" w:color="auto"/>
        <w:left w:val="none" w:sz="0" w:space="0" w:color="auto"/>
        <w:bottom w:val="none" w:sz="0" w:space="0" w:color="auto"/>
        <w:right w:val="none" w:sz="0" w:space="0" w:color="auto"/>
      </w:divBdr>
    </w:div>
    <w:div w:id="2054651383">
      <w:bodyDiv w:val="1"/>
      <w:marLeft w:val="0"/>
      <w:marRight w:val="0"/>
      <w:marTop w:val="0"/>
      <w:marBottom w:val="0"/>
      <w:divBdr>
        <w:top w:val="none" w:sz="0" w:space="0" w:color="auto"/>
        <w:left w:val="none" w:sz="0" w:space="0" w:color="auto"/>
        <w:bottom w:val="none" w:sz="0" w:space="0" w:color="auto"/>
        <w:right w:val="none" w:sz="0" w:space="0" w:color="auto"/>
      </w:divBdr>
    </w:div>
    <w:div w:id="2058509354">
      <w:bodyDiv w:val="1"/>
      <w:marLeft w:val="0"/>
      <w:marRight w:val="0"/>
      <w:marTop w:val="0"/>
      <w:marBottom w:val="0"/>
      <w:divBdr>
        <w:top w:val="none" w:sz="0" w:space="0" w:color="auto"/>
        <w:left w:val="none" w:sz="0" w:space="0" w:color="auto"/>
        <w:bottom w:val="none" w:sz="0" w:space="0" w:color="auto"/>
        <w:right w:val="none" w:sz="0" w:space="0" w:color="auto"/>
      </w:divBdr>
    </w:div>
    <w:div w:id="2061593566">
      <w:bodyDiv w:val="1"/>
      <w:marLeft w:val="0"/>
      <w:marRight w:val="0"/>
      <w:marTop w:val="0"/>
      <w:marBottom w:val="0"/>
      <w:divBdr>
        <w:top w:val="none" w:sz="0" w:space="0" w:color="auto"/>
        <w:left w:val="none" w:sz="0" w:space="0" w:color="auto"/>
        <w:bottom w:val="none" w:sz="0" w:space="0" w:color="auto"/>
        <w:right w:val="none" w:sz="0" w:space="0" w:color="auto"/>
      </w:divBdr>
    </w:div>
    <w:div w:id="2062366634">
      <w:bodyDiv w:val="1"/>
      <w:marLeft w:val="0"/>
      <w:marRight w:val="0"/>
      <w:marTop w:val="0"/>
      <w:marBottom w:val="0"/>
      <w:divBdr>
        <w:top w:val="none" w:sz="0" w:space="0" w:color="auto"/>
        <w:left w:val="none" w:sz="0" w:space="0" w:color="auto"/>
        <w:bottom w:val="none" w:sz="0" w:space="0" w:color="auto"/>
        <w:right w:val="none" w:sz="0" w:space="0" w:color="auto"/>
      </w:divBdr>
    </w:div>
    <w:div w:id="2062552428">
      <w:bodyDiv w:val="1"/>
      <w:marLeft w:val="0"/>
      <w:marRight w:val="0"/>
      <w:marTop w:val="0"/>
      <w:marBottom w:val="0"/>
      <w:divBdr>
        <w:top w:val="none" w:sz="0" w:space="0" w:color="auto"/>
        <w:left w:val="none" w:sz="0" w:space="0" w:color="auto"/>
        <w:bottom w:val="none" w:sz="0" w:space="0" w:color="auto"/>
        <w:right w:val="none" w:sz="0" w:space="0" w:color="auto"/>
      </w:divBdr>
    </w:div>
    <w:div w:id="2062822037">
      <w:bodyDiv w:val="1"/>
      <w:marLeft w:val="0"/>
      <w:marRight w:val="0"/>
      <w:marTop w:val="0"/>
      <w:marBottom w:val="0"/>
      <w:divBdr>
        <w:top w:val="none" w:sz="0" w:space="0" w:color="auto"/>
        <w:left w:val="none" w:sz="0" w:space="0" w:color="auto"/>
        <w:bottom w:val="none" w:sz="0" w:space="0" w:color="auto"/>
        <w:right w:val="none" w:sz="0" w:space="0" w:color="auto"/>
      </w:divBdr>
    </w:div>
    <w:div w:id="2065133454">
      <w:bodyDiv w:val="1"/>
      <w:marLeft w:val="0"/>
      <w:marRight w:val="0"/>
      <w:marTop w:val="0"/>
      <w:marBottom w:val="0"/>
      <w:divBdr>
        <w:top w:val="none" w:sz="0" w:space="0" w:color="auto"/>
        <w:left w:val="none" w:sz="0" w:space="0" w:color="auto"/>
        <w:bottom w:val="none" w:sz="0" w:space="0" w:color="auto"/>
        <w:right w:val="none" w:sz="0" w:space="0" w:color="auto"/>
      </w:divBdr>
    </w:div>
    <w:div w:id="2066366827">
      <w:bodyDiv w:val="1"/>
      <w:marLeft w:val="0"/>
      <w:marRight w:val="0"/>
      <w:marTop w:val="0"/>
      <w:marBottom w:val="0"/>
      <w:divBdr>
        <w:top w:val="none" w:sz="0" w:space="0" w:color="auto"/>
        <w:left w:val="none" w:sz="0" w:space="0" w:color="auto"/>
        <w:bottom w:val="none" w:sz="0" w:space="0" w:color="auto"/>
        <w:right w:val="none" w:sz="0" w:space="0" w:color="auto"/>
      </w:divBdr>
    </w:div>
    <w:div w:id="2066682713">
      <w:bodyDiv w:val="1"/>
      <w:marLeft w:val="0"/>
      <w:marRight w:val="0"/>
      <w:marTop w:val="0"/>
      <w:marBottom w:val="0"/>
      <w:divBdr>
        <w:top w:val="none" w:sz="0" w:space="0" w:color="auto"/>
        <w:left w:val="none" w:sz="0" w:space="0" w:color="auto"/>
        <w:bottom w:val="none" w:sz="0" w:space="0" w:color="auto"/>
        <w:right w:val="none" w:sz="0" w:space="0" w:color="auto"/>
      </w:divBdr>
    </w:div>
    <w:div w:id="2067798511">
      <w:bodyDiv w:val="1"/>
      <w:marLeft w:val="0"/>
      <w:marRight w:val="0"/>
      <w:marTop w:val="0"/>
      <w:marBottom w:val="0"/>
      <w:divBdr>
        <w:top w:val="none" w:sz="0" w:space="0" w:color="auto"/>
        <w:left w:val="none" w:sz="0" w:space="0" w:color="auto"/>
        <w:bottom w:val="none" w:sz="0" w:space="0" w:color="auto"/>
        <w:right w:val="none" w:sz="0" w:space="0" w:color="auto"/>
      </w:divBdr>
    </w:div>
    <w:div w:id="2071540070">
      <w:bodyDiv w:val="1"/>
      <w:marLeft w:val="0"/>
      <w:marRight w:val="0"/>
      <w:marTop w:val="0"/>
      <w:marBottom w:val="0"/>
      <w:divBdr>
        <w:top w:val="none" w:sz="0" w:space="0" w:color="auto"/>
        <w:left w:val="none" w:sz="0" w:space="0" w:color="auto"/>
        <w:bottom w:val="none" w:sz="0" w:space="0" w:color="auto"/>
        <w:right w:val="none" w:sz="0" w:space="0" w:color="auto"/>
      </w:divBdr>
    </w:div>
    <w:div w:id="2072461014">
      <w:bodyDiv w:val="1"/>
      <w:marLeft w:val="0"/>
      <w:marRight w:val="0"/>
      <w:marTop w:val="0"/>
      <w:marBottom w:val="0"/>
      <w:divBdr>
        <w:top w:val="none" w:sz="0" w:space="0" w:color="auto"/>
        <w:left w:val="none" w:sz="0" w:space="0" w:color="auto"/>
        <w:bottom w:val="none" w:sz="0" w:space="0" w:color="auto"/>
        <w:right w:val="none" w:sz="0" w:space="0" w:color="auto"/>
      </w:divBdr>
    </w:div>
    <w:div w:id="2073231957">
      <w:bodyDiv w:val="1"/>
      <w:marLeft w:val="0"/>
      <w:marRight w:val="0"/>
      <w:marTop w:val="0"/>
      <w:marBottom w:val="0"/>
      <w:divBdr>
        <w:top w:val="none" w:sz="0" w:space="0" w:color="auto"/>
        <w:left w:val="none" w:sz="0" w:space="0" w:color="auto"/>
        <w:bottom w:val="none" w:sz="0" w:space="0" w:color="auto"/>
        <w:right w:val="none" w:sz="0" w:space="0" w:color="auto"/>
      </w:divBdr>
    </w:div>
    <w:div w:id="2080472828">
      <w:bodyDiv w:val="1"/>
      <w:marLeft w:val="0"/>
      <w:marRight w:val="0"/>
      <w:marTop w:val="0"/>
      <w:marBottom w:val="0"/>
      <w:divBdr>
        <w:top w:val="none" w:sz="0" w:space="0" w:color="auto"/>
        <w:left w:val="none" w:sz="0" w:space="0" w:color="auto"/>
        <w:bottom w:val="none" w:sz="0" w:space="0" w:color="auto"/>
        <w:right w:val="none" w:sz="0" w:space="0" w:color="auto"/>
      </w:divBdr>
    </w:div>
    <w:div w:id="2081706385">
      <w:bodyDiv w:val="1"/>
      <w:marLeft w:val="0"/>
      <w:marRight w:val="0"/>
      <w:marTop w:val="0"/>
      <w:marBottom w:val="0"/>
      <w:divBdr>
        <w:top w:val="none" w:sz="0" w:space="0" w:color="auto"/>
        <w:left w:val="none" w:sz="0" w:space="0" w:color="auto"/>
        <w:bottom w:val="none" w:sz="0" w:space="0" w:color="auto"/>
        <w:right w:val="none" w:sz="0" w:space="0" w:color="auto"/>
      </w:divBdr>
    </w:div>
    <w:div w:id="2082362351">
      <w:bodyDiv w:val="1"/>
      <w:marLeft w:val="0"/>
      <w:marRight w:val="0"/>
      <w:marTop w:val="0"/>
      <w:marBottom w:val="0"/>
      <w:divBdr>
        <w:top w:val="none" w:sz="0" w:space="0" w:color="auto"/>
        <w:left w:val="none" w:sz="0" w:space="0" w:color="auto"/>
        <w:bottom w:val="none" w:sz="0" w:space="0" w:color="auto"/>
        <w:right w:val="none" w:sz="0" w:space="0" w:color="auto"/>
      </w:divBdr>
    </w:div>
    <w:div w:id="2085176370">
      <w:bodyDiv w:val="1"/>
      <w:marLeft w:val="0"/>
      <w:marRight w:val="0"/>
      <w:marTop w:val="0"/>
      <w:marBottom w:val="0"/>
      <w:divBdr>
        <w:top w:val="none" w:sz="0" w:space="0" w:color="auto"/>
        <w:left w:val="none" w:sz="0" w:space="0" w:color="auto"/>
        <w:bottom w:val="none" w:sz="0" w:space="0" w:color="auto"/>
        <w:right w:val="none" w:sz="0" w:space="0" w:color="auto"/>
      </w:divBdr>
    </w:div>
    <w:div w:id="2085839403">
      <w:bodyDiv w:val="1"/>
      <w:marLeft w:val="0"/>
      <w:marRight w:val="0"/>
      <w:marTop w:val="0"/>
      <w:marBottom w:val="0"/>
      <w:divBdr>
        <w:top w:val="none" w:sz="0" w:space="0" w:color="auto"/>
        <w:left w:val="none" w:sz="0" w:space="0" w:color="auto"/>
        <w:bottom w:val="none" w:sz="0" w:space="0" w:color="auto"/>
        <w:right w:val="none" w:sz="0" w:space="0" w:color="auto"/>
      </w:divBdr>
    </w:div>
    <w:div w:id="2087023999">
      <w:bodyDiv w:val="1"/>
      <w:marLeft w:val="0"/>
      <w:marRight w:val="0"/>
      <w:marTop w:val="0"/>
      <w:marBottom w:val="0"/>
      <w:divBdr>
        <w:top w:val="none" w:sz="0" w:space="0" w:color="auto"/>
        <w:left w:val="none" w:sz="0" w:space="0" w:color="auto"/>
        <w:bottom w:val="none" w:sz="0" w:space="0" w:color="auto"/>
        <w:right w:val="none" w:sz="0" w:space="0" w:color="auto"/>
      </w:divBdr>
    </w:div>
    <w:div w:id="2090420012">
      <w:bodyDiv w:val="1"/>
      <w:marLeft w:val="0"/>
      <w:marRight w:val="0"/>
      <w:marTop w:val="0"/>
      <w:marBottom w:val="0"/>
      <w:divBdr>
        <w:top w:val="none" w:sz="0" w:space="0" w:color="auto"/>
        <w:left w:val="none" w:sz="0" w:space="0" w:color="auto"/>
        <w:bottom w:val="none" w:sz="0" w:space="0" w:color="auto"/>
        <w:right w:val="none" w:sz="0" w:space="0" w:color="auto"/>
      </w:divBdr>
    </w:div>
    <w:div w:id="2093236457">
      <w:bodyDiv w:val="1"/>
      <w:marLeft w:val="0"/>
      <w:marRight w:val="0"/>
      <w:marTop w:val="0"/>
      <w:marBottom w:val="0"/>
      <w:divBdr>
        <w:top w:val="none" w:sz="0" w:space="0" w:color="auto"/>
        <w:left w:val="none" w:sz="0" w:space="0" w:color="auto"/>
        <w:bottom w:val="none" w:sz="0" w:space="0" w:color="auto"/>
        <w:right w:val="none" w:sz="0" w:space="0" w:color="auto"/>
      </w:divBdr>
    </w:div>
    <w:div w:id="2101221191">
      <w:bodyDiv w:val="1"/>
      <w:marLeft w:val="0"/>
      <w:marRight w:val="0"/>
      <w:marTop w:val="0"/>
      <w:marBottom w:val="0"/>
      <w:divBdr>
        <w:top w:val="none" w:sz="0" w:space="0" w:color="auto"/>
        <w:left w:val="none" w:sz="0" w:space="0" w:color="auto"/>
        <w:bottom w:val="none" w:sz="0" w:space="0" w:color="auto"/>
        <w:right w:val="none" w:sz="0" w:space="0" w:color="auto"/>
      </w:divBdr>
    </w:div>
    <w:div w:id="2104833524">
      <w:bodyDiv w:val="1"/>
      <w:marLeft w:val="0"/>
      <w:marRight w:val="0"/>
      <w:marTop w:val="0"/>
      <w:marBottom w:val="0"/>
      <w:divBdr>
        <w:top w:val="none" w:sz="0" w:space="0" w:color="auto"/>
        <w:left w:val="none" w:sz="0" w:space="0" w:color="auto"/>
        <w:bottom w:val="none" w:sz="0" w:space="0" w:color="auto"/>
        <w:right w:val="none" w:sz="0" w:space="0" w:color="auto"/>
      </w:divBdr>
    </w:div>
    <w:div w:id="2107922064">
      <w:bodyDiv w:val="1"/>
      <w:marLeft w:val="0"/>
      <w:marRight w:val="0"/>
      <w:marTop w:val="0"/>
      <w:marBottom w:val="0"/>
      <w:divBdr>
        <w:top w:val="none" w:sz="0" w:space="0" w:color="auto"/>
        <w:left w:val="none" w:sz="0" w:space="0" w:color="auto"/>
        <w:bottom w:val="none" w:sz="0" w:space="0" w:color="auto"/>
        <w:right w:val="none" w:sz="0" w:space="0" w:color="auto"/>
      </w:divBdr>
    </w:div>
    <w:div w:id="2108959085">
      <w:bodyDiv w:val="1"/>
      <w:marLeft w:val="0"/>
      <w:marRight w:val="0"/>
      <w:marTop w:val="0"/>
      <w:marBottom w:val="0"/>
      <w:divBdr>
        <w:top w:val="none" w:sz="0" w:space="0" w:color="auto"/>
        <w:left w:val="none" w:sz="0" w:space="0" w:color="auto"/>
        <w:bottom w:val="none" w:sz="0" w:space="0" w:color="auto"/>
        <w:right w:val="none" w:sz="0" w:space="0" w:color="auto"/>
      </w:divBdr>
    </w:div>
    <w:div w:id="2115637771">
      <w:bodyDiv w:val="1"/>
      <w:marLeft w:val="0"/>
      <w:marRight w:val="0"/>
      <w:marTop w:val="0"/>
      <w:marBottom w:val="0"/>
      <w:divBdr>
        <w:top w:val="none" w:sz="0" w:space="0" w:color="auto"/>
        <w:left w:val="none" w:sz="0" w:space="0" w:color="auto"/>
        <w:bottom w:val="none" w:sz="0" w:space="0" w:color="auto"/>
        <w:right w:val="none" w:sz="0" w:space="0" w:color="auto"/>
      </w:divBdr>
    </w:div>
    <w:div w:id="2115901251">
      <w:bodyDiv w:val="1"/>
      <w:marLeft w:val="0"/>
      <w:marRight w:val="0"/>
      <w:marTop w:val="0"/>
      <w:marBottom w:val="0"/>
      <w:divBdr>
        <w:top w:val="none" w:sz="0" w:space="0" w:color="auto"/>
        <w:left w:val="none" w:sz="0" w:space="0" w:color="auto"/>
        <w:bottom w:val="none" w:sz="0" w:space="0" w:color="auto"/>
        <w:right w:val="none" w:sz="0" w:space="0" w:color="auto"/>
      </w:divBdr>
    </w:div>
    <w:div w:id="2116634982">
      <w:bodyDiv w:val="1"/>
      <w:marLeft w:val="0"/>
      <w:marRight w:val="0"/>
      <w:marTop w:val="0"/>
      <w:marBottom w:val="0"/>
      <w:divBdr>
        <w:top w:val="none" w:sz="0" w:space="0" w:color="auto"/>
        <w:left w:val="none" w:sz="0" w:space="0" w:color="auto"/>
        <w:bottom w:val="none" w:sz="0" w:space="0" w:color="auto"/>
        <w:right w:val="none" w:sz="0" w:space="0" w:color="auto"/>
      </w:divBdr>
    </w:div>
    <w:div w:id="2117559173">
      <w:bodyDiv w:val="1"/>
      <w:marLeft w:val="0"/>
      <w:marRight w:val="0"/>
      <w:marTop w:val="0"/>
      <w:marBottom w:val="0"/>
      <w:divBdr>
        <w:top w:val="none" w:sz="0" w:space="0" w:color="auto"/>
        <w:left w:val="none" w:sz="0" w:space="0" w:color="auto"/>
        <w:bottom w:val="none" w:sz="0" w:space="0" w:color="auto"/>
        <w:right w:val="none" w:sz="0" w:space="0" w:color="auto"/>
      </w:divBdr>
    </w:div>
    <w:div w:id="2117600898">
      <w:bodyDiv w:val="1"/>
      <w:marLeft w:val="0"/>
      <w:marRight w:val="0"/>
      <w:marTop w:val="0"/>
      <w:marBottom w:val="0"/>
      <w:divBdr>
        <w:top w:val="none" w:sz="0" w:space="0" w:color="auto"/>
        <w:left w:val="none" w:sz="0" w:space="0" w:color="auto"/>
        <w:bottom w:val="none" w:sz="0" w:space="0" w:color="auto"/>
        <w:right w:val="none" w:sz="0" w:space="0" w:color="auto"/>
      </w:divBdr>
    </w:div>
    <w:div w:id="2117944627">
      <w:bodyDiv w:val="1"/>
      <w:marLeft w:val="0"/>
      <w:marRight w:val="0"/>
      <w:marTop w:val="0"/>
      <w:marBottom w:val="0"/>
      <w:divBdr>
        <w:top w:val="none" w:sz="0" w:space="0" w:color="auto"/>
        <w:left w:val="none" w:sz="0" w:space="0" w:color="auto"/>
        <w:bottom w:val="none" w:sz="0" w:space="0" w:color="auto"/>
        <w:right w:val="none" w:sz="0" w:space="0" w:color="auto"/>
      </w:divBdr>
    </w:div>
    <w:div w:id="2119251969">
      <w:bodyDiv w:val="1"/>
      <w:marLeft w:val="0"/>
      <w:marRight w:val="0"/>
      <w:marTop w:val="0"/>
      <w:marBottom w:val="0"/>
      <w:divBdr>
        <w:top w:val="none" w:sz="0" w:space="0" w:color="auto"/>
        <w:left w:val="none" w:sz="0" w:space="0" w:color="auto"/>
        <w:bottom w:val="none" w:sz="0" w:space="0" w:color="auto"/>
        <w:right w:val="none" w:sz="0" w:space="0" w:color="auto"/>
      </w:divBdr>
    </w:div>
    <w:div w:id="2123062327">
      <w:bodyDiv w:val="1"/>
      <w:marLeft w:val="0"/>
      <w:marRight w:val="0"/>
      <w:marTop w:val="0"/>
      <w:marBottom w:val="0"/>
      <w:divBdr>
        <w:top w:val="none" w:sz="0" w:space="0" w:color="auto"/>
        <w:left w:val="none" w:sz="0" w:space="0" w:color="auto"/>
        <w:bottom w:val="none" w:sz="0" w:space="0" w:color="auto"/>
        <w:right w:val="none" w:sz="0" w:space="0" w:color="auto"/>
      </w:divBdr>
    </w:div>
    <w:div w:id="2123911062">
      <w:bodyDiv w:val="1"/>
      <w:marLeft w:val="0"/>
      <w:marRight w:val="0"/>
      <w:marTop w:val="0"/>
      <w:marBottom w:val="0"/>
      <w:divBdr>
        <w:top w:val="none" w:sz="0" w:space="0" w:color="auto"/>
        <w:left w:val="none" w:sz="0" w:space="0" w:color="auto"/>
        <w:bottom w:val="none" w:sz="0" w:space="0" w:color="auto"/>
        <w:right w:val="none" w:sz="0" w:space="0" w:color="auto"/>
      </w:divBdr>
    </w:div>
    <w:div w:id="2124298681">
      <w:bodyDiv w:val="1"/>
      <w:marLeft w:val="0"/>
      <w:marRight w:val="0"/>
      <w:marTop w:val="0"/>
      <w:marBottom w:val="0"/>
      <w:divBdr>
        <w:top w:val="none" w:sz="0" w:space="0" w:color="auto"/>
        <w:left w:val="none" w:sz="0" w:space="0" w:color="auto"/>
        <w:bottom w:val="none" w:sz="0" w:space="0" w:color="auto"/>
        <w:right w:val="none" w:sz="0" w:space="0" w:color="auto"/>
      </w:divBdr>
    </w:div>
    <w:div w:id="2128163290">
      <w:bodyDiv w:val="1"/>
      <w:marLeft w:val="0"/>
      <w:marRight w:val="0"/>
      <w:marTop w:val="0"/>
      <w:marBottom w:val="0"/>
      <w:divBdr>
        <w:top w:val="none" w:sz="0" w:space="0" w:color="auto"/>
        <w:left w:val="none" w:sz="0" w:space="0" w:color="auto"/>
        <w:bottom w:val="none" w:sz="0" w:space="0" w:color="auto"/>
        <w:right w:val="none" w:sz="0" w:space="0" w:color="auto"/>
      </w:divBdr>
    </w:div>
    <w:div w:id="2130539495">
      <w:bodyDiv w:val="1"/>
      <w:marLeft w:val="0"/>
      <w:marRight w:val="0"/>
      <w:marTop w:val="0"/>
      <w:marBottom w:val="0"/>
      <w:divBdr>
        <w:top w:val="none" w:sz="0" w:space="0" w:color="auto"/>
        <w:left w:val="none" w:sz="0" w:space="0" w:color="auto"/>
        <w:bottom w:val="none" w:sz="0" w:space="0" w:color="auto"/>
        <w:right w:val="none" w:sz="0" w:space="0" w:color="auto"/>
      </w:divBdr>
    </w:div>
    <w:div w:id="2142141878">
      <w:bodyDiv w:val="1"/>
      <w:marLeft w:val="0"/>
      <w:marRight w:val="0"/>
      <w:marTop w:val="0"/>
      <w:marBottom w:val="0"/>
      <w:divBdr>
        <w:top w:val="none" w:sz="0" w:space="0" w:color="auto"/>
        <w:left w:val="none" w:sz="0" w:space="0" w:color="auto"/>
        <w:bottom w:val="none" w:sz="0" w:space="0" w:color="auto"/>
        <w:right w:val="none" w:sz="0" w:space="0" w:color="auto"/>
      </w:divBdr>
    </w:div>
    <w:div w:id="21432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L:\OF2000_P\Cabecer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ED25E-8E53-40DA-B0CB-82E43729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Cabecera.dot</Template>
  <TotalTime>0</TotalTime>
  <Pages>129</Pages>
  <Words>33890</Words>
  <Characters>223552</Characters>
  <Application>Microsoft Office Word</Application>
  <DocSecurity>0</DocSecurity>
  <Lines>1862</Lines>
  <Paragraphs>513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Encabezado de las plantillas del Puerto de Palma</vt:lpstr>
      <vt:lpstr>Encabezado de las plantillas del Puerto de Palma</vt:lpstr>
    </vt:vector>
  </TitlesOfParts>
  <Company>apb</Company>
  <LinksUpToDate>false</LinksUpToDate>
  <CharactersWithSpaces>256929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 de las plantillas del Puerto de Palma</dc:title>
  <dc:creator>apou</dc:creator>
  <cp:lastModifiedBy>Miguel Rigo Salvá</cp:lastModifiedBy>
  <cp:revision>2</cp:revision>
  <cp:lastPrinted>2025-03-21T12:00:00Z</cp:lastPrinted>
  <dcterms:created xsi:type="dcterms:W3CDTF">2025-03-25T15:47:00Z</dcterms:created>
  <dcterms:modified xsi:type="dcterms:W3CDTF">2025-03-25T15:47:00Z</dcterms:modified>
</cp:coreProperties>
</file>